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360" w:lineRule="auto"/>
        <w:jc w:val="center"/>
        <w:rPr>
          <w:rFonts w:ascii="宋体" w:hAnsi="宋体"/>
          <w:bCs/>
          <w:color w:val="000000" w:themeColor="text1"/>
          <w:sz w:val="28"/>
          <w:szCs w:val="28"/>
          <w14:textFill>
            <w14:solidFill>
              <w14:schemeClr w14:val="tx1"/>
            </w14:solidFill>
          </w14:textFill>
        </w:rPr>
      </w:pPr>
      <w:bookmarkStart w:id="0" w:name="_Toc397928612"/>
      <w:bookmarkStart w:id="1" w:name="_Toc358476596"/>
    </w:p>
    <w:p>
      <w:pPr>
        <w:wordWrap w:val="0"/>
        <w:spacing w:line="360" w:lineRule="auto"/>
        <w:jc w:val="center"/>
        <w:rPr>
          <w:rFonts w:hint="eastAsia" w:ascii="宋体" w:hAnsi="宋体"/>
          <w:color w:val="000000" w:themeColor="text1"/>
          <w:sz w:val="44"/>
          <w:szCs w:val="44"/>
          <w:u w:val="single"/>
          <w14:textFill>
            <w14:solidFill>
              <w14:schemeClr w14:val="tx1"/>
            </w14:solidFill>
          </w14:textFill>
        </w:rPr>
      </w:pPr>
    </w:p>
    <w:p>
      <w:pPr>
        <w:wordWrap w:val="0"/>
        <w:spacing w:line="36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44"/>
          <w:szCs w:val="44"/>
          <w:u w:val="single"/>
          <w14:textFill>
            <w14:solidFill>
              <w14:schemeClr w14:val="tx1"/>
            </w14:solidFill>
          </w14:textFill>
        </w:rPr>
        <w:t>智能灌溉系统项目设计、采购、施工一体化</w:t>
      </w:r>
      <w:r>
        <w:rPr>
          <w:rFonts w:hint="eastAsia" w:ascii="宋体" w:hAnsi="宋体"/>
          <w:color w:val="000000" w:themeColor="text1"/>
          <w:sz w:val="44"/>
          <w:szCs w:val="44"/>
          <w14:textFill>
            <w14:solidFill>
              <w14:schemeClr w14:val="tx1"/>
            </w14:solidFill>
          </w14:textFill>
        </w:rPr>
        <w:t>工程总承包</w:t>
      </w:r>
    </w:p>
    <w:p>
      <w:pPr>
        <w:wordWrap w:val="0"/>
        <w:spacing w:line="360" w:lineRule="auto"/>
        <w:jc w:val="center"/>
        <w:rPr>
          <w:rFonts w:ascii="宋体" w:hAnsi="宋体"/>
          <w:color w:val="000000" w:themeColor="text1"/>
          <w:sz w:val="28"/>
          <w:szCs w:val="28"/>
          <w14:textFill>
            <w14:solidFill>
              <w14:schemeClr w14:val="tx1"/>
            </w14:solidFill>
          </w14:textFill>
        </w:rPr>
      </w:pPr>
    </w:p>
    <w:p>
      <w:pPr>
        <w:wordWrap w:val="0"/>
        <w:spacing w:line="360" w:lineRule="auto"/>
        <w:jc w:val="center"/>
        <w:rPr>
          <w:rFonts w:ascii="宋体" w:hAnsi="宋体"/>
          <w:color w:val="000000" w:themeColor="text1"/>
          <w:sz w:val="72"/>
          <w:szCs w:val="72"/>
          <w14:textFill>
            <w14:solidFill>
              <w14:schemeClr w14:val="tx1"/>
            </w14:solidFill>
          </w14:textFill>
        </w:rPr>
      </w:pPr>
    </w:p>
    <w:p>
      <w:pPr>
        <w:rPr>
          <w:rFonts w:ascii="宋体" w:hAnsi="宋体"/>
          <w:color w:val="000000" w:themeColor="text1"/>
          <w:sz w:val="72"/>
          <w:szCs w:val="72"/>
          <w14:textFill>
            <w14:solidFill>
              <w14:schemeClr w14:val="tx1"/>
            </w14:solidFill>
          </w14:textFill>
        </w:rPr>
      </w:pPr>
    </w:p>
    <w:p>
      <w:pPr>
        <w:rPr>
          <w:color w:val="000000" w:themeColor="text1"/>
          <w14:textFill>
            <w14:solidFill>
              <w14:schemeClr w14:val="tx1"/>
            </w14:solidFill>
          </w14:textFill>
        </w:rPr>
      </w:pPr>
    </w:p>
    <w:p>
      <w:pPr>
        <w:wordWrap w:val="0"/>
        <w:spacing w:line="360" w:lineRule="auto"/>
        <w:jc w:val="center"/>
        <w:rPr>
          <w:rFonts w:ascii="宋体" w:hAnsi="宋体"/>
          <w:color w:val="000000" w:themeColor="text1"/>
          <w:sz w:val="72"/>
          <w:szCs w:val="72"/>
          <w14:textFill>
            <w14:solidFill>
              <w14:schemeClr w14:val="tx1"/>
            </w14:solidFill>
          </w14:textFill>
        </w:rPr>
      </w:pPr>
      <w:r>
        <w:rPr>
          <w:rFonts w:hint="eastAsia" w:ascii="宋体" w:hAnsi="宋体"/>
          <w:color w:val="000000" w:themeColor="text1"/>
          <w:sz w:val="72"/>
          <w:szCs w:val="72"/>
          <w14:textFill>
            <w14:solidFill>
              <w14:schemeClr w14:val="tx1"/>
            </w14:solidFill>
          </w14:textFill>
        </w:rPr>
        <w:t>招标文件</w:t>
      </w:r>
    </w:p>
    <w:p>
      <w:pPr>
        <w:wordWrap w:val="0"/>
        <w:spacing w:line="360" w:lineRule="auto"/>
        <w:jc w:val="center"/>
        <w:rPr>
          <w:rFonts w:ascii="宋体" w:hAnsi="宋体"/>
          <w:color w:val="000000" w:themeColor="text1"/>
          <w:sz w:val="28"/>
          <w:szCs w:val="28"/>
          <w14:textFill>
            <w14:solidFill>
              <w14:schemeClr w14:val="tx1"/>
            </w14:solidFill>
          </w14:textFill>
        </w:rPr>
      </w:pPr>
    </w:p>
    <w:p>
      <w:pPr>
        <w:wordWrap w:val="0"/>
        <w:spacing w:line="360" w:lineRule="auto"/>
        <w:jc w:val="center"/>
        <w:rPr>
          <w:rFonts w:ascii="宋体" w:hAnsi="宋体"/>
          <w:color w:val="000000" w:themeColor="text1"/>
          <w:sz w:val="28"/>
          <w:szCs w:val="28"/>
          <w14:textFill>
            <w14:solidFill>
              <w14:schemeClr w14:val="tx1"/>
            </w14:solidFill>
          </w14:textFill>
        </w:rPr>
      </w:pPr>
    </w:p>
    <w:p>
      <w:pPr>
        <w:wordWrap w:val="0"/>
        <w:spacing w:line="360" w:lineRule="auto"/>
        <w:jc w:val="center"/>
        <w:rPr>
          <w:rFonts w:ascii="宋体" w:hAnsi="宋体"/>
          <w:color w:val="000000" w:themeColor="text1"/>
          <w:sz w:val="28"/>
          <w:szCs w:val="28"/>
          <w14:textFill>
            <w14:solidFill>
              <w14:schemeClr w14:val="tx1"/>
            </w14:solidFill>
          </w14:textFill>
        </w:rPr>
      </w:pPr>
    </w:p>
    <w:p>
      <w:pPr>
        <w:wordWrap w:val="0"/>
        <w:spacing w:line="360" w:lineRule="auto"/>
        <w:jc w:val="center"/>
        <w:rPr>
          <w:rFonts w:ascii="宋体" w:hAnsi="宋体"/>
          <w:color w:val="000000" w:themeColor="text1"/>
          <w:sz w:val="28"/>
          <w:szCs w:val="28"/>
          <w14:textFill>
            <w14:solidFill>
              <w14:schemeClr w14:val="tx1"/>
            </w14:solidFill>
          </w14:textFill>
        </w:rPr>
      </w:pPr>
    </w:p>
    <w:p>
      <w:pPr>
        <w:wordWrap w:val="0"/>
        <w:spacing w:line="360" w:lineRule="auto"/>
        <w:jc w:val="center"/>
        <w:rPr>
          <w:rFonts w:ascii="宋体" w:hAnsi="宋体"/>
          <w:color w:val="000000" w:themeColor="text1"/>
          <w:sz w:val="28"/>
          <w:szCs w:val="28"/>
          <w14:textFill>
            <w14:solidFill>
              <w14:schemeClr w14:val="tx1"/>
            </w14:solidFill>
          </w14:textFill>
        </w:rPr>
      </w:pPr>
    </w:p>
    <w:p>
      <w:pPr>
        <w:wordWrap w:val="0"/>
        <w:spacing w:line="360" w:lineRule="auto"/>
        <w:jc w:val="center"/>
        <w:rPr>
          <w:rFonts w:ascii="宋体" w:hAnsi="宋体"/>
          <w:color w:val="000000" w:themeColor="text1"/>
          <w:sz w:val="28"/>
          <w:szCs w:val="28"/>
          <w14:textFill>
            <w14:solidFill>
              <w14:schemeClr w14:val="tx1"/>
            </w14:solidFill>
          </w14:textFill>
        </w:rPr>
      </w:pPr>
    </w:p>
    <w:p>
      <w:pPr>
        <w:wordWrap w:val="0"/>
        <w:spacing w:line="360" w:lineRule="auto"/>
        <w:jc w:val="center"/>
        <w:rPr>
          <w:rFonts w:ascii="宋体" w:hAnsi="宋体"/>
          <w:color w:val="000000" w:themeColor="text1"/>
          <w:sz w:val="28"/>
          <w:szCs w:val="28"/>
          <w14:textFill>
            <w14:solidFill>
              <w14:schemeClr w14:val="tx1"/>
            </w14:solidFill>
          </w14:textFill>
        </w:rPr>
      </w:pPr>
    </w:p>
    <w:p>
      <w:pPr>
        <w:wordWrap w:val="0"/>
        <w:spacing w:line="360" w:lineRule="auto"/>
        <w:jc w:val="center"/>
        <w:rPr>
          <w:rFonts w:ascii="宋体" w:hAnsi="宋体"/>
          <w:color w:val="000000" w:themeColor="text1"/>
          <w:sz w:val="28"/>
          <w:szCs w:val="28"/>
          <w14:textFill>
            <w14:solidFill>
              <w14:schemeClr w14:val="tx1"/>
            </w14:solidFill>
          </w14:textFill>
        </w:rPr>
      </w:pPr>
    </w:p>
    <w:p>
      <w:pPr>
        <w:wordWrap w:val="0"/>
        <w:spacing w:line="360" w:lineRule="auto"/>
        <w:jc w:val="center"/>
        <w:rPr>
          <w:rFonts w:ascii="宋体" w:hAnsi="宋体"/>
          <w:color w:val="000000" w:themeColor="text1"/>
          <w:sz w:val="32"/>
          <w:szCs w:val="32"/>
          <w:u w:val="single"/>
          <w14:textFill>
            <w14:solidFill>
              <w14:schemeClr w14:val="tx1"/>
            </w14:solidFill>
          </w14:textFill>
        </w:rPr>
      </w:pPr>
      <w:r>
        <w:rPr>
          <w:rFonts w:hint="eastAsia" w:ascii="宋体" w:hAnsi="宋体"/>
          <w:color w:val="000000" w:themeColor="text1"/>
          <w:sz w:val="32"/>
          <w:szCs w:val="32"/>
          <w14:textFill>
            <w14:solidFill>
              <w14:schemeClr w14:val="tx1"/>
            </w14:solidFill>
          </w14:textFill>
        </w:rPr>
        <w:t>招标人：江苏金色农业股份有限公司</w:t>
      </w:r>
    </w:p>
    <w:p>
      <w:pPr>
        <w:wordWrap w:val="0"/>
        <w:spacing w:line="360" w:lineRule="auto"/>
        <w:jc w:val="center"/>
        <w:rPr>
          <w:rFonts w:ascii="宋体" w:hAnsi="宋体"/>
          <w:color w:val="000000" w:themeColor="text1"/>
          <w:sz w:val="32"/>
          <w:szCs w:val="32"/>
          <w:u w:val="single"/>
          <w14:textFill>
            <w14:solidFill>
              <w14:schemeClr w14:val="tx1"/>
            </w14:solidFill>
          </w14:textFill>
        </w:rPr>
      </w:pPr>
      <w:r>
        <w:rPr>
          <w:rFonts w:hint="eastAsia" w:ascii="宋体" w:hAnsi="宋体"/>
          <w:color w:val="000000" w:themeColor="text1"/>
          <w:sz w:val="32"/>
          <w:szCs w:val="32"/>
          <w14:textFill>
            <w14:solidFill>
              <w14:schemeClr w14:val="tx1"/>
            </w14:solidFill>
          </w14:textFill>
        </w:rPr>
        <w:t>招标代理机构：江苏双清工程造价咨询有限公司</w:t>
      </w:r>
    </w:p>
    <w:p>
      <w:pPr>
        <w:pStyle w:val="145"/>
        <w:wordWrap w:val="0"/>
        <w:jc w:val="center"/>
        <w:rPr>
          <w:color w:val="000000" w:themeColor="text1"/>
          <w:sz w:val="32"/>
          <w:szCs w:val="32"/>
          <w14:textFill>
            <w14:solidFill>
              <w14:schemeClr w14:val="tx1"/>
            </w14:solidFill>
          </w14:textFill>
        </w:rPr>
        <w:sectPr>
          <w:footerReference r:id="rId3" w:type="even"/>
          <w:pgSz w:w="11906" w:h="16838"/>
          <w:pgMar w:top="1440" w:right="1559" w:bottom="1440" w:left="1560" w:header="851" w:footer="851" w:gutter="0"/>
          <w:pgBorders>
            <w:top w:val="none" w:sz="0" w:space="0"/>
            <w:left w:val="none" w:sz="0" w:space="0"/>
            <w:bottom w:val="none" w:sz="0" w:space="0"/>
            <w:right w:val="none" w:sz="0" w:space="0"/>
          </w:pgBorders>
          <w:cols w:space="720" w:num="1"/>
          <w:titlePg/>
          <w:docGrid w:linePitch="312" w:charSpace="0"/>
        </w:sectPr>
      </w:pPr>
      <w:r>
        <w:rPr>
          <w:rFonts w:hint="eastAsia" w:ascii="宋体" w:hAnsi="宋体"/>
          <w:color w:val="000000" w:themeColor="text1"/>
          <w:sz w:val="32"/>
          <w:szCs w:val="32"/>
          <w14:textFill>
            <w14:solidFill>
              <w14:schemeClr w14:val="tx1"/>
            </w14:solidFill>
          </w14:textFill>
        </w:rPr>
        <w:t>二〇二〇年</w:t>
      </w:r>
      <w:r>
        <w:rPr>
          <w:rFonts w:hint="eastAsia" w:ascii="宋体" w:hAnsi="宋体"/>
          <w:color w:val="000000" w:themeColor="text1"/>
          <w:sz w:val="32"/>
          <w:szCs w:val="32"/>
          <w:lang w:eastAsia="zh-CN"/>
          <w14:textFill>
            <w14:solidFill>
              <w14:schemeClr w14:val="tx1"/>
            </w14:solidFill>
          </w14:textFill>
        </w:rPr>
        <w:t>四</w:t>
      </w:r>
      <w:r>
        <w:rPr>
          <w:rFonts w:hint="eastAsia" w:ascii="宋体" w:hAnsi="宋体"/>
          <w:color w:val="000000" w:themeColor="text1"/>
          <w:sz w:val="32"/>
          <w:szCs w:val="32"/>
          <w14:textFill>
            <w14:solidFill>
              <w14:schemeClr w14:val="tx1"/>
            </w14:solidFill>
          </w14:textFill>
        </w:rPr>
        <w:t>月</w:t>
      </w:r>
    </w:p>
    <w:p>
      <w:pPr>
        <w:wordWrap w:val="0"/>
        <w:spacing w:after="240" w:afterLines="100" w:line="540" w:lineRule="exact"/>
        <w:jc w:val="center"/>
        <w:rPr>
          <w:b/>
          <w:color w:val="000000" w:themeColor="text1"/>
          <w:sz w:val="44"/>
          <w:szCs w:val="44"/>
          <w14:textFill>
            <w14:solidFill>
              <w14:schemeClr w14:val="tx1"/>
            </w14:solidFill>
          </w14:textFill>
        </w:rPr>
      </w:pPr>
      <w:r>
        <w:rPr>
          <w:b/>
          <w:color w:val="000000" w:themeColor="text1"/>
          <w:sz w:val="44"/>
          <w:szCs w:val="44"/>
          <w14:textFill>
            <w14:solidFill>
              <w14:schemeClr w14:val="tx1"/>
            </w14:solidFill>
          </w14:textFill>
        </w:rPr>
        <w:t>目录</w:t>
      </w:r>
    </w:p>
    <w:p>
      <w:pPr>
        <w:pStyle w:val="30"/>
        <w:tabs>
          <w:tab w:val="right" w:leader="dot" w:pos="8787"/>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TOC \o "1-1" \h \z \t "标题 2,2,标题 3,3"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_Toc27731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第一章</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招标公告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_Toc27731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6"/>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_Toc26925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1. 招标条件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_Toc26925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36"/>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_Toc12785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2. 项目概况与招标范围</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_Toc12785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36"/>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_Toc8287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3. 投标人资格要求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_Toc8287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36"/>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_Toc9942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4. 招标文件的获取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_Toc9942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36"/>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_Toc23133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5. 投标</w:t>
      </w:r>
      <w:r>
        <w:rPr>
          <w:rFonts w:hint="eastAsia" w:ascii="宋体" w:hAnsi="宋体" w:eastAsia="宋体" w:cs="宋体"/>
          <w:color w:val="000000" w:themeColor="text1"/>
          <w:lang w:eastAsia="zh-CN"/>
          <w14:textFill>
            <w14:solidFill>
              <w14:schemeClr w14:val="tx1"/>
            </w14:solidFill>
          </w14:textFill>
        </w:rPr>
        <w:t>文件的递交</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_Toc23133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36"/>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_Toc30325 </w:instrText>
      </w:r>
      <w:r>
        <w:rPr>
          <w:rFonts w:eastAsia="黑体"/>
          <w:color w:val="000000" w:themeColor="text1"/>
          <w14:textFill>
            <w14:solidFill>
              <w14:schemeClr w14:val="tx1"/>
            </w14:solidFill>
          </w14:textFill>
        </w:rPr>
        <w:fldChar w:fldCharType="separate"/>
      </w:r>
      <w:r>
        <w:rPr>
          <w:rFonts w:ascii="宋体" w:hAnsi="宋体" w:eastAsia="宋体" w:cs="宋体"/>
          <w:color w:val="000000" w:themeColor="text1"/>
          <w14:textFill>
            <w14:solidFill>
              <w14:schemeClr w14:val="tx1"/>
            </w14:solidFill>
          </w14:textFill>
        </w:rPr>
        <w:t xml:space="preserve">6. </w:t>
      </w:r>
      <w:r>
        <w:rPr>
          <w:rFonts w:hint="eastAsia" w:ascii="宋体" w:hAnsi="宋体" w:eastAsia="宋体" w:cs="宋体"/>
          <w:color w:val="000000" w:themeColor="text1"/>
          <w14:textFill>
            <w14:solidFill>
              <w14:schemeClr w14:val="tx1"/>
            </w14:solidFill>
          </w14:textFill>
        </w:rPr>
        <w:t>资格审查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_Toc30325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36"/>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_Toc7129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7. 评标方法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_Toc7129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36"/>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_Toc9621 </w:instrText>
      </w:r>
      <w:r>
        <w:rPr>
          <w:rFonts w:eastAsia="黑体"/>
          <w:color w:val="000000" w:themeColor="text1"/>
          <w14:textFill>
            <w14:solidFill>
              <w14:schemeClr w14:val="tx1"/>
            </w14:solidFill>
          </w14:textFill>
        </w:rPr>
        <w:fldChar w:fldCharType="separate"/>
      </w:r>
      <w:r>
        <w:rPr>
          <w:rFonts w:ascii="宋体" w:hAnsi="宋体" w:eastAsia="宋体" w:cs="宋体"/>
          <w:color w:val="000000" w:themeColor="text1"/>
          <w14:textFill>
            <w14:solidFill>
              <w14:schemeClr w14:val="tx1"/>
            </w14:solidFill>
          </w14:textFill>
        </w:rPr>
        <w:t xml:space="preserve">8. </w:t>
      </w:r>
      <w:r>
        <w:rPr>
          <w:rFonts w:hint="eastAsia" w:ascii="宋体" w:hAnsi="宋体" w:eastAsia="宋体" w:cs="宋体"/>
          <w:color w:val="000000" w:themeColor="text1"/>
          <w14:textFill>
            <w14:solidFill>
              <w14:schemeClr w14:val="tx1"/>
            </w14:solidFill>
          </w14:textFill>
        </w:rPr>
        <w:t>发布公告的媒介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_Toc9621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36"/>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_Toc9687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lang w:val="en-US" w:eastAsia="zh-CN"/>
          <w14:textFill>
            <w14:solidFill>
              <w14:schemeClr w14:val="tx1"/>
            </w14:solidFill>
          </w14:textFill>
        </w:rPr>
        <w:t xml:space="preserve">9. </w:t>
      </w:r>
      <w:r>
        <w:rPr>
          <w:rFonts w:hint="eastAsia" w:ascii="宋体" w:hAnsi="宋体" w:eastAsia="宋体" w:cs="宋体"/>
          <w:color w:val="000000" w:themeColor="text1"/>
          <w14:textFill>
            <w14:solidFill>
              <w14:schemeClr w14:val="tx1"/>
            </w14:solidFill>
          </w14:textFill>
        </w:rPr>
        <w:t>特别说明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_Toc9687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36"/>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_Toc27427 </w:instrText>
      </w:r>
      <w:r>
        <w:rPr>
          <w:rFonts w:eastAsia="黑体"/>
          <w:color w:val="000000" w:themeColor="text1"/>
          <w14:textFill>
            <w14:solidFill>
              <w14:schemeClr w14:val="tx1"/>
            </w14:solidFill>
          </w14:textFill>
        </w:rPr>
        <w:fldChar w:fldCharType="separate"/>
      </w:r>
      <w:r>
        <w:rPr>
          <w:rFonts w:ascii="宋体" w:hAnsi="宋体" w:eastAsia="宋体" w:cs="宋体"/>
          <w:color w:val="000000" w:themeColor="text1"/>
          <w14:textFill>
            <w14:solidFill>
              <w14:schemeClr w14:val="tx1"/>
            </w14:solidFill>
          </w14:textFill>
        </w:rPr>
        <w:t xml:space="preserve">10. </w:t>
      </w:r>
      <w:r>
        <w:rPr>
          <w:rFonts w:hint="eastAsia" w:ascii="宋体" w:hAnsi="宋体" w:eastAsia="宋体" w:cs="宋体"/>
          <w:color w:val="000000" w:themeColor="text1"/>
          <w14:textFill>
            <w14:solidFill>
              <w14:schemeClr w14:val="tx1"/>
            </w14:solidFill>
          </w14:textFill>
        </w:rPr>
        <w:t>联系方式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_Toc27427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30"/>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_Toc11705 </w:instrText>
      </w:r>
      <w:r>
        <w:rPr>
          <w:rFonts w:eastAsia="黑体"/>
          <w:color w:val="000000" w:themeColor="text1"/>
          <w14:textFill>
            <w14:solidFill>
              <w14:schemeClr w14:val="tx1"/>
            </w14:solidFill>
          </w14:textFill>
        </w:rPr>
        <w:fldChar w:fldCharType="separate"/>
      </w:r>
      <w:r>
        <w:rPr>
          <w:color w:val="000000" w:themeColor="text1"/>
          <w14:textFill>
            <w14:solidFill>
              <w14:schemeClr w14:val="tx1"/>
            </w14:solidFill>
          </w14:textFill>
        </w:rPr>
        <w:t>第二章</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投标人须知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_Toc11705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30"/>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_Toc16500 </w:instrText>
      </w:r>
      <w:r>
        <w:rPr>
          <w:rFonts w:eastAsia="黑体"/>
          <w:color w:val="000000" w:themeColor="text1"/>
          <w14:textFill>
            <w14:solidFill>
              <w14:schemeClr w14:val="tx1"/>
            </w14:solidFill>
          </w14:textFill>
        </w:rPr>
        <w:fldChar w:fldCharType="separate"/>
      </w:r>
      <w:r>
        <w:rPr>
          <w:color w:val="000000" w:themeColor="text1"/>
          <w14:textFill>
            <w14:solidFill>
              <w14:schemeClr w14:val="tx1"/>
            </w14:solidFill>
          </w14:textFill>
        </w:rPr>
        <w:t>投标人须知前附表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_Toc16500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30"/>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_Toc765 </w:instrText>
      </w:r>
      <w:r>
        <w:rPr>
          <w:rFonts w:eastAsia="黑体"/>
          <w:color w:val="000000" w:themeColor="text1"/>
          <w14:textFill>
            <w14:solidFill>
              <w14:schemeClr w14:val="tx1"/>
            </w14:solidFill>
          </w14:textFill>
        </w:rPr>
        <w:fldChar w:fldCharType="separate"/>
      </w:r>
      <w:r>
        <w:rPr>
          <w:color w:val="000000" w:themeColor="text1"/>
          <w14:textFill>
            <w14:solidFill>
              <w14:schemeClr w14:val="tx1"/>
            </w14:solidFill>
          </w14:textFill>
        </w:rPr>
        <w:t>投标人须知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_Toc765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36"/>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_Toc27813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1 总则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_Toc27813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_Toc30613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1.1 项目概况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_Toc30613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_Toc11265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1.2 资金来源和落实情况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_Toc11265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_Toc18487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1.3 招标范围、计划工期和质量要求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_Toc18487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_Toc23445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1.4 投标人资格要求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_Toc23445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_Toc27688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1.5</w:t>
      </w:r>
      <w:r>
        <w:rPr>
          <w:rFonts w:hint="eastAsia"/>
          <w:color w:val="000000" w:themeColor="text1"/>
          <w14:textFill>
            <w14:solidFill>
              <w14:schemeClr w14:val="tx1"/>
            </w14:solidFill>
          </w14:textFill>
        </w:rPr>
        <w:t>费用承担和设计成果补偿</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_Toc27688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_Toc4695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1.6 保密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_Toc4695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_Toc12355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1.7 语言文字</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_Toc12355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_Toc7304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1.8 计量单位</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_Toc7304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_Toc24395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1.9 踏勘现场</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_Toc24395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_Toc13122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1.10再发包和分包</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_Toc13122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10</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_Toc2509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1.11 偏离</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_Toc2509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10</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_Toc22859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1.12知识产权</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_Toc22859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10</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_Toc21025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1.13同义词语</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_Toc21025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10</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36"/>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_Toc20387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2 招标文件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_Toc20387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10</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_Toc1344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2.1 招标文件的组成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_Toc1344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10</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_Toc26476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2.2 招标文件的澄清</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_Toc26476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_Toc20369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2.3 招标文件的修改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_Toc20369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_Toc25622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2.4 最高投标限价</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_Toc25622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36"/>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_Toc5339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3 投标文件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_Toc5339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_Toc30716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3.1 投标文件的组成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_Toc30716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_Toc27897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3.2 投标报价</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_Toc27897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12</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_Toc30419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3.3 投标有效期</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_Toc30419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14</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_Toc4871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3.4 投标保证金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_Toc4871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14</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_Toc29844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3.5 备选投标方案</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_Toc29844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_Toc17184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3.6 资格审查资料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_Toc17184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_Toc31954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3.7 投标文件的编制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_Toc31954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36"/>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_Toc8936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4 投标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_Toc8936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_Toc11670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4.1</w:t>
      </w:r>
      <w:r>
        <w:rPr>
          <w:rFonts w:hint="eastAsia" w:ascii="宋体" w:hAnsi="宋体" w:eastAsia="宋体" w:cs="宋体"/>
          <w:color w:val="000000" w:themeColor="text1"/>
          <w:szCs w:val="24"/>
          <w14:textFill>
            <w14:solidFill>
              <w14:schemeClr w14:val="tx1"/>
            </w14:solidFill>
          </w14:textFill>
        </w:rPr>
        <w:t>投标文件的密封和标记</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_Toc11670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_Toc29549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4.2 投标文件的递交</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_Toc29549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_Toc6707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4.3 投标文件的修改与撤回</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_Toc6707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_Toc32562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4.4  不予接收的投标文件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_Toc32562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36"/>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_Toc15797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5 开标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_Toc15797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_Toc3415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5.1 开标时间、地点和投标人参会代表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_Toc3415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_Toc16860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5.2 开标程序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_Toc16860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18</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36"/>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_Toc11070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6 评标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_Toc11070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18</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_Toc18104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6.1 评标委员会</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_Toc18104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18</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_Toc26653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6.2 评标原则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_Toc26653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18</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_Toc30820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6.3 评标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_Toc30820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18</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_Toc14941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6.4 评标结果公示</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_Toc14941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36"/>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_Toc27514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7 合同授予</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_Toc27514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_Toc17591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7.1 定标方式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_Toc17591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_Toc15920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7.2 中标通知及中标结果公告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_Toc15920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_Toc8556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7.3 履约保证金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_Toc8556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_Toc11062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7.4 签订合同</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_Toc11062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36"/>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_Toc19468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8 纪律和监督</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_Toc19468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_Toc25819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8.1 对招标人的纪律要求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_Toc25819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_Toc18088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8.2 对投标人的纪律要求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_Toc18088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_Toc513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8.3 对评标委员会成员的纪律要求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_Toc513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_Toc15717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8.4 对与评标活动有关的工作人员的纪律要求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_Toc15717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21</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_Toc21467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8.5 异议与投诉</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_Toc21467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21</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_Toc17348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9 解释权</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_Toc17348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21</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_Toc29336 </w:instrText>
      </w:r>
      <w:r>
        <w:rPr>
          <w:rFonts w:eastAsia="黑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10 招标人补充的其他内容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_Toc29336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21</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30"/>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_Toc24866 </w:instrText>
      </w:r>
      <w:r>
        <w:rPr>
          <w:rFonts w:eastAsia="黑体"/>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第三章  评标办法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_Toc24866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22</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36"/>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_Toc98 </w:instrText>
      </w:r>
      <w:r>
        <w:rPr>
          <w:rFonts w:eastAsia="黑体"/>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 xml:space="preserve">1. </w:t>
      </w:r>
      <w:r>
        <w:rPr>
          <w:rFonts w:hint="eastAsia" w:ascii="黑体" w:hAnsi="黑体"/>
          <w:color w:val="000000" w:themeColor="text1"/>
          <w14:textFill>
            <w14:solidFill>
              <w14:schemeClr w14:val="tx1"/>
            </w14:solidFill>
          </w14:textFill>
        </w:rPr>
        <w:t>评标方法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_Toc98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24</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36"/>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_Toc3641 </w:instrText>
      </w:r>
      <w:r>
        <w:rPr>
          <w:rFonts w:eastAsia="黑体"/>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 xml:space="preserve">2. </w:t>
      </w:r>
      <w:r>
        <w:rPr>
          <w:rFonts w:hint="eastAsia" w:ascii="黑体" w:hAnsi="黑体"/>
          <w:color w:val="000000" w:themeColor="text1"/>
          <w14:textFill>
            <w14:solidFill>
              <w14:schemeClr w14:val="tx1"/>
            </w14:solidFill>
          </w14:textFill>
        </w:rPr>
        <w:t>评审标准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_Toc3641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24</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_Toc23900 </w:instrText>
      </w:r>
      <w:r>
        <w:rPr>
          <w:rFonts w:eastAsia="黑体"/>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2.1</w:t>
      </w:r>
      <w:r>
        <w:rPr>
          <w:rFonts w:hint="eastAsia" w:ascii="黑体" w:hAnsi="黑体"/>
          <w:color w:val="000000" w:themeColor="text1"/>
          <w14:textFill>
            <w14:solidFill>
              <w14:schemeClr w14:val="tx1"/>
            </w14:solidFill>
          </w14:textFill>
        </w:rPr>
        <w:t>评标入围</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_Toc23900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24</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_Toc5036 </w:instrText>
      </w:r>
      <w:r>
        <w:rPr>
          <w:rFonts w:eastAsia="黑体"/>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2.2</w:t>
      </w:r>
      <w:r>
        <w:rPr>
          <w:rFonts w:hint="eastAsia" w:ascii="黑体" w:hAnsi="黑体"/>
          <w:color w:val="000000" w:themeColor="text1"/>
          <w14:textFill>
            <w14:solidFill>
              <w14:schemeClr w14:val="tx1"/>
            </w14:solidFill>
          </w14:textFill>
        </w:rPr>
        <w:t>初步评审标准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_Toc5036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24</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_Toc7299 </w:instrText>
      </w:r>
      <w:r>
        <w:rPr>
          <w:rFonts w:eastAsia="黑体"/>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 xml:space="preserve">2.3 </w:t>
      </w:r>
      <w:r>
        <w:rPr>
          <w:rFonts w:hint="eastAsia" w:ascii="黑体" w:hAnsi="黑体"/>
          <w:color w:val="000000" w:themeColor="text1"/>
          <w14:textFill>
            <w14:solidFill>
              <w14:schemeClr w14:val="tx1"/>
            </w14:solidFill>
          </w14:textFill>
        </w:rPr>
        <w:t>详细评审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_Toc7299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24</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36"/>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_Toc31198 </w:instrText>
      </w:r>
      <w:r>
        <w:rPr>
          <w:rFonts w:eastAsia="黑体"/>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 xml:space="preserve">3. </w:t>
      </w:r>
      <w:r>
        <w:rPr>
          <w:rFonts w:hint="eastAsia" w:ascii="黑体" w:hAnsi="黑体"/>
          <w:color w:val="000000" w:themeColor="text1"/>
          <w14:textFill>
            <w14:solidFill>
              <w14:schemeClr w14:val="tx1"/>
            </w14:solidFill>
          </w14:textFill>
        </w:rPr>
        <w:t>评标程序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_Toc31198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25</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_Toc18587 </w:instrText>
      </w:r>
      <w:r>
        <w:rPr>
          <w:rFonts w:eastAsia="黑体"/>
          <w:color w:val="000000" w:themeColor="text1"/>
          <w14:textFill>
            <w14:solidFill>
              <w14:schemeClr w14:val="tx1"/>
            </w14:solidFill>
          </w14:textFill>
        </w:rPr>
        <w:fldChar w:fldCharType="separate"/>
      </w:r>
      <w:r>
        <w:rPr>
          <w:rFonts w:cs="Calibri"/>
          <w:color w:val="000000" w:themeColor="text1"/>
          <w14:textFill>
            <w14:solidFill>
              <w14:schemeClr w14:val="tx1"/>
            </w14:solidFill>
          </w14:textFill>
        </w:rPr>
        <w:t>3.1</w:t>
      </w:r>
      <w:r>
        <w:rPr>
          <w:rFonts w:hint="eastAsia" w:ascii="黑体" w:hAnsi="黑体"/>
          <w:color w:val="000000" w:themeColor="text1"/>
          <w14:textFill>
            <w14:solidFill>
              <w14:schemeClr w14:val="tx1"/>
            </w14:solidFill>
          </w14:textFill>
        </w:rPr>
        <w:t>评标准备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_Toc18587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25</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_Toc31914 </w:instrText>
      </w:r>
      <w:r>
        <w:rPr>
          <w:rFonts w:eastAsia="黑体"/>
          <w:color w:val="000000" w:themeColor="text1"/>
          <w14:textFill>
            <w14:solidFill>
              <w14:schemeClr w14:val="tx1"/>
            </w14:solidFill>
          </w14:textFill>
        </w:rPr>
        <w:fldChar w:fldCharType="separate"/>
      </w:r>
      <w:r>
        <w:rPr>
          <w:rFonts w:cs="Calibri"/>
          <w:color w:val="000000" w:themeColor="text1"/>
          <w14:textFill>
            <w14:solidFill>
              <w14:schemeClr w14:val="tx1"/>
            </w14:solidFill>
          </w14:textFill>
        </w:rPr>
        <w:t>3.</w:t>
      </w:r>
      <w:r>
        <w:rPr>
          <w:rFonts w:hint="eastAsia" w:cs="Calibri"/>
          <w:color w:val="000000" w:themeColor="text1"/>
          <w14:textFill>
            <w14:solidFill>
              <w14:schemeClr w14:val="tx1"/>
            </w14:solidFill>
          </w14:textFill>
        </w:rPr>
        <w:t>2</w:t>
      </w:r>
      <w:r>
        <w:rPr>
          <w:rFonts w:hint="eastAsia" w:ascii="黑体" w:hAnsi="黑体" w:cs="Calibri"/>
          <w:color w:val="000000" w:themeColor="text1"/>
          <w14:textFill>
            <w14:solidFill>
              <w14:schemeClr w14:val="tx1"/>
            </w14:solidFill>
          </w14:textFill>
        </w:rPr>
        <w:t>评标入围</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_Toc31914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25</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_Toc16790 </w:instrText>
      </w:r>
      <w:r>
        <w:rPr>
          <w:rFonts w:eastAsia="黑体"/>
          <w:color w:val="000000" w:themeColor="text1"/>
          <w14:textFill>
            <w14:solidFill>
              <w14:schemeClr w14:val="tx1"/>
            </w14:solidFill>
          </w14:textFill>
        </w:rPr>
        <w:fldChar w:fldCharType="separate"/>
      </w:r>
      <w:r>
        <w:rPr>
          <w:rFonts w:hint="eastAsia" w:cs="Calibri"/>
          <w:color w:val="000000" w:themeColor="text1"/>
          <w14:textFill>
            <w14:solidFill>
              <w14:schemeClr w14:val="tx1"/>
            </w14:solidFill>
          </w14:textFill>
        </w:rPr>
        <w:t>3.3</w:t>
      </w:r>
      <w:r>
        <w:rPr>
          <w:rFonts w:hint="eastAsia" w:ascii="黑体" w:hAnsi="黑体"/>
          <w:color w:val="000000" w:themeColor="text1"/>
          <w14:textFill>
            <w14:solidFill>
              <w14:schemeClr w14:val="tx1"/>
            </w14:solidFill>
          </w14:textFill>
        </w:rPr>
        <w:t>初步评审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_Toc16790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25</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_Toc18872 </w:instrText>
      </w:r>
      <w:r>
        <w:rPr>
          <w:rFonts w:eastAsia="黑体"/>
          <w:color w:val="000000" w:themeColor="text1"/>
          <w14:textFill>
            <w14:solidFill>
              <w14:schemeClr w14:val="tx1"/>
            </w14:solidFill>
          </w14:textFill>
        </w:rPr>
        <w:fldChar w:fldCharType="separate"/>
      </w:r>
      <w:r>
        <w:rPr>
          <w:rFonts w:hint="eastAsia" w:cs="Calibri"/>
          <w:color w:val="000000" w:themeColor="text1"/>
          <w14:textFill>
            <w14:solidFill>
              <w14:schemeClr w14:val="tx1"/>
            </w14:solidFill>
          </w14:textFill>
        </w:rPr>
        <w:t>3.4</w:t>
      </w:r>
      <w:r>
        <w:rPr>
          <w:rFonts w:hint="eastAsia" w:ascii="黑体" w:hAnsi="黑体"/>
          <w:color w:val="000000" w:themeColor="text1"/>
          <w14:textFill>
            <w14:solidFill>
              <w14:schemeClr w14:val="tx1"/>
            </w14:solidFill>
          </w14:textFill>
        </w:rPr>
        <w:t>详细评审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_Toc18872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26</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_Toc32273 </w:instrText>
      </w:r>
      <w:r>
        <w:rPr>
          <w:rFonts w:eastAsia="黑体"/>
          <w:color w:val="000000" w:themeColor="text1"/>
          <w14:textFill>
            <w14:solidFill>
              <w14:schemeClr w14:val="tx1"/>
            </w14:solidFill>
          </w14:textFill>
        </w:rPr>
        <w:fldChar w:fldCharType="separate"/>
      </w:r>
      <w:r>
        <w:rPr>
          <w:rFonts w:cs="Calibri"/>
          <w:color w:val="000000" w:themeColor="text1"/>
          <w14:textFill>
            <w14:solidFill>
              <w14:schemeClr w14:val="tx1"/>
            </w14:solidFill>
          </w14:textFill>
        </w:rPr>
        <w:t>3.</w:t>
      </w:r>
      <w:r>
        <w:rPr>
          <w:rFonts w:hint="eastAsia" w:cs="Calibri"/>
          <w:color w:val="000000" w:themeColor="text1"/>
          <w14:textFill>
            <w14:solidFill>
              <w14:schemeClr w14:val="tx1"/>
            </w14:solidFill>
          </w14:textFill>
        </w:rPr>
        <w:t>5</w:t>
      </w:r>
      <w:r>
        <w:rPr>
          <w:rFonts w:hint="eastAsia" w:ascii="黑体" w:hAnsi="黑体"/>
          <w:color w:val="000000" w:themeColor="text1"/>
          <w14:textFill>
            <w14:solidFill>
              <w14:schemeClr w14:val="tx1"/>
            </w14:solidFill>
          </w14:textFill>
        </w:rPr>
        <w:t>投标文件的澄清和补正</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_Toc32273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26</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_Toc18040 </w:instrText>
      </w:r>
      <w:r>
        <w:rPr>
          <w:rFonts w:eastAsia="黑体"/>
          <w:color w:val="000000" w:themeColor="text1"/>
          <w14:textFill>
            <w14:solidFill>
              <w14:schemeClr w14:val="tx1"/>
            </w14:solidFill>
          </w14:textFill>
        </w:rPr>
        <w:fldChar w:fldCharType="separate"/>
      </w:r>
      <w:r>
        <w:rPr>
          <w:rFonts w:cs="Calibri"/>
          <w:color w:val="000000" w:themeColor="text1"/>
          <w14:textFill>
            <w14:solidFill>
              <w14:schemeClr w14:val="tx1"/>
            </w14:solidFill>
          </w14:textFill>
        </w:rPr>
        <w:t>3.</w:t>
      </w:r>
      <w:r>
        <w:rPr>
          <w:rFonts w:hint="eastAsia" w:cs="Calibri"/>
          <w:color w:val="000000" w:themeColor="text1"/>
          <w14:textFill>
            <w14:solidFill>
              <w14:schemeClr w14:val="tx1"/>
            </w14:solidFill>
          </w14:textFill>
        </w:rPr>
        <w:t>6</w:t>
      </w:r>
      <w:r>
        <w:rPr>
          <w:rFonts w:hint="eastAsia" w:ascii="黑体" w:hAnsi="黑体"/>
          <w:color w:val="000000" w:themeColor="text1"/>
          <w14:textFill>
            <w14:solidFill>
              <w14:schemeClr w14:val="tx1"/>
            </w14:solidFill>
          </w14:textFill>
        </w:rPr>
        <w:t>推荐中标候选人</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_Toc18040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26</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30"/>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_Toc6621 </w:instrText>
      </w:r>
      <w:r>
        <w:rPr>
          <w:rFonts w:eastAsia="黑体"/>
          <w:color w:val="000000" w:themeColor="text1"/>
          <w14:textFill>
            <w14:solidFill>
              <w14:schemeClr w14:val="tx1"/>
            </w14:solidFill>
          </w14:textFill>
        </w:rPr>
        <w:fldChar w:fldCharType="separate"/>
      </w:r>
      <w:r>
        <w:rPr>
          <w:color w:val="000000" w:themeColor="text1"/>
          <w14:textFill>
            <w14:solidFill>
              <w14:schemeClr w14:val="tx1"/>
            </w14:solidFill>
          </w14:textFill>
        </w:rPr>
        <w:t>第四章合同条款及格式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_Toc6621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28</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30"/>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_Toc17171 </w:instrText>
      </w:r>
      <w:r>
        <w:rPr>
          <w:rFonts w:eastAsia="黑体"/>
          <w:color w:val="000000" w:themeColor="text1"/>
          <w14:textFill>
            <w14:solidFill>
              <w14:schemeClr w14:val="tx1"/>
            </w14:solidFill>
          </w14:textFill>
        </w:rPr>
        <w:fldChar w:fldCharType="separate"/>
      </w:r>
      <w:r>
        <w:rPr>
          <w:color w:val="000000" w:themeColor="text1"/>
          <w14:textFill>
            <w14:solidFill>
              <w14:schemeClr w14:val="tx1"/>
            </w14:solidFill>
          </w14:textFill>
        </w:rPr>
        <w:t>第五章</w:t>
      </w:r>
      <w:r>
        <w:rPr>
          <w:rFonts w:hint="eastAsia"/>
          <w:color w:val="000000" w:themeColor="text1"/>
          <w14:textFill>
            <w14:solidFill>
              <w14:schemeClr w14:val="tx1"/>
            </w14:solidFill>
          </w14:textFill>
        </w:rPr>
        <w:t xml:space="preserve">  报价</w:t>
      </w:r>
      <w:r>
        <w:rPr>
          <w:color w:val="000000" w:themeColor="text1"/>
          <w14:textFill>
            <w14:solidFill>
              <w14:schemeClr w14:val="tx1"/>
            </w14:solidFill>
          </w14:textFill>
        </w:rPr>
        <w:t>清单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_Toc17171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111</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_Toc8623 </w:instrText>
      </w:r>
      <w:r>
        <w:rPr>
          <w:rFonts w:eastAsia="黑体"/>
          <w:color w:val="000000" w:themeColor="text1"/>
          <w14:textFill>
            <w14:solidFill>
              <w14:schemeClr w14:val="tx1"/>
            </w14:solidFill>
          </w14:textFill>
        </w:rPr>
        <w:fldChar w:fldCharType="separate"/>
      </w:r>
      <w:r>
        <w:rPr>
          <w:rFonts w:hint="eastAsia"/>
          <w:color w:val="000000" w:themeColor="text1"/>
          <w:kern w:val="0"/>
          <w14:textFill>
            <w14:solidFill>
              <w14:schemeClr w14:val="tx1"/>
            </w14:solidFill>
          </w14:textFill>
        </w:rPr>
        <w:t>1.报价清单综合说明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_Toc8623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111</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30"/>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_Toc27092 </w:instrText>
      </w:r>
      <w:r>
        <w:rPr>
          <w:rFonts w:eastAsia="黑体"/>
          <w:color w:val="000000" w:themeColor="text1"/>
          <w14:textFill>
            <w14:solidFill>
              <w14:schemeClr w14:val="tx1"/>
            </w14:solidFill>
          </w14:textFill>
        </w:rPr>
        <w:fldChar w:fldCharType="separate"/>
      </w:r>
      <w:r>
        <w:rPr>
          <w:color w:val="000000" w:themeColor="text1"/>
          <w14:textFill>
            <w14:solidFill>
              <w14:schemeClr w14:val="tx1"/>
            </w14:solidFill>
          </w14:textFill>
        </w:rPr>
        <w:t>第六章</w:t>
      </w:r>
      <w:r>
        <w:rPr>
          <w:rFonts w:hint="eastAsia"/>
          <w:color w:val="000000" w:themeColor="text1"/>
          <w14:textFill>
            <w14:solidFill>
              <w14:schemeClr w14:val="tx1"/>
            </w14:solidFill>
          </w14:textFill>
        </w:rPr>
        <w:t xml:space="preserve">  发包人要求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_Toc27092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112</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30"/>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_Toc19816 </w:instrText>
      </w:r>
      <w:r>
        <w:rPr>
          <w:rFonts w:eastAsia="黑体"/>
          <w:color w:val="000000" w:themeColor="text1"/>
          <w14:textFill>
            <w14:solidFill>
              <w14:schemeClr w14:val="tx1"/>
            </w14:solidFill>
          </w14:textFill>
        </w:rPr>
        <w:fldChar w:fldCharType="separate"/>
      </w:r>
      <w:r>
        <w:rPr>
          <w:color w:val="000000" w:themeColor="text1"/>
          <w14:textFill>
            <w14:solidFill>
              <w14:schemeClr w14:val="tx1"/>
            </w14:solidFill>
          </w14:textFill>
        </w:rPr>
        <w:t>第七章</w:t>
      </w:r>
      <w:r>
        <w:rPr>
          <w:rFonts w:hint="eastAsia"/>
          <w:color w:val="000000" w:themeColor="text1"/>
          <w14:textFill>
            <w14:solidFill>
              <w14:schemeClr w14:val="tx1"/>
            </w14:solidFill>
          </w14:textFill>
        </w:rPr>
        <w:t xml:space="preserve">  发包人提供的资料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_Toc19816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112</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30"/>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_Toc30417 </w:instrText>
      </w:r>
      <w:r>
        <w:rPr>
          <w:rFonts w:eastAsia="黑体"/>
          <w:color w:val="000000" w:themeColor="text1"/>
          <w14:textFill>
            <w14:solidFill>
              <w14:schemeClr w14:val="tx1"/>
            </w14:solidFill>
          </w14:textFill>
        </w:rPr>
        <w:fldChar w:fldCharType="separate"/>
      </w:r>
      <w:r>
        <w:rPr>
          <w:color w:val="000000" w:themeColor="text1"/>
          <w14:textFill>
            <w14:solidFill>
              <w14:schemeClr w14:val="tx1"/>
            </w14:solidFill>
          </w14:textFill>
        </w:rPr>
        <w:t>第八章投标文件格式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_Toc30417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113</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36"/>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_Toc9627 </w:instrText>
      </w:r>
      <w:r>
        <w:rPr>
          <w:rFonts w:eastAsia="黑体"/>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封面</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_Toc9627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114</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pStyle w:val="21"/>
        <w:tabs>
          <w:tab w:val="right" w:leader="dot" w:pos="8787"/>
        </w:tabs>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begin"/>
      </w:r>
      <w:r>
        <w:rPr>
          <w:rFonts w:eastAsia="黑体"/>
          <w:color w:val="000000" w:themeColor="text1"/>
          <w14:textFill>
            <w14:solidFill>
              <w14:schemeClr w14:val="tx1"/>
            </w14:solidFill>
          </w14:textFill>
        </w:rPr>
        <w:instrText xml:space="preserve"> HYPERLINK \l _Toc25051 </w:instrText>
      </w:r>
      <w:r>
        <w:rPr>
          <w:rFonts w:eastAsia="黑体"/>
          <w:color w:val="000000" w:themeColor="text1"/>
          <w14:textFill>
            <w14:solidFill>
              <w14:schemeClr w14:val="tx1"/>
            </w14:solidFill>
          </w14:textFill>
        </w:rPr>
        <w:fldChar w:fldCharType="separate"/>
      </w:r>
      <w:r>
        <w:rPr>
          <w:rFonts w:ascii="黑体" w:hAnsi="宋体"/>
          <w:color w:val="000000" w:themeColor="text1"/>
          <w:szCs w:val="28"/>
          <w14:textFill>
            <w14:solidFill>
              <w14:schemeClr w14:val="tx1"/>
            </w14:solidFill>
          </w14:textFill>
        </w:rPr>
        <w:t>项目管理机构组成表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_Toc25051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121</w:t>
      </w:r>
      <w:r>
        <w:rPr>
          <w:color w:val="000000" w:themeColor="text1"/>
          <w14:textFill>
            <w14:solidFill>
              <w14:schemeClr w14:val="tx1"/>
            </w14:solidFill>
          </w14:textFill>
        </w:rPr>
        <w:fldChar w:fldCharType="end"/>
      </w:r>
      <w:r>
        <w:rPr>
          <w:rFonts w:eastAsia="黑体"/>
          <w:color w:val="000000" w:themeColor="text1"/>
          <w14:textFill>
            <w14:solidFill>
              <w14:schemeClr w14:val="tx1"/>
            </w14:solidFill>
          </w14:textFill>
        </w:rPr>
        <w:fldChar w:fldCharType="end"/>
      </w:r>
    </w:p>
    <w:p>
      <w:pPr>
        <w:wordWrap w:val="0"/>
        <w:rPr>
          <w:color w:val="000000" w:themeColor="text1"/>
          <w14:textFill>
            <w14:solidFill>
              <w14:schemeClr w14:val="tx1"/>
            </w14:solidFill>
          </w14:textFill>
        </w:rPr>
      </w:pPr>
      <w:r>
        <w:rPr>
          <w:rFonts w:eastAsia="黑体"/>
          <w:color w:val="000000" w:themeColor="text1"/>
          <w14:textFill>
            <w14:solidFill>
              <w14:schemeClr w14:val="tx1"/>
            </w14:solidFill>
          </w14:textFill>
        </w:rPr>
        <w:fldChar w:fldCharType="end"/>
      </w:r>
    </w:p>
    <w:p>
      <w:pPr>
        <w:wordWrap w:val="0"/>
        <w:rPr>
          <w:color w:val="000000" w:themeColor="text1"/>
          <w14:textFill>
            <w14:solidFill>
              <w14:schemeClr w14:val="tx1"/>
            </w14:solidFill>
          </w14:textFill>
        </w:rPr>
        <w:sectPr>
          <w:footerReference r:id="rId4" w:type="default"/>
          <w:pgSz w:w="11906" w:h="16838"/>
          <w:pgMar w:top="1440" w:right="1559" w:bottom="1440" w:left="1560" w:header="851" w:footer="851" w:gutter="0"/>
          <w:pgBorders>
            <w:top w:val="none" w:sz="0" w:space="0"/>
            <w:left w:val="none" w:sz="0" w:space="0"/>
            <w:bottom w:val="none" w:sz="0" w:space="0"/>
            <w:right w:val="none" w:sz="0" w:space="0"/>
          </w:pgBorders>
          <w:cols w:space="720" w:num="1"/>
          <w:docGrid w:linePitch="312" w:charSpace="0"/>
        </w:sectPr>
      </w:pPr>
    </w:p>
    <w:p>
      <w:pPr>
        <w:wordWrap w:val="0"/>
        <w:jc w:val="center"/>
        <w:rPr>
          <w:color w:val="000000" w:themeColor="text1"/>
          <w:sz w:val="32"/>
          <w:szCs w:val="32"/>
          <w14:textFill>
            <w14:solidFill>
              <w14:schemeClr w14:val="tx1"/>
            </w14:solidFill>
          </w14:textFill>
        </w:rPr>
      </w:pPr>
      <w:bookmarkStart w:id="2" w:name="_Toc389065120"/>
      <w:r>
        <w:rPr>
          <w:rFonts w:hint="eastAsia"/>
          <w:color w:val="000000" w:themeColor="text1"/>
          <w:sz w:val="32"/>
          <w:szCs w:val="32"/>
          <w14:textFill>
            <w14:solidFill>
              <w14:schemeClr w14:val="tx1"/>
            </w14:solidFill>
          </w14:textFill>
        </w:rPr>
        <w:t>大丰区建设工程项目招标文件备案表</w:t>
      </w:r>
    </w:p>
    <w:p>
      <w:pPr>
        <w:wordWrap w:val="0"/>
        <w:jc w:val="center"/>
        <w:rPr>
          <w:color w:val="000000" w:themeColor="text1"/>
          <w:sz w:val="36"/>
          <w:szCs w:val="36"/>
          <w14:textFill>
            <w14:solidFill>
              <w14:schemeClr w14:val="tx1"/>
            </w14:solidFill>
          </w14:textFill>
        </w:rPr>
      </w:pPr>
    </w:p>
    <w:p>
      <w:pPr>
        <w:wordWrap w:val="0"/>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招   标   人：江苏金色农业股份有限公司</w:t>
      </w:r>
    </w:p>
    <w:p>
      <w:pPr>
        <w:wordWrap w:val="0"/>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招标代理机构：江苏双清工程造价咨询有限公司                               </w:t>
      </w:r>
    </w:p>
    <w:tbl>
      <w:tblPr>
        <w:tblStyle w:val="43"/>
        <w:tblW w:w="9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2"/>
        <w:gridCol w:w="2569"/>
        <w:gridCol w:w="1616"/>
        <w:gridCol w:w="3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1362" w:type="dxa"/>
            <w:vAlign w:val="center"/>
          </w:tcPr>
          <w:p>
            <w:pPr>
              <w:wordWrap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工程名称</w:t>
            </w:r>
          </w:p>
        </w:tc>
        <w:tc>
          <w:tcPr>
            <w:tcW w:w="2569" w:type="dxa"/>
            <w:vAlign w:val="center"/>
          </w:tcPr>
          <w:p>
            <w:pPr>
              <w:wordWrap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智能灌溉系统项目设计、采购、施工一体化工程总承包</w:t>
            </w:r>
          </w:p>
        </w:tc>
        <w:tc>
          <w:tcPr>
            <w:tcW w:w="1616" w:type="dxa"/>
            <w:vAlign w:val="center"/>
          </w:tcPr>
          <w:p>
            <w:pPr>
              <w:wordWrap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工程地址</w:t>
            </w:r>
          </w:p>
        </w:tc>
        <w:tc>
          <w:tcPr>
            <w:tcW w:w="3791" w:type="dxa"/>
            <w:vAlign w:val="center"/>
          </w:tcPr>
          <w:p>
            <w:pPr>
              <w:wordWrap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盐城市大丰区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362" w:type="dxa"/>
            <w:vAlign w:val="center"/>
          </w:tcPr>
          <w:p>
            <w:pPr>
              <w:wordWrap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工程投资额（万元）</w:t>
            </w:r>
          </w:p>
        </w:tc>
        <w:tc>
          <w:tcPr>
            <w:tcW w:w="2569" w:type="dxa"/>
            <w:vAlign w:val="center"/>
          </w:tcPr>
          <w:p>
            <w:pPr>
              <w:wordWrap w:val="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266.92</w:t>
            </w:r>
            <w:r>
              <w:rPr>
                <w:rFonts w:hint="eastAsia" w:ascii="宋体" w:hAnsi="宋体" w:eastAsia="宋体" w:cs="宋体"/>
                <w:color w:val="000000" w:themeColor="text1"/>
                <w:sz w:val="21"/>
                <w:szCs w:val="21"/>
                <w:lang w:val="en-US" w:eastAsia="zh-CN"/>
                <w14:textFill>
                  <w14:solidFill>
                    <w14:schemeClr w14:val="tx1"/>
                  </w14:solidFill>
                </w14:textFill>
              </w:rPr>
              <w:t>万元</w:t>
            </w:r>
          </w:p>
        </w:tc>
        <w:tc>
          <w:tcPr>
            <w:tcW w:w="1616" w:type="dxa"/>
            <w:vAlign w:val="center"/>
          </w:tcPr>
          <w:p>
            <w:pPr>
              <w:wordWrap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工程规模</w:t>
            </w:r>
          </w:p>
        </w:tc>
        <w:tc>
          <w:tcPr>
            <w:tcW w:w="3791" w:type="dxa"/>
            <w:vAlign w:val="center"/>
          </w:tcPr>
          <w:p>
            <w:pPr>
              <w:wordWrap w:val="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362" w:type="dxa"/>
            <w:vAlign w:val="center"/>
          </w:tcPr>
          <w:p>
            <w:pPr>
              <w:wordWrap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招标</w:t>
            </w:r>
          </w:p>
          <w:p>
            <w:pPr>
              <w:wordWrap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人地 址</w:t>
            </w:r>
          </w:p>
        </w:tc>
        <w:tc>
          <w:tcPr>
            <w:tcW w:w="2569" w:type="dxa"/>
            <w:vAlign w:val="center"/>
          </w:tcPr>
          <w:p>
            <w:pPr>
              <w:wordWrap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盐城市大丰区黄海西路66号 </w:t>
            </w:r>
          </w:p>
        </w:tc>
        <w:tc>
          <w:tcPr>
            <w:tcW w:w="1616" w:type="dxa"/>
            <w:vAlign w:val="center"/>
          </w:tcPr>
          <w:p>
            <w:pPr>
              <w:wordWrap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招 标 人联系电话</w:t>
            </w:r>
          </w:p>
        </w:tc>
        <w:tc>
          <w:tcPr>
            <w:tcW w:w="3791" w:type="dxa"/>
            <w:vAlign w:val="center"/>
          </w:tcPr>
          <w:p>
            <w:pPr>
              <w:wordWrap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朱建军  </w:t>
            </w:r>
          </w:p>
          <w:p>
            <w:pPr>
              <w:wordWrap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13851007818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jc w:val="center"/>
        </w:trPr>
        <w:tc>
          <w:tcPr>
            <w:tcW w:w="1362" w:type="dxa"/>
            <w:vAlign w:val="center"/>
          </w:tcPr>
          <w:p>
            <w:pPr>
              <w:wordWrap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代理机构</w:t>
            </w:r>
          </w:p>
          <w:p>
            <w:pPr>
              <w:wordWrap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地址</w:t>
            </w:r>
          </w:p>
        </w:tc>
        <w:tc>
          <w:tcPr>
            <w:tcW w:w="2569" w:type="dxa"/>
            <w:vAlign w:val="center"/>
          </w:tcPr>
          <w:p>
            <w:pPr>
              <w:wordWrap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盐城市大丰区大中街道城南新区大学生科技创业园四号楼3楼</w:t>
            </w:r>
          </w:p>
        </w:tc>
        <w:tc>
          <w:tcPr>
            <w:tcW w:w="1616" w:type="dxa"/>
            <w:vAlign w:val="center"/>
          </w:tcPr>
          <w:p>
            <w:pPr>
              <w:wordWrap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代理机构联系电话</w:t>
            </w:r>
          </w:p>
        </w:tc>
        <w:tc>
          <w:tcPr>
            <w:tcW w:w="3791" w:type="dxa"/>
            <w:vAlign w:val="center"/>
          </w:tcPr>
          <w:p>
            <w:pPr>
              <w:wordWrap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管义莹0515-69968722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362" w:type="dxa"/>
            <w:vMerge w:val="restart"/>
            <w:vAlign w:val="center"/>
          </w:tcPr>
          <w:p>
            <w:pPr>
              <w:wordWrap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代理机构资质</w:t>
            </w:r>
          </w:p>
        </w:tc>
        <w:tc>
          <w:tcPr>
            <w:tcW w:w="2569" w:type="dxa"/>
            <w:vAlign w:val="center"/>
          </w:tcPr>
          <w:p>
            <w:pPr>
              <w:wordWrap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资质证</w:t>
            </w:r>
          </w:p>
          <w:p>
            <w:pPr>
              <w:wordWrap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书　号</w:t>
            </w:r>
          </w:p>
        </w:tc>
        <w:tc>
          <w:tcPr>
            <w:tcW w:w="5407" w:type="dxa"/>
            <w:gridSpan w:val="2"/>
            <w:vAlign w:val="center"/>
          </w:tcPr>
          <w:p>
            <w:pPr>
              <w:wordWrap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F132042706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362" w:type="dxa"/>
            <w:vMerge w:val="continue"/>
            <w:vAlign w:val="center"/>
          </w:tcPr>
          <w:p>
            <w:pPr>
              <w:wordWrap w:val="0"/>
              <w:jc w:val="center"/>
              <w:rPr>
                <w:rFonts w:hint="eastAsia" w:ascii="宋体" w:hAnsi="宋体" w:eastAsia="宋体" w:cs="宋体"/>
                <w:color w:val="000000" w:themeColor="text1"/>
                <w:sz w:val="21"/>
                <w:szCs w:val="21"/>
                <w14:textFill>
                  <w14:solidFill>
                    <w14:schemeClr w14:val="tx1"/>
                  </w14:solidFill>
                </w14:textFill>
              </w:rPr>
            </w:pPr>
          </w:p>
        </w:tc>
        <w:tc>
          <w:tcPr>
            <w:tcW w:w="2569" w:type="dxa"/>
            <w:vAlign w:val="center"/>
          </w:tcPr>
          <w:p>
            <w:pPr>
              <w:wordWrap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资　质</w:t>
            </w:r>
          </w:p>
          <w:p>
            <w:pPr>
              <w:wordWrap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等　级</w:t>
            </w:r>
          </w:p>
        </w:tc>
        <w:tc>
          <w:tcPr>
            <w:tcW w:w="5407" w:type="dxa"/>
            <w:gridSpan w:val="2"/>
            <w:vAlign w:val="center"/>
          </w:tcPr>
          <w:p>
            <w:pPr>
              <w:wordWrap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362" w:type="dxa"/>
            <w:vAlign w:val="center"/>
          </w:tcPr>
          <w:p>
            <w:pPr>
              <w:wordWrap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经办 人</w:t>
            </w:r>
          </w:p>
        </w:tc>
        <w:tc>
          <w:tcPr>
            <w:tcW w:w="2569" w:type="dxa"/>
            <w:vAlign w:val="center"/>
          </w:tcPr>
          <w:p>
            <w:pPr>
              <w:wordWrap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管义莹</w:t>
            </w:r>
          </w:p>
        </w:tc>
        <w:tc>
          <w:tcPr>
            <w:tcW w:w="1616" w:type="dxa"/>
            <w:vAlign w:val="center"/>
          </w:tcPr>
          <w:p>
            <w:pPr>
              <w:wordWrap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联系电话</w:t>
            </w:r>
          </w:p>
        </w:tc>
        <w:tc>
          <w:tcPr>
            <w:tcW w:w="3791" w:type="dxa"/>
            <w:vAlign w:val="center"/>
          </w:tcPr>
          <w:p>
            <w:pPr>
              <w:wordWrap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0515-69968722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2" w:hRule="atLeast"/>
          <w:jc w:val="center"/>
        </w:trPr>
        <w:tc>
          <w:tcPr>
            <w:tcW w:w="1362" w:type="dxa"/>
            <w:vAlign w:val="center"/>
          </w:tcPr>
          <w:p>
            <w:pPr>
              <w:wordWrap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备 案</w:t>
            </w:r>
          </w:p>
          <w:p>
            <w:pPr>
              <w:wordWrap w:val="0"/>
              <w:jc w:val="center"/>
              <w:rPr>
                <w:rFonts w:hint="eastAsia" w:ascii="宋体" w:hAnsi="宋体" w:eastAsia="宋体" w:cs="宋体"/>
                <w:color w:val="000000" w:themeColor="text1"/>
                <w:sz w:val="21"/>
                <w:szCs w:val="21"/>
                <w14:textFill>
                  <w14:solidFill>
                    <w14:schemeClr w14:val="tx1"/>
                  </w14:solidFill>
                </w14:textFill>
              </w:rPr>
            </w:pPr>
          </w:p>
          <w:p>
            <w:pPr>
              <w:wordWrap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机 关</w:t>
            </w:r>
          </w:p>
          <w:p>
            <w:pPr>
              <w:wordWrap w:val="0"/>
              <w:jc w:val="center"/>
              <w:rPr>
                <w:rFonts w:hint="eastAsia" w:ascii="宋体" w:hAnsi="宋体" w:eastAsia="宋体" w:cs="宋体"/>
                <w:color w:val="000000" w:themeColor="text1"/>
                <w:sz w:val="21"/>
                <w:szCs w:val="21"/>
                <w14:textFill>
                  <w14:solidFill>
                    <w14:schemeClr w14:val="tx1"/>
                  </w14:solidFill>
                </w14:textFill>
              </w:rPr>
            </w:pPr>
          </w:p>
          <w:p>
            <w:pPr>
              <w:wordWrap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意 见</w:t>
            </w:r>
          </w:p>
        </w:tc>
        <w:tc>
          <w:tcPr>
            <w:tcW w:w="7976" w:type="dxa"/>
            <w:gridSpan w:val="3"/>
          </w:tcPr>
          <w:p>
            <w:pPr>
              <w:wordWrap w:val="0"/>
              <w:ind w:firstLine="420" w:firstLineChars="200"/>
              <w:rPr>
                <w:rFonts w:hint="eastAsia" w:ascii="宋体" w:hAnsi="宋体" w:eastAsia="宋体" w:cs="宋体"/>
                <w:color w:val="000000" w:themeColor="text1"/>
                <w:sz w:val="21"/>
                <w:szCs w:val="21"/>
                <w14:textFill>
                  <w14:solidFill>
                    <w14:schemeClr w14:val="tx1"/>
                  </w14:solidFill>
                </w14:textFill>
              </w:rPr>
            </w:pPr>
          </w:p>
          <w:p>
            <w:pPr>
              <w:wordWrap w:val="0"/>
              <w:ind w:firstLine="420" w:firstLineChars="200"/>
              <w:rPr>
                <w:rFonts w:hint="eastAsia" w:ascii="宋体" w:hAnsi="宋体" w:eastAsia="宋体" w:cs="宋体"/>
                <w:color w:val="000000" w:themeColor="text1"/>
                <w:sz w:val="21"/>
                <w:szCs w:val="21"/>
                <w14:textFill>
                  <w14:solidFill>
                    <w14:schemeClr w14:val="tx1"/>
                  </w14:solidFill>
                </w14:textFill>
              </w:rPr>
            </w:pPr>
          </w:p>
          <w:p>
            <w:pPr>
              <w:wordWrap w:val="0"/>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本工程项目招标文件备案材料于2020年</w:t>
            </w:r>
            <w:r>
              <w:rPr>
                <w:rFonts w:hint="eastAsia" w:ascii="宋体" w:hAnsi="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cs="宋体"/>
                <w:color w:val="000000" w:themeColor="text1"/>
                <w:sz w:val="21"/>
                <w:szCs w:val="21"/>
                <w:u w:val="single"/>
                <w:lang w:val="en-US" w:eastAsia="zh-CN"/>
                <w14:textFill>
                  <w14:solidFill>
                    <w14:schemeClr w14:val="tx1"/>
                  </w14:solidFill>
                </w14:textFill>
              </w:rPr>
              <w:t>3</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日收讫。</w:t>
            </w:r>
          </w:p>
          <w:p>
            <w:pPr>
              <w:wordWrap w:val="0"/>
              <w:ind w:firstLine="420" w:firstLineChars="200"/>
              <w:rPr>
                <w:rFonts w:hint="eastAsia" w:ascii="宋体" w:hAnsi="宋体" w:eastAsia="宋体" w:cs="宋体"/>
                <w:color w:val="000000" w:themeColor="text1"/>
                <w:sz w:val="21"/>
                <w:szCs w:val="21"/>
                <w14:textFill>
                  <w14:solidFill>
                    <w14:schemeClr w14:val="tx1"/>
                  </w14:solidFill>
                </w14:textFill>
              </w:rPr>
            </w:pPr>
          </w:p>
          <w:p>
            <w:pPr>
              <w:wordWrap w:val="0"/>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p>
          <w:p>
            <w:pPr>
              <w:wordWrap w:val="0"/>
              <w:ind w:firstLine="420" w:firstLineChars="200"/>
              <w:rPr>
                <w:rFonts w:hint="eastAsia" w:ascii="宋体" w:hAnsi="宋体" w:eastAsia="宋体" w:cs="宋体"/>
                <w:color w:val="000000" w:themeColor="text1"/>
                <w:sz w:val="21"/>
                <w:szCs w:val="21"/>
                <w14:textFill>
                  <w14:solidFill>
                    <w14:schemeClr w14:val="tx1"/>
                  </w14:solidFill>
                </w14:textFill>
              </w:rPr>
            </w:pPr>
          </w:p>
          <w:p>
            <w:pPr>
              <w:wordWrap w:val="0"/>
              <w:ind w:firstLine="420" w:firstLineChars="200"/>
              <w:rPr>
                <w:rFonts w:hint="eastAsia" w:ascii="宋体" w:hAnsi="宋体" w:eastAsia="宋体" w:cs="宋体"/>
                <w:color w:val="000000" w:themeColor="text1"/>
                <w:sz w:val="21"/>
                <w:szCs w:val="21"/>
                <w14:textFill>
                  <w14:solidFill>
                    <w14:schemeClr w14:val="tx1"/>
                  </w14:solidFill>
                </w14:textFill>
              </w:rPr>
            </w:pPr>
          </w:p>
          <w:p>
            <w:pPr>
              <w:wordWrap w:val="0"/>
              <w:rPr>
                <w:rFonts w:hint="eastAsia" w:ascii="宋体" w:hAnsi="宋体" w:eastAsia="宋体" w:cs="宋体"/>
                <w:color w:val="000000" w:themeColor="text1"/>
                <w:sz w:val="21"/>
                <w:szCs w:val="21"/>
                <w14:textFill>
                  <w14:solidFill>
                    <w14:schemeClr w14:val="tx1"/>
                  </w14:solidFill>
                </w14:textFill>
              </w:rPr>
            </w:pPr>
          </w:p>
          <w:p>
            <w:pPr>
              <w:wordWrap w:val="0"/>
              <w:ind w:firstLine="4620" w:firstLineChars="2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备案机关（公章）</w:t>
            </w:r>
          </w:p>
          <w:p>
            <w:pPr>
              <w:wordWrap w:val="0"/>
              <w:ind w:firstLine="420" w:firstLineChars="200"/>
              <w:rPr>
                <w:rFonts w:hint="eastAsia" w:ascii="宋体" w:hAnsi="宋体" w:eastAsia="宋体" w:cs="宋体"/>
                <w:color w:val="000000" w:themeColor="text1"/>
                <w:sz w:val="21"/>
                <w:szCs w:val="21"/>
                <w14:textFill>
                  <w14:solidFill>
                    <w14:schemeClr w14:val="tx1"/>
                  </w14:solidFill>
                </w14:textFill>
              </w:rPr>
            </w:pPr>
          </w:p>
          <w:p>
            <w:pPr>
              <w:wordWrap w:val="0"/>
              <w:ind w:firstLine="420" w:firstLineChars="200"/>
              <w:rPr>
                <w:rFonts w:hint="eastAsia" w:ascii="宋体" w:hAnsi="宋体" w:eastAsia="宋体" w:cs="宋体"/>
                <w:color w:val="000000" w:themeColor="text1"/>
                <w:sz w:val="21"/>
                <w:szCs w:val="21"/>
                <w14:textFill>
                  <w14:solidFill>
                    <w14:schemeClr w14:val="tx1"/>
                  </w14:solidFill>
                </w14:textFill>
              </w:rPr>
            </w:pPr>
          </w:p>
          <w:p>
            <w:pPr>
              <w:wordWrap w:val="0"/>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监督投诉电话：0515-83927229</w:t>
            </w:r>
          </w:p>
          <w:p>
            <w:pPr>
              <w:wordWrap w:val="0"/>
              <w:ind w:firstLine="420" w:firstLineChars="200"/>
              <w:rPr>
                <w:rFonts w:hint="eastAsia" w:ascii="宋体" w:hAnsi="宋体" w:eastAsia="宋体" w:cs="宋体"/>
                <w:color w:val="000000" w:themeColor="text1"/>
                <w:sz w:val="21"/>
                <w:szCs w:val="21"/>
                <w14:textFill>
                  <w14:solidFill>
                    <w14:schemeClr w14:val="tx1"/>
                  </w14:solidFill>
                </w14:textFill>
              </w:rPr>
            </w:pPr>
          </w:p>
        </w:tc>
      </w:tr>
    </w:tbl>
    <w:p>
      <w:pPr>
        <w:pStyle w:val="3"/>
        <w:wordWrap w:val="0"/>
        <w:jc w:val="center"/>
        <w:rPr>
          <w:color w:val="000000" w:themeColor="text1"/>
          <w14:textFill>
            <w14:solidFill>
              <w14:schemeClr w14:val="tx1"/>
            </w14:solidFill>
          </w14:textFill>
        </w:rPr>
        <w:sectPr>
          <w:footerReference r:id="rId5" w:type="default"/>
          <w:pgSz w:w="11906" w:h="16838"/>
          <w:pgMar w:top="1440" w:right="1559" w:bottom="1440" w:left="1560" w:header="851" w:footer="851" w:gutter="0"/>
          <w:pgBorders>
            <w:top w:val="none" w:sz="0" w:space="0"/>
            <w:left w:val="none" w:sz="0" w:space="0"/>
            <w:bottom w:val="none" w:sz="0" w:space="0"/>
            <w:right w:val="none" w:sz="0" w:space="0"/>
          </w:pgBorders>
          <w:pgNumType w:fmt="decimal" w:start="1"/>
          <w:cols w:space="720" w:num="1"/>
          <w:docGrid w:linePitch="312" w:charSpace="0"/>
        </w:sectPr>
      </w:pPr>
    </w:p>
    <w:p>
      <w:pPr>
        <w:rPr>
          <w:color w:val="000000" w:themeColor="text1"/>
          <w14:textFill>
            <w14:solidFill>
              <w14:schemeClr w14:val="tx1"/>
            </w14:solidFill>
          </w14:textFill>
        </w:rPr>
      </w:pPr>
    </w:p>
    <w:p>
      <w:pPr>
        <w:pStyle w:val="3"/>
        <w:wordWrap w:val="0"/>
        <w:jc w:val="center"/>
        <w:rPr>
          <w:color w:val="000000" w:themeColor="text1"/>
          <w14:textFill>
            <w14:solidFill>
              <w14:schemeClr w14:val="tx1"/>
            </w14:solidFill>
          </w14:textFill>
        </w:rPr>
      </w:pPr>
      <w:bookmarkStart w:id="3" w:name="_Toc27731"/>
      <w:r>
        <w:rPr>
          <w:color w:val="000000" w:themeColor="text1"/>
          <w14:textFill>
            <w14:solidFill>
              <w14:schemeClr w14:val="tx1"/>
            </w14:solidFill>
          </w14:textFill>
        </w:rPr>
        <w:t>第一章</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招标公告</w:t>
      </w:r>
      <w:bookmarkEnd w:id="2"/>
      <w:bookmarkEnd w:id="3"/>
    </w:p>
    <w:p>
      <w:pPr>
        <w:wordWrap w:val="0"/>
        <w:spacing w:line="360" w:lineRule="auto"/>
        <w:ind w:firstLine="435"/>
        <w:rPr>
          <w:color w:val="000000" w:themeColor="text1"/>
          <w14:textFill>
            <w14:solidFill>
              <w14:schemeClr w14:val="tx1"/>
            </w14:solidFill>
          </w14:textFill>
        </w:rPr>
      </w:pPr>
    </w:p>
    <w:p>
      <w:pPr>
        <w:wordWrap w:val="0"/>
        <w:spacing w:line="360" w:lineRule="auto"/>
        <w:jc w:val="center"/>
        <w:rPr>
          <w:color w:val="000000" w:themeColor="text1"/>
          <w:sz w:val="28"/>
          <w:szCs w:val="28"/>
          <w14:textFill>
            <w14:solidFill>
              <w14:schemeClr w14:val="tx1"/>
            </w14:solidFill>
          </w14:textFill>
        </w:rPr>
      </w:pPr>
      <w:bookmarkStart w:id="4" w:name="_Toc389065121"/>
      <w:r>
        <w:rPr>
          <w:rFonts w:hint="eastAsia"/>
          <w:color w:val="000000" w:themeColor="text1"/>
          <w:sz w:val="28"/>
          <w:szCs w:val="28"/>
          <w:u w:val="single"/>
          <w14:textFill>
            <w14:solidFill>
              <w14:schemeClr w14:val="tx1"/>
            </w14:solidFill>
          </w14:textFill>
        </w:rPr>
        <w:t>智能灌溉系统项目设计、采购、施工一体化</w:t>
      </w:r>
      <w:r>
        <w:rPr>
          <w:color w:val="000000" w:themeColor="text1"/>
          <w:sz w:val="28"/>
          <w:szCs w:val="28"/>
          <w14:textFill>
            <w14:solidFill>
              <w14:schemeClr w14:val="tx1"/>
            </w14:solidFill>
          </w14:textFill>
        </w:rPr>
        <w:t>工程总承包招标公告</w:t>
      </w:r>
      <w:bookmarkEnd w:id="4"/>
    </w:p>
    <w:p>
      <w:pPr>
        <w:wordWrap w:val="0"/>
        <w:spacing w:line="360" w:lineRule="auto"/>
        <w:rPr>
          <w:color w:val="000000" w:themeColor="text1"/>
          <w14:textFill>
            <w14:solidFill>
              <w14:schemeClr w14:val="tx1"/>
            </w14:solidFill>
          </w14:textFill>
        </w:rPr>
      </w:pPr>
    </w:p>
    <w:p>
      <w:pPr>
        <w:pStyle w:val="4"/>
        <w:wordWrap w:val="0"/>
        <w:adjustRightInd w:val="0"/>
        <w:snapToGrid w:val="0"/>
        <w:spacing w:before="0" w:after="0" w:line="360" w:lineRule="auto"/>
        <w:rPr>
          <w:rFonts w:ascii="宋体" w:hAnsi="宋体" w:eastAsia="宋体" w:cs="宋体"/>
          <w:color w:val="000000" w:themeColor="text1"/>
          <w14:textFill>
            <w14:solidFill>
              <w14:schemeClr w14:val="tx1"/>
            </w14:solidFill>
          </w14:textFill>
        </w:rPr>
      </w:pPr>
      <w:bookmarkStart w:id="5" w:name="_Toc26925"/>
      <w:bookmarkStart w:id="6" w:name="_Toc389065122"/>
      <w:r>
        <w:rPr>
          <w:rFonts w:hint="eastAsia" w:ascii="宋体" w:hAnsi="宋体" w:eastAsia="宋体" w:cs="宋体"/>
          <w:color w:val="000000" w:themeColor="text1"/>
          <w14:textFill>
            <w14:solidFill>
              <w14:schemeClr w14:val="tx1"/>
            </w14:solidFill>
          </w14:textFill>
        </w:rPr>
        <w:t>1. 招标条件</w:t>
      </w:r>
      <w:bookmarkEnd w:id="5"/>
      <w:bookmarkEnd w:id="6"/>
    </w:p>
    <w:p>
      <w:pPr>
        <w:wordWrap w:val="0"/>
        <w:adjustRightInd w:val="0"/>
        <w:snapToGrid w:val="0"/>
        <w:spacing w:line="360" w:lineRule="auto"/>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本招标项目</w:t>
      </w:r>
      <w:r>
        <w:rPr>
          <w:rFonts w:hint="eastAsia" w:ascii="宋体" w:hAnsi="宋体" w:cs="宋体"/>
          <w:color w:val="000000" w:themeColor="text1"/>
          <w:u w:val="single"/>
          <w14:textFill>
            <w14:solidFill>
              <w14:schemeClr w14:val="tx1"/>
            </w14:solidFill>
          </w14:textFill>
        </w:rPr>
        <w:t xml:space="preserve"> 智能灌溉系统项目设计、采购、施工一体化工程总承包招标 </w:t>
      </w:r>
      <w:r>
        <w:rPr>
          <w:rFonts w:hint="eastAsia" w:ascii="宋体" w:hAnsi="宋体" w:cs="宋体"/>
          <w:color w:val="000000" w:themeColor="text1"/>
          <w14:textFill>
            <w14:solidFill>
              <w14:schemeClr w14:val="tx1"/>
            </w14:solidFill>
          </w14:textFill>
        </w:rPr>
        <w:t xml:space="preserve">已由 </w:t>
      </w:r>
      <w:r>
        <w:rPr>
          <w:rFonts w:hint="eastAsia" w:ascii="宋体" w:hAnsi="宋体" w:cs="宋体"/>
          <w:color w:val="000000" w:themeColor="text1"/>
          <w:u w:val="single"/>
          <w14:textFill>
            <w14:solidFill>
              <w14:schemeClr w14:val="tx1"/>
            </w14:solidFill>
          </w14:textFill>
        </w:rPr>
        <w:t xml:space="preserve">盐城市大丰区农业农村局、盐城市大丰区财政局 </w:t>
      </w:r>
      <w:r>
        <w:rPr>
          <w:rFonts w:hint="eastAsia" w:ascii="宋体" w:hAnsi="宋体" w:cs="宋体"/>
          <w:color w:val="000000" w:themeColor="text1"/>
          <w14:textFill>
            <w14:solidFill>
              <w14:schemeClr w14:val="tx1"/>
            </w14:solidFill>
          </w14:textFill>
        </w:rPr>
        <w:t>以</w:t>
      </w:r>
      <w:r>
        <w:rPr>
          <w:rFonts w:hint="eastAsia" w:ascii="宋体" w:hAnsi="宋体" w:cs="宋体"/>
          <w:color w:val="000000" w:themeColor="text1"/>
          <w:u w:val="single"/>
          <w14:textFill>
            <w14:solidFill>
              <w14:schemeClr w14:val="tx1"/>
            </w14:solidFill>
          </w14:textFill>
        </w:rPr>
        <w:t xml:space="preserve"> 大农发【2020】16号文</w:t>
      </w:r>
      <w:r>
        <w:rPr>
          <w:rFonts w:hint="eastAsia" w:ascii="宋体" w:hAnsi="宋体" w:cs="宋体"/>
          <w:color w:val="000000" w:themeColor="text1"/>
          <w14:textFill>
            <w14:solidFill>
              <w14:schemeClr w14:val="tx1"/>
            </w14:solidFill>
          </w14:textFill>
        </w:rPr>
        <w:t>批准建设，项目业主为</w:t>
      </w:r>
      <w:r>
        <w:rPr>
          <w:rFonts w:hint="eastAsia" w:ascii="宋体" w:hAnsi="宋体" w:cs="宋体"/>
          <w:color w:val="000000" w:themeColor="text1"/>
          <w:u w:val="single"/>
          <w14:textFill>
            <w14:solidFill>
              <w14:schemeClr w14:val="tx1"/>
            </w14:solidFill>
          </w14:textFill>
        </w:rPr>
        <w:t xml:space="preserve"> 江苏金色农业股份有限公司 </w:t>
      </w:r>
      <w:r>
        <w:rPr>
          <w:rFonts w:hint="eastAsia" w:ascii="宋体" w:hAnsi="宋体" w:cs="宋体"/>
          <w:color w:val="000000" w:themeColor="text1"/>
          <w14:textFill>
            <w14:solidFill>
              <w14:schemeClr w14:val="tx1"/>
            </w14:solidFill>
          </w14:textFill>
        </w:rPr>
        <w:t>，建设资金来自</w:t>
      </w:r>
      <w:r>
        <w:rPr>
          <w:rFonts w:hint="eastAsia" w:ascii="宋体" w:hAnsi="宋体" w:cs="宋体"/>
          <w:color w:val="000000" w:themeColor="text1"/>
          <w:u w:val="single"/>
          <w14:textFill>
            <w14:solidFill>
              <w14:schemeClr w14:val="tx1"/>
            </w14:solidFill>
          </w14:textFill>
        </w:rPr>
        <w:t xml:space="preserve"> 省及以上财政补助 </w:t>
      </w:r>
      <w:r>
        <w:rPr>
          <w:rFonts w:hint="eastAsia" w:ascii="宋体" w:hAnsi="宋体" w:cs="宋体"/>
          <w:color w:val="000000" w:themeColor="text1"/>
          <w14:textFill>
            <w14:solidFill>
              <w14:schemeClr w14:val="tx1"/>
            </w14:solidFill>
          </w14:textFill>
        </w:rPr>
        <w:t>，项目出资比例为</w:t>
      </w:r>
      <w:r>
        <w:rPr>
          <w:rFonts w:hint="eastAsia" w:ascii="宋体" w:hAnsi="宋体" w:cs="宋体"/>
          <w:color w:val="000000" w:themeColor="text1"/>
          <w:u w:val="single"/>
          <w14:textFill>
            <w14:solidFill>
              <w14:schemeClr w14:val="tx1"/>
            </w14:solidFill>
          </w14:textFill>
        </w:rPr>
        <w:t>1：1</w:t>
      </w:r>
      <w:r>
        <w:rPr>
          <w:rFonts w:hint="eastAsia" w:ascii="宋体" w:hAnsi="宋体" w:cs="宋体"/>
          <w:color w:val="000000" w:themeColor="text1"/>
          <w14:textFill>
            <w14:solidFill>
              <w14:schemeClr w14:val="tx1"/>
            </w14:solidFill>
          </w14:textFill>
        </w:rPr>
        <w:t>。项目已具备招标条件，现对该项目的</w:t>
      </w:r>
      <w:r>
        <w:rPr>
          <w:rFonts w:hint="eastAsia" w:ascii="宋体" w:hAnsi="宋体" w:cs="宋体"/>
          <w:color w:val="000000" w:themeColor="text1"/>
          <w:u w:val="single"/>
          <w14:textFill>
            <w14:solidFill>
              <w14:schemeClr w14:val="tx1"/>
            </w14:solidFill>
          </w14:textFill>
        </w:rPr>
        <w:t>设计、采购、施工</w:t>
      </w:r>
      <w:r>
        <w:rPr>
          <w:rFonts w:hint="eastAsia" w:ascii="宋体" w:hAnsi="宋体" w:cs="宋体"/>
          <w:color w:val="000000" w:themeColor="text1"/>
          <w14:textFill>
            <w14:solidFill>
              <w14:schemeClr w14:val="tx1"/>
            </w14:solidFill>
          </w14:textFill>
        </w:rPr>
        <w:t>工程总承包进行公开招标，特邀请有兴趣的潜在投标人参加投标。</w:t>
      </w:r>
    </w:p>
    <w:p>
      <w:pPr>
        <w:pStyle w:val="4"/>
        <w:wordWrap w:val="0"/>
        <w:adjustRightInd w:val="0"/>
        <w:snapToGrid w:val="0"/>
        <w:spacing w:before="0" w:after="0" w:line="360" w:lineRule="auto"/>
        <w:rPr>
          <w:rFonts w:ascii="宋体" w:hAnsi="宋体" w:eastAsia="宋体" w:cs="宋体"/>
          <w:color w:val="000000" w:themeColor="text1"/>
          <w14:textFill>
            <w14:solidFill>
              <w14:schemeClr w14:val="tx1"/>
            </w14:solidFill>
          </w14:textFill>
        </w:rPr>
      </w:pPr>
      <w:bookmarkStart w:id="7" w:name="_Toc12785"/>
      <w:bookmarkStart w:id="8" w:name="_Toc389065123"/>
      <w:r>
        <w:rPr>
          <w:rFonts w:hint="eastAsia" w:ascii="宋体" w:hAnsi="宋体" w:eastAsia="宋体" w:cs="宋体"/>
          <w:color w:val="000000" w:themeColor="text1"/>
          <w14:textFill>
            <w14:solidFill>
              <w14:schemeClr w14:val="tx1"/>
            </w14:solidFill>
          </w14:textFill>
        </w:rPr>
        <w:t>2. 项目概况与招标范围</w:t>
      </w:r>
      <w:bookmarkEnd w:id="7"/>
      <w:bookmarkEnd w:id="8"/>
    </w:p>
    <w:p>
      <w:pPr>
        <w:wordWrap w:val="0"/>
        <w:adjustRightInd w:val="0"/>
        <w:snapToGrid w:val="0"/>
        <w:spacing w:line="360" w:lineRule="auto"/>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2.1项目概况</w:t>
      </w:r>
    </w:p>
    <w:p>
      <w:pPr>
        <w:wordWrap w:val="0"/>
        <w:adjustRightInd w:val="0"/>
        <w:snapToGrid w:val="0"/>
        <w:spacing w:line="360" w:lineRule="auto"/>
        <w:ind w:firstLine="420" w:firstLineChars="200"/>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2.1.1建设地点：</w:t>
      </w:r>
      <w:r>
        <w:rPr>
          <w:rFonts w:hint="eastAsia" w:ascii="宋体" w:hAnsi="宋体" w:cs="宋体"/>
          <w:color w:val="000000" w:themeColor="text1"/>
          <w:u w:val="single"/>
          <w14:textFill>
            <w14:solidFill>
              <w14:schemeClr w14:val="tx1"/>
            </w14:solidFill>
          </w14:textFill>
        </w:rPr>
        <w:t>江苏省大丰区刘庄镇</w:t>
      </w:r>
    </w:p>
    <w:p>
      <w:pPr>
        <w:wordWrap w:val="0"/>
        <w:adjustRightInd w:val="0"/>
        <w:snapToGrid w:val="0"/>
        <w:spacing w:line="360" w:lineRule="auto"/>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2.1.2建设规模：</w:t>
      </w:r>
      <w:r>
        <w:rPr>
          <w:rFonts w:hint="eastAsia" w:ascii="宋体" w:hAnsi="宋体" w:cs="宋体"/>
          <w:color w:val="000000" w:themeColor="text1"/>
          <w:u w:val="single"/>
          <w14:textFill>
            <w14:solidFill>
              <w14:schemeClr w14:val="tx1"/>
            </w14:solidFill>
          </w14:textFill>
        </w:rPr>
        <w:t>约266.9</w:t>
      </w:r>
      <w:r>
        <w:rPr>
          <w:rFonts w:hint="eastAsia" w:ascii="宋体" w:hAnsi="宋体" w:cs="宋体"/>
          <w:color w:val="000000" w:themeColor="text1"/>
          <w:u w:val="single"/>
          <w:lang w:val="en-US" w:eastAsia="zh-CN"/>
          <w14:textFill>
            <w14:solidFill>
              <w14:schemeClr w14:val="tx1"/>
            </w14:solidFill>
          </w14:textFill>
        </w:rPr>
        <w:t>2</w:t>
      </w:r>
      <w:r>
        <w:rPr>
          <w:rFonts w:hint="eastAsia" w:ascii="宋体" w:hAnsi="宋体" w:cs="宋体"/>
          <w:color w:val="000000" w:themeColor="text1"/>
          <w:u w:val="single"/>
          <w14:textFill>
            <w14:solidFill>
              <w14:schemeClr w14:val="tx1"/>
            </w14:solidFill>
          </w14:textFill>
        </w:rPr>
        <w:t>万元</w:t>
      </w:r>
    </w:p>
    <w:p>
      <w:pPr>
        <w:wordWrap w:val="0"/>
        <w:adjustRightInd w:val="0"/>
        <w:snapToGrid w:val="0"/>
        <w:spacing w:line="360" w:lineRule="auto"/>
        <w:ind w:firstLine="420" w:firstLineChars="20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2.1.3工期要求：总工期要求：</w:t>
      </w:r>
      <w:r>
        <w:rPr>
          <w:rFonts w:ascii="宋体" w:hAnsi="宋体" w:cs="宋体"/>
          <w:color w:val="000000" w:themeColor="text1"/>
          <w:u w:val="single"/>
          <w14:textFill>
            <w14:solidFill>
              <w14:schemeClr w14:val="tx1"/>
            </w14:solidFill>
          </w14:textFill>
        </w:rPr>
        <w:t>2020年5月31</w:t>
      </w:r>
      <w:r>
        <w:rPr>
          <w:rFonts w:hint="eastAsia" w:ascii="宋体" w:hAnsi="宋体" w:cs="宋体"/>
          <w:color w:val="000000" w:themeColor="text1"/>
          <w14:textFill>
            <w14:solidFill>
              <w14:schemeClr w14:val="tx1"/>
            </w14:solidFill>
          </w14:textFill>
        </w:rPr>
        <w:t>日前完成</w:t>
      </w:r>
      <w:r>
        <w:rPr>
          <w:rFonts w:hint="eastAsia" w:ascii="宋体" w:hAnsi="宋体" w:cs="宋体"/>
          <w:color w:val="000000" w:themeColor="text1"/>
          <w14:textFill>
            <w14:solidFill>
              <w14:schemeClr w14:val="tx1"/>
            </w14:solidFill>
          </w14:textFill>
        </w:rPr>
        <w:t>全部工作内容并通过竣工验收。</w:t>
      </w:r>
    </w:p>
    <w:p>
      <w:pPr>
        <w:wordWrap w:val="0"/>
        <w:adjustRightInd w:val="0"/>
        <w:snapToGrid w:val="0"/>
        <w:spacing w:line="360" w:lineRule="auto"/>
        <w:ind w:firstLine="1050" w:firstLineChars="5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其中设计周期：</w:t>
      </w:r>
      <w:r>
        <w:rPr>
          <w:rFonts w:hint="eastAsia" w:ascii="宋体" w:hAnsi="宋体" w:cs="宋体"/>
          <w:color w:val="000000" w:themeColor="text1"/>
          <w:u w:val="single"/>
          <w14:textFill>
            <w14:solidFill>
              <w14:schemeClr w14:val="tx1"/>
            </w14:solidFill>
          </w14:textFill>
        </w:rPr>
        <w:t xml:space="preserve"> 10 日</w:t>
      </w:r>
      <w:r>
        <w:rPr>
          <w:rFonts w:hint="eastAsia" w:ascii="宋体" w:hAnsi="宋体" w:cs="宋体"/>
          <w:color w:val="000000" w:themeColor="text1"/>
          <w14:textFill>
            <w14:solidFill>
              <w14:schemeClr w14:val="tx1"/>
            </w14:solidFill>
          </w14:textFill>
        </w:rPr>
        <w:t>历天</w:t>
      </w:r>
    </w:p>
    <w:p>
      <w:pPr>
        <w:wordWrap w:val="0"/>
        <w:adjustRightInd w:val="0"/>
        <w:snapToGrid w:val="0"/>
        <w:spacing w:line="360" w:lineRule="auto"/>
        <w:ind w:firstLine="420" w:firstLineChars="200"/>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2.2招标范围：</w:t>
      </w:r>
      <w:r>
        <w:rPr>
          <w:rFonts w:hint="eastAsia" w:ascii="宋体" w:hAnsi="宋体" w:cs="宋体"/>
          <w:color w:val="000000" w:themeColor="text1"/>
          <w:u w:val="single"/>
          <w14:textFill>
            <w14:solidFill>
              <w14:schemeClr w14:val="tx1"/>
            </w14:solidFill>
          </w14:textFill>
        </w:rPr>
        <w:t>新建</w:t>
      </w:r>
      <w:r>
        <w:rPr>
          <w:rFonts w:ascii="宋体" w:hAnsi="宋体" w:cs="宋体"/>
          <w:color w:val="000000" w:themeColor="text1"/>
          <w:u w:val="single"/>
          <w14:textFill>
            <w14:solidFill>
              <w14:schemeClr w14:val="tx1"/>
            </w14:solidFill>
          </w14:textFill>
        </w:rPr>
        <w:t>1000亩</w:t>
      </w:r>
      <w:r>
        <w:rPr>
          <w:rFonts w:hint="eastAsia" w:ascii="宋体" w:hAnsi="宋体" w:cs="宋体"/>
          <w:color w:val="000000" w:themeColor="text1"/>
          <w:u w:val="single"/>
          <w14:textFill>
            <w14:solidFill>
              <w14:schemeClr w14:val="tx1"/>
            </w14:solidFill>
          </w14:textFill>
        </w:rPr>
        <w:t>智能灌溉系统及配套田间基础设施</w:t>
      </w:r>
      <w:r>
        <w:rPr>
          <w:rFonts w:hint="eastAsia" w:cs="Calibri"/>
          <w:color w:val="000000" w:themeColor="text1"/>
          <w:szCs w:val="21"/>
          <w:u w:val="single"/>
          <w:shd w:val="clear" w:color="auto" w:fill="FFFFFF"/>
          <w14:textFill>
            <w14:solidFill>
              <w14:schemeClr w14:val="tx1"/>
            </w14:solidFill>
          </w14:textFill>
        </w:rPr>
        <w:t>（</w:t>
      </w:r>
      <w:r>
        <w:rPr>
          <w:rFonts w:hint="eastAsia" w:ascii="宋体" w:hAnsi="宋体" w:cs="宋体"/>
          <w:color w:val="000000" w:themeColor="text1"/>
          <w:u w:val="single"/>
          <w14:textFill>
            <w14:solidFill>
              <w14:schemeClr w14:val="tx1"/>
            </w14:solidFill>
          </w14:textFill>
        </w:rPr>
        <w:t>包括智能化灌溉系统、园区配套设施升级改造等各系统土建、工艺设备采购与安装、配套设施升级工程等）</w:t>
      </w:r>
      <w:r>
        <w:rPr>
          <w:rFonts w:hint="eastAsia" w:cs="Calibri"/>
          <w:color w:val="000000" w:themeColor="text1"/>
          <w:szCs w:val="21"/>
          <w:u w:val="single"/>
          <w:shd w:val="clear" w:color="auto" w:fill="FFFFFF"/>
          <w14:textFill>
            <w14:solidFill>
              <w14:schemeClr w14:val="tx1"/>
            </w14:solidFill>
          </w14:textFill>
        </w:rPr>
        <w:t>的设计、采购、施工、试运行等。</w:t>
      </w:r>
    </w:p>
    <w:p>
      <w:pPr>
        <w:pStyle w:val="4"/>
        <w:wordWrap w:val="0"/>
        <w:adjustRightInd w:val="0"/>
        <w:snapToGrid w:val="0"/>
        <w:spacing w:before="0" w:after="0" w:line="360" w:lineRule="auto"/>
        <w:rPr>
          <w:rFonts w:ascii="宋体" w:hAnsi="宋体" w:eastAsia="宋体" w:cs="宋体"/>
          <w:color w:val="000000" w:themeColor="text1"/>
          <w14:textFill>
            <w14:solidFill>
              <w14:schemeClr w14:val="tx1"/>
            </w14:solidFill>
          </w14:textFill>
        </w:rPr>
      </w:pPr>
      <w:bookmarkStart w:id="9" w:name="_Toc389065124"/>
      <w:bookmarkStart w:id="10" w:name="_Toc8287"/>
      <w:r>
        <w:rPr>
          <w:rFonts w:hint="eastAsia" w:ascii="宋体" w:hAnsi="宋体" w:eastAsia="宋体" w:cs="宋体"/>
          <w:color w:val="000000" w:themeColor="text1"/>
          <w14:textFill>
            <w14:solidFill>
              <w14:schemeClr w14:val="tx1"/>
            </w14:solidFill>
          </w14:textFill>
        </w:rPr>
        <w:t>3. 投标人资格要求</w:t>
      </w:r>
      <w:bookmarkEnd w:id="9"/>
      <w:bookmarkEnd w:id="10"/>
    </w:p>
    <w:p>
      <w:pPr>
        <w:wordWrap w:val="0"/>
        <w:adjustRightInd w:val="0"/>
        <w:snapToGrid w:val="0"/>
        <w:spacing w:line="360" w:lineRule="auto"/>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3.1投标人须具备</w:t>
      </w:r>
      <w:r>
        <w:rPr>
          <w:rFonts w:hint="eastAsia" w:ascii="宋体" w:hAnsi="宋体" w:cs="宋体"/>
          <w:color w:val="000000" w:themeColor="text1"/>
          <w:u w:val="single"/>
          <w14:textFill>
            <w14:solidFill>
              <w14:schemeClr w14:val="tx1"/>
            </w14:solidFill>
          </w14:textFill>
        </w:rPr>
        <w:t>以下资质，要求详见下表</w:t>
      </w:r>
      <w:r>
        <w:rPr>
          <w:rFonts w:hint="eastAsia" w:ascii="宋体" w:hAnsi="宋体" w:cs="宋体"/>
          <w:color w:val="000000" w:themeColor="text1"/>
          <w14:textFill>
            <w14:solidFill>
              <w14:schemeClr w14:val="tx1"/>
            </w14:solidFill>
          </w14:textFill>
        </w:rPr>
        <w:t>，并在人员、设备、资金等方面具有相应的能力。</w:t>
      </w:r>
    </w:p>
    <w:tbl>
      <w:tblPr>
        <w:tblStyle w:val="43"/>
        <w:tblW w:w="8700" w:type="dxa"/>
        <w:tblInd w:w="0" w:type="dxa"/>
        <w:shd w:val="clear" w:color="auto" w:fill="FFFFFF"/>
        <w:tblLayout w:type="fixed"/>
        <w:tblCellMar>
          <w:top w:w="0" w:type="dxa"/>
          <w:left w:w="0" w:type="dxa"/>
          <w:bottom w:w="0" w:type="dxa"/>
          <w:right w:w="0" w:type="dxa"/>
        </w:tblCellMar>
      </w:tblPr>
      <w:tblGrid>
        <w:gridCol w:w="720"/>
        <w:gridCol w:w="7980"/>
      </w:tblGrid>
      <w:tr>
        <w:tblPrEx>
          <w:shd w:val="clear" w:color="auto" w:fill="FFFFFF"/>
          <w:tblCellMar>
            <w:top w:w="0" w:type="dxa"/>
            <w:left w:w="0" w:type="dxa"/>
            <w:bottom w:w="0" w:type="dxa"/>
            <w:right w:w="0" w:type="dxa"/>
          </w:tblCellMar>
        </w:tblPrEx>
        <w:trPr>
          <w:trHeight w:val="537" w:hRule="atLeast"/>
        </w:trPr>
        <w:tc>
          <w:tcPr>
            <w:tcW w:w="8700"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wordWrap w:val="0"/>
              <w:spacing w:before="107"/>
              <w:ind w:right="4000"/>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 xml:space="preserve">                                    资质要求</w:t>
            </w:r>
          </w:p>
        </w:tc>
      </w:tr>
      <w:tr>
        <w:tblPrEx>
          <w:shd w:val="clear" w:color="auto" w:fill="FFFFFF"/>
          <w:tblCellMar>
            <w:top w:w="0" w:type="dxa"/>
            <w:left w:w="0" w:type="dxa"/>
            <w:bottom w:w="0" w:type="dxa"/>
            <w:right w:w="0" w:type="dxa"/>
          </w:tblCellMar>
        </w:tblPrEx>
        <w:trPr>
          <w:trHeight w:val="90" w:hRule="atLeast"/>
        </w:trPr>
        <w:tc>
          <w:tcPr>
            <w:tcW w:w="720" w:type="dxa"/>
            <w:tcBorders>
              <w:top w:val="nil"/>
              <w:left w:val="single" w:color="000000" w:sz="8" w:space="0"/>
              <w:bottom w:val="single" w:color="000000" w:sz="8" w:space="0"/>
              <w:right w:val="single" w:color="000000" w:sz="8" w:space="0"/>
            </w:tcBorders>
            <w:shd w:val="clear" w:color="auto" w:fill="FFFFFF"/>
            <w:vAlign w:val="center"/>
          </w:tcPr>
          <w:p>
            <w:pPr>
              <w:widowControl/>
              <w:wordWrap w:val="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第一条</w:t>
            </w:r>
          </w:p>
        </w:tc>
        <w:tc>
          <w:tcPr>
            <w:tcW w:w="7980" w:type="dxa"/>
            <w:tcBorders>
              <w:top w:val="nil"/>
              <w:left w:val="nil"/>
              <w:bottom w:val="single" w:color="000000" w:sz="8" w:space="0"/>
              <w:right w:val="single" w:color="000000" w:sz="8" w:space="0"/>
            </w:tcBorders>
            <w:shd w:val="clear" w:color="auto" w:fill="FFFFFF"/>
            <w:vAlign w:val="center"/>
          </w:tcPr>
          <w:p>
            <w:pPr>
              <w:widowControl/>
              <w:shd w:val="clear" w:color="auto" w:fill="FFFFFF"/>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设计单位必须具有建设行政主管部门核发的：工程设计水利行业丙级及以上资质或水利专业丙级以上资质或综合设计甲级；</w:t>
            </w:r>
          </w:p>
        </w:tc>
      </w:tr>
      <w:tr>
        <w:tblPrEx>
          <w:tblCellMar>
            <w:top w:w="0" w:type="dxa"/>
            <w:left w:w="0" w:type="dxa"/>
            <w:bottom w:w="0" w:type="dxa"/>
            <w:right w:w="0" w:type="dxa"/>
          </w:tblCellMar>
        </w:tblPrEx>
        <w:trPr>
          <w:trHeight w:val="744" w:hRule="atLeast"/>
        </w:trPr>
        <w:tc>
          <w:tcPr>
            <w:tcW w:w="720" w:type="dxa"/>
            <w:tcBorders>
              <w:top w:val="nil"/>
              <w:left w:val="single" w:color="000000" w:sz="8" w:space="0"/>
              <w:bottom w:val="single" w:color="000000" w:sz="8" w:space="0"/>
              <w:right w:val="single" w:color="000000" w:sz="8" w:space="0"/>
            </w:tcBorders>
            <w:shd w:val="clear" w:color="auto" w:fill="FFFFFF"/>
            <w:vAlign w:val="center"/>
          </w:tcPr>
          <w:p>
            <w:pPr>
              <w:widowControl/>
              <w:wordWrap w:val="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第二条</w:t>
            </w:r>
          </w:p>
        </w:tc>
        <w:tc>
          <w:tcPr>
            <w:tcW w:w="7980" w:type="dxa"/>
            <w:tcBorders>
              <w:top w:val="nil"/>
              <w:left w:val="nil"/>
              <w:bottom w:val="single" w:color="000000" w:sz="8" w:space="0"/>
              <w:right w:val="single" w:color="000000" w:sz="8" w:space="0"/>
            </w:tcBorders>
            <w:shd w:val="clear" w:color="auto" w:fill="FFFFFF"/>
            <w:vAlign w:val="center"/>
          </w:tcPr>
          <w:p>
            <w:pPr>
              <w:widowControl/>
              <w:wordWrap w:val="0"/>
              <w:spacing w:line="312" w:lineRule="atLeast"/>
              <w:ind w:left="102" w:right="17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具有建设行政主管部门核发的水利水电工程施工总承包三级及以上施工资质且取得安全生产许可证的独立法人企业</w:t>
            </w:r>
          </w:p>
        </w:tc>
      </w:tr>
      <w:tr>
        <w:tblPrEx>
          <w:tblCellMar>
            <w:top w:w="0" w:type="dxa"/>
            <w:left w:w="0" w:type="dxa"/>
            <w:bottom w:w="0" w:type="dxa"/>
            <w:right w:w="0" w:type="dxa"/>
          </w:tblCellMar>
        </w:tblPrEx>
        <w:trPr>
          <w:trHeight w:val="649" w:hRule="atLeast"/>
        </w:trPr>
        <w:tc>
          <w:tcPr>
            <w:tcW w:w="8700" w:type="dxa"/>
            <w:gridSpan w:val="2"/>
            <w:tcBorders>
              <w:top w:val="nil"/>
              <w:left w:val="single" w:color="000000" w:sz="8" w:space="0"/>
              <w:bottom w:val="single" w:color="000000" w:sz="8" w:space="0"/>
              <w:right w:val="single" w:color="000000" w:sz="8" w:space="0"/>
            </w:tcBorders>
            <w:shd w:val="clear" w:color="auto" w:fill="FFFFFF"/>
            <w:vAlign w:val="center"/>
          </w:tcPr>
          <w:p>
            <w:pPr>
              <w:widowControl/>
              <w:wordWrap w:val="0"/>
              <w:spacing w:line="312" w:lineRule="atLeast"/>
              <w:ind w:left="102" w:right="17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以上资质要求，以上第一条、第二条资质要求，投标人同时具有或组成联合体投标；</w:t>
            </w:r>
          </w:p>
          <w:p>
            <w:pPr>
              <w:widowControl/>
              <w:wordWrap w:val="0"/>
              <w:spacing w:line="312" w:lineRule="atLeast"/>
              <w:ind w:left="102" w:right="17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联合体牵头人需为施工单位。</w:t>
            </w:r>
          </w:p>
        </w:tc>
      </w:tr>
    </w:tbl>
    <w:p>
      <w:pPr>
        <w:wordWrap w:val="0"/>
        <w:adjustRightInd w:val="0"/>
        <w:snapToGrid w:val="0"/>
        <w:spacing w:line="360" w:lineRule="auto"/>
        <w:ind w:firstLine="420" w:firstLineChars="200"/>
        <w:rPr>
          <w:rFonts w:hint="eastAsia" w:ascii="宋体" w:hAnsi="宋体" w:cs="宋体"/>
          <w:color w:val="000000" w:themeColor="text1"/>
          <w14:textFill>
            <w14:solidFill>
              <w14:schemeClr w14:val="tx1"/>
            </w14:solidFill>
          </w14:textFill>
        </w:rPr>
      </w:pPr>
    </w:p>
    <w:p>
      <w:pPr>
        <w:wordWrap w:val="0"/>
        <w:adjustRightInd w:val="0"/>
        <w:snapToGrid w:val="0"/>
        <w:spacing w:line="360" w:lineRule="auto"/>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3.2投标人拟派总承包项目经理须取得</w:t>
      </w:r>
      <w:r>
        <w:rPr>
          <w:rFonts w:hint="eastAsia" w:ascii="宋体" w:hAnsi="宋体" w:cs="宋体"/>
          <w:color w:val="000000" w:themeColor="text1"/>
          <w:u w:val="single"/>
          <w14:textFill>
            <w14:solidFill>
              <w14:schemeClr w14:val="tx1"/>
            </w14:solidFill>
          </w14:textFill>
        </w:rPr>
        <w:t>水利水电类注册执业资格和安全生产考核考核合格证（</w:t>
      </w:r>
      <w:r>
        <w:rPr>
          <w:rFonts w:ascii="宋体" w:hAnsi="宋体" w:cs="宋体"/>
          <w:color w:val="000000" w:themeColor="text1"/>
          <w:u w:val="single"/>
          <w14:textFill>
            <w14:solidFill>
              <w14:schemeClr w14:val="tx1"/>
            </w14:solidFill>
          </w14:textFill>
        </w:rPr>
        <w:t>B</w:t>
      </w:r>
      <w:r>
        <w:rPr>
          <w:rFonts w:hint="eastAsia" w:ascii="宋体" w:hAnsi="宋体" w:cs="宋体"/>
          <w:color w:val="000000" w:themeColor="text1"/>
          <w:u w:val="single"/>
          <w14:textFill>
            <w14:solidFill>
              <w14:schemeClr w14:val="tx1"/>
            </w14:solidFill>
          </w14:textFill>
        </w:rPr>
        <w:t>类）；</w:t>
      </w:r>
    </w:p>
    <w:p>
      <w:pPr>
        <w:wordWrap w:val="0"/>
        <w:adjustRightInd w:val="0"/>
        <w:snapToGrid w:val="0"/>
        <w:spacing w:line="360" w:lineRule="auto"/>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3.3 投标人及拟派总承包项目经理应具备其他要求：</w:t>
      </w:r>
    </w:p>
    <w:p>
      <w:pPr>
        <w:wordWrap w:val="0"/>
        <w:adjustRightInd w:val="0"/>
        <w:snapToGrid w:val="0"/>
        <w:spacing w:line="360" w:lineRule="auto"/>
        <w:ind w:firstLine="424" w:firstLineChars="202"/>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3.3.1</w:t>
      </w:r>
      <w:r>
        <w:rPr>
          <w:color w:val="000000" w:themeColor="text1"/>
          <w14:textFill>
            <w14:solidFill>
              <w14:schemeClr w14:val="tx1"/>
            </w14:solidFill>
          </w14:textFill>
        </w:rPr>
        <w:t>投标人</w:t>
      </w:r>
      <w:r>
        <w:rPr>
          <w:rFonts w:hint="eastAsia"/>
          <w:color w:val="000000" w:themeColor="text1"/>
          <w14:textFill>
            <w14:solidFill>
              <w14:schemeClr w14:val="tx1"/>
            </w14:solidFill>
          </w14:textFill>
        </w:rPr>
        <w:t>及</w:t>
      </w:r>
      <w:r>
        <w:rPr>
          <w:rFonts w:hint="eastAsia" w:ascii="宋体" w:hAnsi="宋体" w:cs="宋体"/>
          <w:color w:val="000000" w:themeColor="text1"/>
          <w14:textFill>
            <w14:solidFill>
              <w14:schemeClr w14:val="tx1"/>
            </w14:solidFill>
          </w14:textFill>
        </w:rPr>
        <w:t>总承包项目经理</w:t>
      </w:r>
      <w:r>
        <w:rPr>
          <w:color w:val="000000" w:themeColor="text1"/>
          <w14:textFill>
            <w14:solidFill>
              <w14:schemeClr w14:val="tx1"/>
            </w14:solidFill>
          </w14:textFill>
        </w:rPr>
        <w:t>承担过类似工程；</w:t>
      </w:r>
    </w:p>
    <w:p>
      <w:pPr>
        <w:wordWrap w:val="0"/>
        <w:adjustRightInd w:val="0"/>
        <w:snapToGrid w:val="0"/>
        <w:spacing w:line="360" w:lineRule="auto"/>
        <w:ind w:firstLine="424" w:firstLineChars="202"/>
        <w:rPr>
          <w:color w:val="000000" w:themeColor="text1"/>
          <w14:textFill>
            <w14:solidFill>
              <w14:schemeClr w14:val="tx1"/>
            </w14:solidFill>
          </w14:textFill>
        </w:rPr>
      </w:pPr>
      <w:r>
        <w:rPr>
          <w:color w:val="000000" w:themeColor="text1"/>
          <w14:textFill>
            <w14:solidFill>
              <w14:schemeClr w14:val="tx1"/>
            </w14:solidFill>
          </w14:textFill>
        </w:rPr>
        <w:t>类似工程认定标准：</w:t>
      </w:r>
    </w:p>
    <w:p>
      <w:pPr>
        <w:wordWrap w:val="0"/>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2015</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月</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日以后完成的灌溉类的设计施工总承包业绩，且单项合同价款不低于人民币</w:t>
      </w:r>
      <w:r>
        <w:rPr>
          <w:color w:val="000000" w:themeColor="text1"/>
          <w14:textFill>
            <w14:solidFill>
              <w14:schemeClr w14:val="tx1"/>
            </w14:solidFill>
          </w14:textFill>
        </w:rPr>
        <w:t>200</w:t>
      </w:r>
      <w:r>
        <w:rPr>
          <w:rFonts w:hint="eastAsia"/>
          <w:color w:val="000000" w:themeColor="text1"/>
          <w14:textFill>
            <w14:solidFill>
              <w14:schemeClr w14:val="tx1"/>
            </w14:solidFill>
          </w14:textFill>
        </w:rPr>
        <w:t>万元（提供业绩证明文件：中标通知书或合同原件）</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如业绩是设计施工一体化项目，为设计方或施工方，业绩予以认可。</w:t>
      </w:r>
    </w:p>
    <w:p>
      <w:pPr>
        <w:wordWrap w:val="0"/>
        <w:adjustRightInd w:val="0"/>
        <w:snapToGrid w:val="0"/>
        <w:spacing w:line="360" w:lineRule="auto"/>
        <w:ind w:firstLine="424" w:firstLineChars="202"/>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3.3.2自2015年1月1日以来，</w:t>
      </w:r>
      <w:r>
        <w:rPr>
          <w:rFonts w:hint="eastAsia" w:ascii="宋体" w:hAnsi="宋体" w:cs="宋体"/>
          <w:color w:val="000000" w:themeColor="text1"/>
          <w14:textFill>
            <w14:solidFill>
              <w14:schemeClr w14:val="tx1"/>
            </w14:solidFill>
          </w14:textFill>
        </w:rPr>
        <w:t>企业和拟派总承包项目经理没有因串通投标、弄虚作假、以他人名义投标、骗取中标、转包、违法分包等违法行为受到建设等有关部门行政处罚的；</w:t>
      </w:r>
    </w:p>
    <w:p>
      <w:pPr>
        <w:wordWrap w:val="0"/>
        <w:adjustRightInd w:val="0"/>
        <w:snapToGrid w:val="0"/>
        <w:spacing w:line="360" w:lineRule="auto"/>
        <w:ind w:firstLine="422" w:firstLineChars="201"/>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3.3.3自2015年1月1日以来，</w:t>
      </w:r>
      <w:r>
        <w:rPr>
          <w:rFonts w:hint="eastAsia" w:ascii="宋体" w:hAnsi="宋体" w:cs="宋体"/>
          <w:color w:val="000000" w:themeColor="text1"/>
          <w14:textFill>
            <w14:solidFill>
              <w14:schemeClr w14:val="tx1"/>
            </w14:solidFill>
          </w14:textFill>
        </w:rPr>
        <w:t>企业没有无正当理由放弃中标资格（不含总承包项目经理多投多中后放弃）、不与招标人订立合同、拒不提供履约担保情形的；</w:t>
      </w:r>
    </w:p>
    <w:p>
      <w:pPr>
        <w:wordWrap w:val="0"/>
        <w:adjustRightInd w:val="0"/>
        <w:snapToGrid w:val="0"/>
        <w:spacing w:line="360" w:lineRule="auto"/>
        <w:ind w:firstLine="422" w:firstLineChars="201"/>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3.3.4自 2015 年 1 月 1 日以来，</w:t>
      </w:r>
      <w:r>
        <w:rPr>
          <w:rFonts w:hint="eastAsia" w:ascii="宋体" w:hAnsi="宋体" w:cs="宋体"/>
          <w:color w:val="000000" w:themeColor="text1"/>
          <w14:textFill>
            <w14:solidFill>
              <w14:schemeClr w14:val="tx1"/>
            </w14:solidFill>
          </w14:textFill>
        </w:rPr>
        <w:t>企业没有因拖欠工人工资被招标项目所在地省、市、县（市、区）建设行政主管部门通报批评的；</w:t>
      </w:r>
    </w:p>
    <w:p>
      <w:pPr>
        <w:wordWrap w:val="0"/>
        <w:adjustRightInd w:val="0"/>
        <w:snapToGrid w:val="0"/>
        <w:spacing w:line="360" w:lineRule="auto"/>
        <w:ind w:firstLine="422" w:firstLineChars="201"/>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3.3.5自2015年1月1日以来，</w:t>
      </w:r>
      <w:r>
        <w:rPr>
          <w:rFonts w:hint="eastAsia" w:ascii="宋体" w:hAnsi="宋体" w:cs="宋体"/>
          <w:color w:val="000000" w:themeColor="text1"/>
          <w14:textFill>
            <w14:solidFill>
              <w14:schemeClr w14:val="tx1"/>
            </w14:solidFill>
          </w14:textFill>
        </w:rPr>
        <w:t>投标人或者拟派总承包项目经理在招标人之前的工程中没有履约评价不合格的；</w:t>
      </w:r>
    </w:p>
    <w:p>
      <w:pPr>
        <w:wordWrap w:val="0"/>
        <w:adjustRightInd w:val="0"/>
        <w:snapToGrid w:val="0"/>
        <w:spacing w:line="360" w:lineRule="auto"/>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3.4本次招标</w:t>
      </w:r>
      <w:r>
        <w:rPr>
          <w:rFonts w:hint="eastAsia" w:ascii="宋体" w:hAnsi="宋体" w:cs="宋体"/>
          <w:color w:val="000000" w:themeColor="text1"/>
          <w:u w:val="single"/>
          <w14:textFill>
            <w14:solidFill>
              <w14:schemeClr w14:val="tx1"/>
            </w14:solidFill>
          </w14:textFill>
        </w:rPr>
        <w:t xml:space="preserve">  接受 </w:t>
      </w:r>
      <w:r>
        <w:rPr>
          <w:rFonts w:hint="eastAsia" w:ascii="宋体" w:hAnsi="宋体" w:cs="宋体"/>
          <w:color w:val="000000" w:themeColor="text1"/>
          <w14:textFill>
            <w14:solidFill>
              <w14:schemeClr w14:val="tx1"/>
            </w14:solidFill>
          </w14:textFill>
        </w:rPr>
        <w:t>联合体投标，联合体成员仅限2人（包含牵头人）。</w:t>
      </w:r>
    </w:p>
    <w:p>
      <w:pPr>
        <w:pStyle w:val="4"/>
        <w:wordWrap w:val="0"/>
        <w:adjustRightInd w:val="0"/>
        <w:snapToGrid w:val="0"/>
        <w:spacing w:before="0" w:after="0" w:line="360" w:lineRule="auto"/>
        <w:rPr>
          <w:rFonts w:ascii="宋体" w:hAnsi="宋体" w:eastAsia="宋体" w:cs="宋体"/>
          <w:color w:val="000000" w:themeColor="text1"/>
          <w14:textFill>
            <w14:solidFill>
              <w14:schemeClr w14:val="tx1"/>
            </w14:solidFill>
          </w14:textFill>
        </w:rPr>
      </w:pPr>
      <w:bookmarkStart w:id="11" w:name="_Toc389065125"/>
      <w:bookmarkStart w:id="12" w:name="_Toc9942"/>
      <w:r>
        <w:rPr>
          <w:rFonts w:hint="eastAsia" w:ascii="宋体" w:hAnsi="宋体" w:eastAsia="宋体" w:cs="宋体"/>
          <w:color w:val="000000" w:themeColor="text1"/>
          <w14:textFill>
            <w14:solidFill>
              <w14:schemeClr w14:val="tx1"/>
            </w14:solidFill>
          </w14:textFill>
        </w:rPr>
        <w:t xml:space="preserve">4. </w:t>
      </w:r>
      <w:bookmarkEnd w:id="11"/>
      <w:bookmarkStart w:id="13" w:name="_Toc389065126"/>
      <w:r>
        <w:rPr>
          <w:rFonts w:hint="eastAsia" w:ascii="宋体" w:hAnsi="宋体" w:eastAsia="宋体" w:cs="宋体"/>
          <w:color w:val="000000" w:themeColor="text1"/>
          <w14:textFill>
            <w14:solidFill>
              <w14:schemeClr w14:val="tx1"/>
            </w14:solidFill>
          </w14:textFill>
        </w:rPr>
        <w:t>招标文件的获取</w:t>
      </w:r>
      <w:bookmarkEnd w:id="12"/>
      <w:bookmarkEnd w:id="13"/>
    </w:p>
    <w:p>
      <w:pPr>
        <w:wordWrap w:val="0"/>
        <w:adjustRightInd w:val="0"/>
        <w:snapToGrid w:val="0"/>
        <w:spacing w:line="360" w:lineRule="auto"/>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4.1招标文件获取时间为：</w:t>
      </w:r>
      <w:r>
        <w:rPr>
          <w:rFonts w:hint="eastAsia" w:ascii="宋体" w:hAnsi="宋体" w:cs="宋体"/>
          <w:color w:val="000000" w:themeColor="text1"/>
          <w:kern w:val="0"/>
          <w:szCs w:val="21"/>
          <w:u w:val="single"/>
          <w14:textFill>
            <w14:solidFill>
              <w14:schemeClr w14:val="tx1"/>
            </w14:solidFill>
          </w14:textFill>
        </w:rPr>
        <w:t>2020年</w:t>
      </w:r>
      <w:r>
        <w:rPr>
          <w:rFonts w:hint="eastAsia" w:ascii="宋体" w:hAnsi="宋体" w:cs="宋体"/>
          <w:color w:val="000000" w:themeColor="text1"/>
          <w:kern w:val="0"/>
          <w:szCs w:val="21"/>
          <w:u w:val="single"/>
          <w:lang w:val="en-US" w:eastAsia="zh-CN"/>
          <w14:textFill>
            <w14:solidFill>
              <w14:schemeClr w14:val="tx1"/>
            </w14:solidFill>
          </w14:textFill>
        </w:rPr>
        <w:t>4</w:t>
      </w:r>
      <w:r>
        <w:rPr>
          <w:rFonts w:hint="eastAsia" w:ascii="宋体" w:hAnsi="宋体" w:cs="宋体"/>
          <w:color w:val="000000" w:themeColor="text1"/>
          <w:kern w:val="0"/>
          <w:szCs w:val="21"/>
          <w:u w:val="single"/>
          <w14:textFill>
            <w14:solidFill>
              <w14:schemeClr w14:val="tx1"/>
            </w14:solidFill>
          </w14:textFill>
        </w:rPr>
        <w:t>月</w:t>
      </w:r>
      <w:r>
        <w:rPr>
          <w:rFonts w:hint="eastAsia" w:ascii="宋体" w:hAnsi="宋体" w:cs="宋体"/>
          <w:color w:val="000000" w:themeColor="text1"/>
          <w:kern w:val="0"/>
          <w:szCs w:val="21"/>
          <w:u w:val="single"/>
          <w:lang w:val="en-US" w:eastAsia="zh-CN"/>
          <w14:textFill>
            <w14:solidFill>
              <w14:schemeClr w14:val="tx1"/>
            </w14:solidFill>
          </w14:textFill>
        </w:rPr>
        <w:t>3</w:t>
      </w:r>
      <w:r>
        <w:rPr>
          <w:rFonts w:hint="eastAsia" w:ascii="宋体" w:hAnsi="宋体" w:cs="宋体"/>
          <w:color w:val="000000" w:themeColor="text1"/>
          <w:kern w:val="0"/>
          <w:szCs w:val="21"/>
          <w:u w:val="single"/>
          <w14:textFill>
            <w14:solidFill>
              <w14:schemeClr w14:val="tx1"/>
            </w14:solidFill>
          </w14:textFill>
        </w:rPr>
        <w:t>日8时30分</w:t>
      </w:r>
      <w:r>
        <w:rPr>
          <w:rFonts w:hint="eastAsia" w:ascii="宋体" w:hAnsi="宋体" w:cs="宋体"/>
          <w:color w:val="000000" w:themeColor="text1"/>
          <w:kern w:val="0"/>
          <w:szCs w:val="21"/>
          <w14:textFill>
            <w14:solidFill>
              <w14:schemeClr w14:val="tx1"/>
            </w14:solidFill>
          </w14:textFill>
        </w:rPr>
        <w:t>至</w:t>
      </w:r>
      <w:r>
        <w:rPr>
          <w:rFonts w:hint="eastAsia" w:ascii="宋体" w:hAnsi="宋体" w:cs="宋体"/>
          <w:color w:val="000000" w:themeColor="text1"/>
          <w:kern w:val="0"/>
          <w:szCs w:val="21"/>
          <w:u w:val="single"/>
          <w14:textFill>
            <w14:solidFill>
              <w14:schemeClr w14:val="tx1"/>
            </w14:solidFill>
          </w14:textFill>
        </w:rPr>
        <w:t>2020年</w:t>
      </w:r>
      <w:r>
        <w:rPr>
          <w:rFonts w:hint="eastAsia" w:ascii="宋体" w:hAnsi="宋体" w:cs="宋体"/>
          <w:color w:val="000000" w:themeColor="text1"/>
          <w:kern w:val="0"/>
          <w:szCs w:val="21"/>
          <w:u w:val="single"/>
          <w:lang w:val="en-US" w:eastAsia="zh-CN"/>
          <w14:textFill>
            <w14:solidFill>
              <w14:schemeClr w14:val="tx1"/>
            </w14:solidFill>
          </w14:textFill>
        </w:rPr>
        <w:t>4</w:t>
      </w:r>
      <w:r>
        <w:rPr>
          <w:rFonts w:hint="eastAsia" w:ascii="宋体" w:hAnsi="宋体" w:cs="宋体"/>
          <w:color w:val="000000" w:themeColor="text1"/>
          <w:kern w:val="0"/>
          <w:szCs w:val="21"/>
          <w:u w:val="single"/>
          <w14:textFill>
            <w14:solidFill>
              <w14:schemeClr w14:val="tx1"/>
            </w14:solidFill>
          </w14:textFill>
        </w:rPr>
        <w:t>月</w:t>
      </w:r>
      <w:r>
        <w:rPr>
          <w:rFonts w:hint="eastAsia" w:ascii="宋体" w:hAnsi="宋体" w:cs="宋体"/>
          <w:color w:val="000000" w:themeColor="text1"/>
          <w:kern w:val="0"/>
          <w:szCs w:val="21"/>
          <w:u w:val="single"/>
          <w:lang w:val="en-US" w:eastAsia="zh-CN"/>
          <w14:textFill>
            <w14:solidFill>
              <w14:schemeClr w14:val="tx1"/>
            </w14:solidFill>
          </w14:textFill>
        </w:rPr>
        <w:t>10</w:t>
      </w:r>
      <w:r>
        <w:rPr>
          <w:rFonts w:hint="eastAsia" w:ascii="宋体" w:hAnsi="宋体" w:cs="宋体"/>
          <w:color w:val="000000" w:themeColor="text1"/>
          <w:kern w:val="0"/>
          <w:szCs w:val="21"/>
          <w:u w:val="single"/>
          <w14:textFill>
            <w14:solidFill>
              <w14:schemeClr w14:val="tx1"/>
            </w14:solidFill>
          </w14:textFill>
        </w:rPr>
        <w:t>日18 时00分</w:t>
      </w:r>
      <w:r>
        <w:rPr>
          <w:rFonts w:hint="eastAsia" w:ascii="宋体" w:hAnsi="宋体" w:cs="宋体"/>
          <w:color w:val="000000" w:themeColor="text1"/>
          <w:kern w:val="0"/>
          <w:szCs w:val="21"/>
          <w14:textFill>
            <w14:solidFill>
              <w14:schemeClr w14:val="tx1"/>
            </w14:solidFill>
          </w14:textFill>
        </w:rPr>
        <w:t xml:space="preserve">； </w:t>
      </w:r>
    </w:p>
    <w:p>
      <w:pPr>
        <w:wordWrap w:val="0"/>
        <w:adjustRightInd w:val="0"/>
        <w:snapToGrid w:val="0"/>
        <w:spacing w:line="360" w:lineRule="auto"/>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4.2招标文件获取方式：投标人使用“江苏CA数字证书”登录“电子招标投标交易平台”获取；</w:t>
      </w:r>
    </w:p>
    <w:p>
      <w:pPr>
        <w:wordWrap w:val="0"/>
        <w:adjustRightInd w:val="0"/>
        <w:snapToGrid w:val="0"/>
        <w:spacing w:line="360" w:lineRule="auto"/>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本招标公告及招标文件中“电子招标投标交易平台”是指：http://221.231.4.242:81/yanchenghuiyuan/HuiYuanInfoMis_YC/Pages/SSO/login.aspx，大丰会员系统；</w:t>
      </w:r>
    </w:p>
    <w:p>
      <w:pPr>
        <w:wordWrap w:val="0"/>
        <w:adjustRightInd w:val="0"/>
        <w:snapToGrid w:val="0"/>
        <w:spacing w:line="360" w:lineRule="auto"/>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4.3招标文件每套售价250元，售后不退。</w:t>
      </w:r>
    </w:p>
    <w:p>
      <w:pPr>
        <w:pStyle w:val="4"/>
        <w:wordWrap w:val="0"/>
        <w:adjustRightInd w:val="0"/>
        <w:snapToGrid w:val="0"/>
        <w:spacing w:before="0" w:after="0" w:line="360" w:lineRule="auto"/>
        <w:rPr>
          <w:rFonts w:hint="eastAsia" w:ascii="宋体" w:hAnsi="宋体" w:eastAsia="宋体" w:cs="宋体"/>
          <w:color w:val="000000" w:themeColor="text1"/>
          <w:lang w:eastAsia="zh-CN"/>
          <w14:textFill>
            <w14:solidFill>
              <w14:schemeClr w14:val="tx1"/>
            </w14:solidFill>
          </w14:textFill>
        </w:rPr>
      </w:pPr>
      <w:bookmarkStart w:id="14" w:name="_Toc389065127"/>
      <w:bookmarkStart w:id="15" w:name="_Toc23133"/>
      <w:r>
        <w:rPr>
          <w:rFonts w:hint="eastAsia" w:ascii="宋体" w:hAnsi="宋体" w:eastAsia="宋体" w:cs="宋体"/>
          <w:color w:val="000000" w:themeColor="text1"/>
          <w14:textFill>
            <w14:solidFill>
              <w14:schemeClr w14:val="tx1"/>
            </w14:solidFill>
          </w14:textFill>
        </w:rPr>
        <w:t>5. 投标</w:t>
      </w:r>
      <w:bookmarkEnd w:id="14"/>
      <w:r>
        <w:rPr>
          <w:rFonts w:hint="eastAsia" w:ascii="宋体" w:hAnsi="宋体" w:eastAsia="宋体" w:cs="宋体"/>
          <w:color w:val="000000" w:themeColor="text1"/>
          <w:lang w:eastAsia="zh-CN"/>
          <w14:textFill>
            <w14:solidFill>
              <w14:schemeClr w14:val="tx1"/>
            </w14:solidFill>
          </w14:textFill>
        </w:rPr>
        <w:t>文件的递交</w:t>
      </w:r>
      <w:bookmarkEnd w:id="15"/>
    </w:p>
    <w:p>
      <w:pPr>
        <w:wordWrap w:val="0"/>
        <w:topLinePunct/>
        <w:spacing w:line="400" w:lineRule="exact"/>
        <w:ind w:firstLine="420" w:firstLineChars="200"/>
        <w:rPr>
          <w:rFonts w:hint="default" w:ascii="Times New Roman" w:hAnsi="Times New Roman" w:eastAsia="宋体"/>
          <w:color w:val="000000" w:themeColor="text1"/>
          <w:szCs w:val="21"/>
          <w:lang w:val="en-US" w:eastAsia="zh-CN"/>
          <w14:textFill>
            <w14:solidFill>
              <w14:schemeClr w14:val="tx1"/>
            </w14:solidFill>
          </w14:textFill>
        </w:rPr>
      </w:pPr>
      <w:bookmarkStart w:id="16" w:name="_Toc389065128"/>
      <w:r>
        <w:rPr>
          <w:rFonts w:hint="eastAsia" w:ascii="Times New Roman" w:hAnsi="Times New Roman"/>
          <w:color w:val="000000" w:themeColor="text1"/>
          <w:szCs w:val="21"/>
          <w:lang w:val="en-US" w:eastAsia="zh-CN"/>
          <w14:textFill>
            <w14:solidFill>
              <w14:schemeClr w14:val="tx1"/>
            </w14:solidFill>
          </w14:textFill>
        </w:rPr>
        <w:t>5</w:t>
      </w:r>
      <w:r>
        <w:rPr>
          <w:rFonts w:hint="eastAsia" w:ascii="Times New Roman" w:hAnsi="Times New Roman"/>
          <w:color w:val="000000" w:themeColor="text1"/>
          <w:szCs w:val="21"/>
          <w14:textFill>
            <w14:solidFill>
              <w14:schemeClr w14:val="tx1"/>
            </w14:solidFill>
          </w14:textFill>
        </w:rPr>
        <w:t>.1 投标文件递交时间：</w:t>
      </w:r>
      <w:r>
        <w:rPr>
          <w:rFonts w:hint="eastAsia" w:ascii="Times New Roman" w:hAnsi="Times New Roman"/>
          <w:color w:val="000000" w:themeColor="text1"/>
          <w:szCs w:val="21"/>
          <w:u w:val="single"/>
          <w14:textFill>
            <w14:solidFill>
              <w14:schemeClr w14:val="tx1"/>
            </w14:solidFill>
          </w14:textFill>
        </w:rPr>
        <w:t>2020年</w:t>
      </w:r>
      <w:r>
        <w:rPr>
          <w:rFonts w:hint="eastAsia"/>
          <w:color w:val="000000" w:themeColor="text1"/>
          <w:szCs w:val="21"/>
          <w:u w:val="single"/>
          <w:lang w:val="en-US" w:eastAsia="zh-CN"/>
          <w14:textFill>
            <w14:solidFill>
              <w14:schemeClr w14:val="tx1"/>
            </w14:solidFill>
          </w14:textFill>
        </w:rPr>
        <w:t>4</w:t>
      </w:r>
      <w:r>
        <w:rPr>
          <w:rFonts w:hint="eastAsia" w:ascii="Times New Roman" w:hAnsi="Times New Roman"/>
          <w:color w:val="000000" w:themeColor="text1"/>
          <w:szCs w:val="21"/>
          <w:u w:val="single"/>
          <w14:textFill>
            <w14:solidFill>
              <w14:schemeClr w14:val="tx1"/>
            </w14:solidFill>
          </w14:textFill>
        </w:rPr>
        <w:t>月</w:t>
      </w:r>
      <w:r>
        <w:rPr>
          <w:rFonts w:hint="eastAsia"/>
          <w:color w:val="000000" w:themeColor="text1"/>
          <w:szCs w:val="21"/>
          <w:u w:val="single"/>
          <w:lang w:val="en-US" w:eastAsia="zh-CN"/>
          <w14:textFill>
            <w14:solidFill>
              <w14:schemeClr w14:val="tx1"/>
            </w14:solidFill>
          </w14:textFill>
        </w:rPr>
        <w:t>27</w:t>
      </w:r>
      <w:r>
        <w:rPr>
          <w:rFonts w:hint="eastAsia" w:ascii="Times New Roman" w:hAnsi="Times New Roman"/>
          <w:color w:val="000000" w:themeColor="text1"/>
          <w:szCs w:val="21"/>
          <w:u w:val="single"/>
          <w14:textFill>
            <w14:solidFill>
              <w14:schemeClr w14:val="tx1"/>
            </w14:solidFill>
          </w14:textFill>
        </w:rPr>
        <w:t>日</w:t>
      </w:r>
      <w:r>
        <w:rPr>
          <w:rFonts w:hint="eastAsia"/>
          <w:color w:val="000000" w:themeColor="text1"/>
          <w:szCs w:val="21"/>
          <w:u w:val="single"/>
          <w:lang w:val="en-US" w:eastAsia="zh-CN"/>
          <w14:textFill>
            <w14:solidFill>
              <w14:schemeClr w14:val="tx1"/>
            </w14:solidFill>
          </w14:textFill>
        </w:rPr>
        <w:t>9</w:t>
      </w:r>
      <w:r>
        <w:rPr>
          <w:rFonts w:hint="eastAsia" w:ascii="Times New Roman" w:hAnsi="Times New Roman"/>
          <w:color w:val="000000" w:themeColor="text1"/>
          <w:szCs w:val="21"/>
          <w:u w:val="single"/>
          <w14:textFill>
            <w14:solidFill>
              <w14:schemeClr w14:val="tx1"/>
            </w14:solidFill>
          </w14:textFill>
        </w:rPr>
        <w:t>时</w:t>
      </w:r>
      <w:r>
        <w:rPr>
          <w:rFonts w:hint="eastAsia" w:ascii="Times New Roman" w:hAnsi="Times New Roman"/>
          <w:color w:val="000000" w:themeColor="text1"/>
          <w:szCs w:val="21"/>
          <w:u w:val="single"/>
          <w:lang w:val="en-US" w:eastAsia="zh-CN"/>
          <w14:textFill>
            <w14:solidFill>
              <w14:schemeClr w14:val="tx1"/>
            </w14:solidFill>
          </w14:textFill>
        </w:rPr>
        <w:t>-</w:t>
      </w:r>
      <w:r>
        <w:rPr>
          <w:rFonts w:hint="eastAsia"/>
          <w:color w:val="000000" w:themeColor="text1"/>
          <w:szCs w:val="21"/>
          <w:u w:val="single"/>
          <w:lang w:val="en-US" w:eastAsia="zh-CN"/>
          <w14:textFill>
            <w14:solidFill>
              <w14:schemeClr w14:val="tx1"/>
            </w14:solidFill>
          </w14:textFill>
        </w:rPr>
        <w:t>9</w:t>
      </w:r>
      <w:r>
        <w:rPr>
          <w:rFonts w:hint="eastAsia" w:ascii="Times New Roman" w:hAnsi="Times New Roman"/>
          <w:color w:val="000000" w:themeColor="text1"/>
          <w:szCs w:val="21"/>
          <w:u w:val="single"/>
          <w:lang w:val="en-US" w:eastAsia="zh-CN"/>
          <w14:textFill>
            <w14:solidFill>
              <w14:schemeClr w14:val="tx1"/>
            </w14:solidFill>
          </w14:textFill>
        </w:rPr>
        <w:t>时30分</w:t>
      </w:r>
    </w:p>
    <w:p>
      <w:pPr>
        <w:wordWrap w:val="0"/>
        <w:topLinePunct/>
        <w:spacing w:line="400" w:lineRule="exact"/>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 xml:space="preserve">5.2 </w:t>
      </w:r>
      <w:r>
        <w:rPr>
          <w:rFonts w:hint="eastAsia" w:ascii="Times New Roman" w:hAnsi="Times New Roman"/>
          <w:color w:val="000000" w:themeColor="text1"/>
          <w:szCs w:val="21"/>
          <w14:textFill>
            <w14:solidFill>
              <w14:schemeClr w14:val="tx1"/>
            </w14:solidFill>
          </w14:textFill>
        </w:rPr>
        <w:t>投标文件递交的截止时间（投标截止时间，下同）：</w:t>
      </w:r>
      <w:r>
        <w:rPr>
          <w:rFonts w:hint="eastAsia" w:ascii="Times New Roman" w:hAnsi="Times New Roman"/>
          <w:color w:val="000000" w:themeColor="text1"/>
          <w:szCs w:val="21"/>
          <w:u w:val="single"/>
          <w14:textFill>
            <w14:solidFill>
              <w14:schemeClr w14:val="tx1"/>
            </w14:solidFill>
          </w14:textFill>
        </w:rPr>
        <w:t>2020年</w:t>
      </w:r>
      <w:r>
        <w:rPr>
          <w:rFonts w:hint="eastAsia"/>
          <w:color w:val="000000" w:themeColor="text1"/>
          <w:szCs w:val="21"/>
          <w:u w:val="single"/>
          <w:lang w:val="en-US" w:eastAsia="zh-CN"/>
          <w14:textFill>
            <w14:solidFill>
              <w14:schemeClr w14:val="tx1"/>
            </w14:solidFill>
          </w14:textFill>
        </w:rPr>
        <w:t>4</w:t>
      </w:r>
      <w:r>
        <w:rPr>
          <w:rFonts w:hint="eastAsia" w:ascii="Times New Roman" w:hAnsi="Times New Roman"/>
          <w:color w:val="000000" w:themeColor="text1"/>
          <w:szCs w:val="21"/>
          <w:u w:val="single"/>
          <w14:textFill>
            <w14:solidFill>
              <w14:schemeClr w14:val="tx1"/>
            </w14:solidFill>
          </w14:textFill>
        </w:rPr>
        <w:t>月</w:t>
      </w:r>
      <w:r>
        <w:rPr>
          <w:rFonts w:hint="eastAsia"/>
          <w:color w:val="000000" w:themeColor="text1"/>
          <w:szCs w:val="21"/>
          <w:u w:val="single"/>
          <w:lang w:val="en-US" w:eastAsia="zh-CN"/>
          <w14:textFill>
            <w14:solidFill>
              <w14:schemeClr w14:val="tx1"/>
            </w14:solidFill>
          </w14:textFill>
        </w:rPr>
        <w:t>27</w:t>
      </w:r>
      <w:r>
        <w:rPr>
          <w:rFonts w:hint="eastAsia" w:ascii="Times New Roman" w:hAnsi="Times New Roman"/>
          <w:color w:val="000000" w:themeColor="text1"/>
          <w:szCs w:val="21"/>
          <w:u w:val="single"/>
          <w14:textFill>
            <w14:solidFill>
              <w14:schemeClr w14:val="tx1"/>
            </w14:solidFill>
          </w14:textFill>
        </w:rPr>
        <w:t>日</w:t>
      </w:r>
      <w:r>
        <w:rPr>
          <w:rFonts w:hint="eastAsia"/>
          <w:color w:val="000000" w:themeColor="text1"/>
          <w:szCs w:val="21"/>
          <w:u w:val="single"/>
          <w:lang w:val="en-US" w:eastAsia="zh-CN"/>
          <w14:textFill>
            <w14:solidFill>
              <w14:schemeClr w14:val="tx1"/>
            </w14:solidFill>
          </w14:textFill>
        </w:rPr>
        <w:t>9</w:t>
      </w:r>
      <w:r>
        <w:rPr>
          <w:rFonts w:hint="eastAsia" w:ascii="Times New Roman" w:hAnsi="Times New Roman"/>
          <w:color w:val="000000" w:themeColor="text1"/>
          <w:szCs w:val="21"/>
          <w:u w:val="single"/>
          <w14:textFill>
            <w14:solidFill>
              <w14:schemeClr w14:val="tx1"/>
            </w14:solidFill>
          </w14:textFill>
        </w:rPr>
        <w:t>时</w:t>
      </w:r>
      <w:r>
        <w:rPr>
          <w:rFonts w:hint="eastAsia" w:ascii="Times New Roman" w:hAnsi="Times New Roman"/>
          <w:color w:val="000000" w:themeColor="text1"/>
          <w:szCs w:val="21"/>
          <w:u w:val="single"/>
          <w:lang w:val="en-US" w:eastAsia="zh-CN"/>
          <w14:textFill>
            <w14:solidFill>
              <w14:schemeClr w14:val="tx1"/>
            </w14:solidFill>
          </w14:textFill>
        </w:rPr>
        <w:t>30分</w:t>
      </w:r>
      <w:r>
        <w:rPr>
          <w:rFonts w:hint="eastAsia" w:ascii="Times New Roman" w:hAnsi="Times New Roman"/>
          <w:color w:val="000000" w:themeColor="text1"/>
          <w:szCs w:val="21"/>
          <w14:textFill>
            <w14:solidFill>
              <w14:schemeClr w14:val="tx1"/>
            </w14:solidFill>
          </w14:textFill>
        </w:rPr>
        <w:t>。</w:t>
      </w:r>
    </w:p>
    <w:p>
      <w:pPr>
        <w:wordWrap w:val="0"/>
        <w:spacing w:line="400" w:lineRule="exact"/>
        <w:ind w:firstLine="420" w:firstLineChars="200"/>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lang w:val="en-US" w:eastAsia="zh-CN"/>
          <w14:textFill>
            <w14:solidFill>
              <w14:schemeClr w14:val="tx1"/>
            </w14:solidFill>
          </w14:textFill>
        </w:rPr>
        <w:t>5</w:t>
      </w:r>
      <w:r>
        <w:rPr>
          <w:rFonts w:hint="eastAsia" w:ascii="Times New Roman" w:hAnsi="Times New Roman"/>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3</w:t>
      </w:r>
      <w:r>
        <w:rPr>
          <w:rFonts w:hint="eastAsia" w:ascii="Times New Roman" w:hAnsi="Times New Roman"/>
          <w:color w:val="000000" w:themeColor="text1"/>
          <w14:textFill>
            <w14:solidFill>
              <w14:schemeClr w14:val="tx1"/>
            </w14:solidFill>
          </w14:textFill>
        </w:rPr>
        <w:t xml:space="preserve"> 投标文件递交的地点：</w:t>
      </w:r>
      <w:r>
        <w:rPr>
          <w:rFonts w:hint="eastAsia" w:ascii="Times New Roman" w:hAnsi="Times New Roman"/>
          <w:color w:val="000000" w:themeColor="text1"/>
          <w:u w:val="single"/>
          <w14:textFill>
            <w14:solidFill>
              <w14:schemeClr w14:val="tx1"/>
            </w14:solidFill>
          </w14:textFill>
        </w:rPr>
        <w:t>投标人应于上述投标截止时间前将投标文件递交至盐城市大丰区丰华国际大厦（盐城市大丰区丰华路与飞达路交叉口西150米）1楼咨询台，北门进</w:t>
      </w:r>
      <w:r>
        <w:rPr>
          <w:rFonts w:hint="eastAsia" w:ascii="Times New Roman" w:hAnsi="Times New Roman"/>
          <w:color w:val="000000" w:themeColor="text1"/>
          <w14:textFill>
            <w14:solidFill>
              <w14:schemeClr w14:val="tx1"/>
            </w14:solidFill>
          </w14:textFill>
        </w:rPr>
        <w:t>。</w:t>
      </w:r>
    </w:p>
    <w:p>
      <w:pPr>
        <w:wordWrap w:val="0"/>
        <w:spacing w:line="400" w:lineRule="exact"/>
        <w:ind w:firstLine="420" w:firstLineChars="200"/>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lang w:val="en-US" w:eastAsia="zh-CN"/>
          <w14:textFill>
            <w14:solidFill>
              <w14:schemeClr w14:val="tx1"/>
            </w14:solidFill>
          </w14:textFill>
        </w:rPr>
        <w:t>5</w:t>
      </w:r>
      <w:r>
        <w:rPr>
          <w:rFonts w:ascii="Times New Roman" w:hAnsi="Times New Roman"/>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4</w:t>
      </w:r>
      <w:r>
        <w:rPr>
          <w:rFonts w:ascii="Times New Roman" w:hAnsi="Times New Roman"/>
          <w:color w:val="000000" w:themeColor="text1"/>
          <w14:textFill>
            <w14:solidFill>
              <w14:schemeClr w14:val="tx1"/>
            </w14:solidFill>
          </w14:textFill>
        </w:rPr>
        <w:t xml:space="preserve"> 逾期送达的、未送达指定地点的或者不按照招标文件要求密封的投标文件，招标人将予以拒收。</w:t>
      </w:r>
    </w:p>
    <w:p>
      <w:pPr>
        <w:rPr>
          <w:rFonts w:hint="default" w:eastAsia="宋体"/>
          <w:color w:val="000000" w:themeColor="text1"/>
          <w:lang w:val="en-US" w:eastAsia="zh-CN"/>
          <w14:textFill>
            <w14:solidFill>
              <w14:schemeClr w14:val="tx1"/>
            </w14:solidFill>
          </w14:textFill>
        </w:rPr>
      </w:pPr>
    </w:p>
    <w:p>
      <w:pPr>
        <w:pStyle w:val="4"/>
        <w:numPr>
          <w:ilvl w:val="0"/>
          <w:numId w:val="1"/>
        </w:numPr>
        <w:wordWrap w:val="0"/>
        <w:adjustRightInd w:val="0"/>
        <w:snapToGrid w:val="0"/>
        <w:spacing w:before="0" w:after="0" w:line="360" w:lineRule="auto"/>
        <w:rPr>
          <w:rFonts w:ascii="宋体" w:hAnsi="宋体" w:eastAsia="宋体" w:cs="宋体"/>
          <w:color w:val="000000" w:themeColor="text1"/>
          <w14:textFill>
            <w14:solidFill>
              <w14:schemeClr w14:val="tx1"/>
            </w14:solidFill>
          </w14:textFill>
        </w:rPr>
      </w:pPr>
      <w:bookmarkStart w:id="17" w:name="_Toc30325"/>
      <w:r>
        <w:rPr>
          <w:rFonts w:hint="eastAsia" w:ascii="宋体" w:hAnsi="宋体" w:eastAsia="宋体" w:cs="宋体"/>
          <w:color w:val="000000" w:themeColor="text1"/>
          <w14:textFill>
            <w14:solidFill>
              <w14:schemeClr w14:val="tx1"/>
            </w14:solidFill>
          </w14:textFill>
        </w:rPr>
        <w:t>资格审查</w:t>
      </w:r>
      <w:bookmarkEnd w:id="17"/>
    </w:p>
    <w:p>
      <w:pPr>
        <w:wordWrap w:val="0"/>
        <w:topLinePunct/>
        <w:adjustRightInd w:val="0"/>
        <w:snapToGrid w:val="0"/>
        <w:spacing w:line="360" w:lineRule="auto"/>
        <w:ind w:firstLine="424" w:firstLineChars="202"/>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本次招标采用资格后审方式进行资格审查，投标时须提供下列资格审查材料原件及复印件（确有原因无法提供原件的，复印件须由原发证部门盖章确认，原件可与投标文件一并密封提交，也可单独密封提交）：</w:t>
      </w:r>
    </w:p>
    <w:p>
      <w:pPr>
        <w:wordWrap w:val="0"/>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（1）投标人营业执照、资质证书；</w:t>
      </w:r>
    </w:p>
    <w:p>
      <w:pPr>
        <w:wordWrap w:val="0"/>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（2）总承包项目经理执业资格证书；   </w:t>
      </w:r>
    </w:p>
    <w:p>
      <w:pPr>
        <w:wordWrap w:val="0"/>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3）总承包项目经理、委托代理人（如有授权）须提供2019年8月以来连续6个月均连续在本单位缴纳养老保险，以上人员参保证明需单独出具每人一份，注明缴费起止时间且加盖社保部门有效章印。（如为联合体单位，则须提供联合体各成员的相应参保证明材料）</w:t>
      </w:r>
    </w:p>
    <w:p>
      <w:pPr>
        <w:wordWrap w:val="0"/>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（4）符合招标公告要求的业绩证明材料；</w:t>
      </w:r>
    </w:p>
    <w:p>
      <w:pPr>
        <w:wordWrap w:val="0"/>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（5）联合体协议书（如系联合体投标）；</w:t>
      </w:r>
    </w:p>
    <w:p>
      <w:pPr>
        <w:wordWrap w:val="0"/>
        <w:spacing w:line="400" w:lineRule="exact"/>
        <w:rPr>
          <w:rFonts w:ascii="宋体" w:hAnsi="宋体" w:cs="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（6）投标人认为需要提交的其他材料。</w:t>
      </w:r>
    </w:p>
    <w:p>
      <w:pPr>
        <w:pStyle w:val="4"/>
        <w:wordWrap w:val="0"/>
        <w:adjustRightInd w:val="0"/>
        <w:snapToGrid w:val="0"/>
        <w:spacing w:before="0" w:after="0" w:line="360" w:lineRule="auto"/>
        <w:rPr>
          <w:rFonts w:ascii="宋体" w:hAnsi="宋体" w:eastAsia="宋体" w:cs="宋体"/>
          <w:color w:val="000000" w:themeColor="text1"/>
          <w14:textFill>
            <w14:solidFill>
              <w14:schemeClr w14:val="tx1"/>
            </w14:solidFill>
          </w14:textFill>
        </w:rPr>
      </w:pPr>
      <w:bookmarkStart w:id="18" w:name="_Toc7129"/>
      <w:r>
        <w:rPr>
          <w:rFonts w:hint="eastAsia" w:ascii="宋体" w:hAnsi="宋体" w:eastAsia="宋体" w:cs="宋体"/>
          <w:color w:val="000000" w:themeColor="text1"/>
          <w14:textFill>
            <w14:solidFill>
              <w14:schemeClr w14:val="tx1"/>
            </w14:solidFill>
          </w14:textFill>
        </w:rPr>
        <w:t>7. 评标</w:t>
      </w:r>
      <w:bookmarkEnd w:id="16"/>
      <w:r>
        <w:rPr>
          <w:rFonts w:hint="eastAsia" w:ascii="宋体" w:hAnsi="宋体" w:eastAsia="宋体" w:cs="宋体"/>
          <w:color w:val="000000" w:themeColor="text1"/>
          <w14:textFill>
            <w14:solidFill>
              <w14:schemeClr w14:val="tx1"/>
            </w14:solidFill>
          </w14:textFill>
        </w:rPr>
        <w:t>方法</w:t>
      </w:r>
      <w:bookmarkEnd w:id="18"/>
    </w:p>
    <w:p>
      <w:pPr>
        <w:wordWrap w:val="0"/>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本次招标的评标标准和方法：综合评估法。</w:t>
      </w:r>
    </w:p>
    <w:p>
      <w:pPr>
        <w:pStyle w:val="4"/>
        <w:numPr>
          <w:ilvl w:val="0"/>
          <w:numId w:val="2"/>
        </w:numPr>
        <w:wordWrap w:val="0"/>
        <w:adjustRightInd w:val="0"/>
        <w:snapToGrid w:val="0"/>
        <w:spacing w:before="0" w:after="0" w:line="360" w:lineRule="auto"/>
        <w:rPr>
          <w:rFonts w:ascii="宋体" w:hAnsi="宋体" w:eastAsia="宋体" w:cs="宋体"/>
          <w:color w:val="000000" w:themeColor="text1"/>
          <w14:textFill>
            <w14:solidFill>
              <w14:schemeClr w14:val="tx1"/>
            </w14:solidFill>
          </w14:textFill>
        </w:rPr>
      </w:pPr>
      <w:bookmarkStart w:id="19" w:name="_Toc9621"/>
      <w:r>
        <w:rPr>
          <w:rFonts w:hint="eastAsia" w:ascii="宋体" w:hAnsi="宋体" w:eastAsia="宋体" w:cs="宋体"/>
          <w:color w:val="000000" w:themeColor="text1"/>
          <w14:textFill>
            <w14:solidFill>
              <w14:schemeClr w14:val="tx1"/>
            </w14:solidFill>
          </w14:textFill>
        </w:rPr>
        <w:t>发布公告的媒介</w:t>
      </w:r>
      <w:bookmarkEnd w:id="19"/>
    </w:p>
    <w:p>
      <w:pPr>
        <w:wordWrap w:val="0"/>
        <w:adjustRightInd w:val="0"/>
        <w:snapToGrid w:val="0"/>
        <w:spacing w:line="360" w:lineRule="auto"/>
        <w:ind w:firstLine="420" w:firstLineChars="20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本次招标公告同时在江苏建设工程招标网、大丰公共资源电子交易平台</w:t>
      </w:r>
      <w:r>
        <w:rPr>
          <w:rFonts w:hint="eastAsia"/>
          <w:color w:val="000000" w:themeColor="text1"/>
          <w:szCs w:val="21"/>
          <w:u w:val="single"/>
          <w14:textFill>
            <w14:solidFill>
              <w14:schemeClr w14:val="tx1"/>
            </w14:solidFill>
          </w14:textFill>
        </w:rPr>
        <w:t>http://ggzy.dafeng.gov.cn/dfweb/default.aspx</w:t>
      </w:r>
      <w:r>
        <w:rPr>
          <w:rFonts w:hint="eastAsia" w:ascii="宋体" w:hAnsi="宋体" w:cs="宋体"/>
          <w:color w:val="000000" w:themeColor="text1"/>
          <w14:textFill>
            <w14:solidFill>
              <w14:schemeClr w14:val="tx1"/>
            </w14:solidFill>
          </w14:textFill>
        </w:rPr>
        <w:t>上发布。</w:t>
      </w:r>
    </w:p>
    <w:p>
      <w:pPr>
        <w:pStyle w:val="4"/>
        <w:numPr>
          <w:ilvl w:val="0"/>
          <w:numId w:val="2"/>
        </w:numPr>
        <w:wordWrap w:val="0"/>
        <w:adjustRightInd w:val="0"/>
        <w:snapToGrid w:val="0"/>
        <w:spacing w:before="0" w:after="0" w:line="360" w:lineRule="auto"/>
        <w:rPr>
          <w:rFonts w:hint="eastAsia" w:ascii="宋体" w:hAnsi="宋体" w:eastAsia="宋体" w:cs="宋体"/>
          <w:color w:val="000000" w:themeColor="text1"/>
          <w:lang w:val="en-US" w:eastAsia="zh-CN"/>
          <w14:textFill>
            <w14:solidFill>
              <w14:schemeClr w14:val="tx1"/>
            </w14:solidFill>
          </w14:textFill>
        </w:rPr>
      </w:pPr>
      <w:bookmarkStart w:id="20" w:name="_Toc9687"/>
      <w:r>
        <w:rPr>
          <w:rFonts w:hint="eastAsia" w:ascii="宋体" w:hAnsi="宋体" w:eastAsia="宋体" w:cs="宋体"/>
          <w:color w:val="000000" w:themeColor="text1"/>
          <w14:textFill>
            <w14:solidFill>
              <w14:schemeClr w14:val="tx1"/>
            </w14:solidFill>
          </w14:textFill>
        </w:rPr>
        <w:t>特别说明</w:t>
      </w:r>
      <w:bookmarkEnd w:id="20"/>
    </w:p>
    <w:p>
      <w:pPr>
        <w:wordWrap w:val="0"/>
        <w:topLinePunct/>
        <w:spacing w:line="400" w:lineRule="exact"/>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根据《国务院办公厅转发国家发展改革委关于深化公共资源交易平台整合共享指导意见的通知》（国办函〔2019〕41号）、国家发改委发布《关于积极应对疫情创新做好招投标工作保障经济平稳运行的通知》等文件精神，全面逐步推行不见面投标开标等招投标活动。结合当前疫情防控要求，本项目开标方式更改为不见面纸质文件开标。开标当日，投标人无需到达开标现场，仅需在任意地点通过 PC端或移动端的“腾讯会议”及相应的配套硬件设备参加开标会议。参加开标会议的方法详见招标文件。</w:t>
      </w:r>
    </w:p>
    <w:p>
      <w:pPr>
        <w:rPr>
          <w:rFonts w:hint="default" w:eastAsia="宋体"/>
          <w:color w:val="000000" w:themeColor="text1"/>
          <w:lang w:val="en-US" w:eastAsia="zh-CN"/>
          <w14:textFill>
            <w14:solidFill>
              <w14:schemeClr w14:val="tx1"/>
            </w14:solidFill>
          </w14:textFill>
        </w:rPr>
      </w:pPr>
    </w:p>
    <w:p>
      <w:pPr>
        <w:pStyle w:val="4"/>
        <w:numPr>
          <w:ilvl w:val="0"/>
          <w:numId w:val="2"/>
        </w:numPr>
        <w:wordWrap w:val="0"/>
        <w:adjustRightInd w:val="0"/>
        <w:snapToGrid w:val="0"/>
        <w:spacing w:before="0" w:after="0" w:line="360" w:lineRule="auto"/>
        <w:ind w:left="0" w:leftChars="0" w:firstLine="0" w:firstLineChars="0"/>
        <w:rPr>
          <w:rFonts w:ascii="宋体" w:hAnsi="宋体" w:eastAsia="宋体" w:cs="宋体"/>
          <w:color w:val="000000" w:themeColor="text1"/>
          <w14:textFill>
            <w14:solidFill>
              <w14:schemeClr w14:val="tx1"/>
            </w14:solidFill>
          </w14:textFill>
        </w:rPr>
      </w:pPr>
      <w:bookmarkStart w:id="21" w:name="_Toc27427"/>
      <w:r>
        <w:rPr>
          <w:rFonts w:hint="eastAsia" w:ascii="宋体" w:hAnsi="宋体" w:eastAsia="宋体" w:cs="宋体"/>
          <w:color w:val="000000" w:themeColor="text1"/>
          <w14:textFill>
            <w14:solidFill>
              <w14:schemeClr w14:val="tx1"/>
            </w14:solidFill>
          </w14:textFill>
        </w:rPr>
        <w:t>联系方式</w:t>
      </w:r>
      <w:bookmarkEnd w:id="21"/>
    </w:p>
    <w:p>
      <w:pPr>
        <w:wordWrap w:val="0"/>
        <w:adjustRightInd w:val="0"/>
        <w:snapToGrid w:val="0"/>
        <w:spacing w:line="360" w:lineRule="auto"/>
        <w:ind w:firstLine="420" w:firstLineChars="20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招 标 人：江苏金色农业股份有限公司     </w:t>
      </w:r>
    </w:p>
    <w:p>
      <w:pPr>
        <w:wordWrap w:val="0"/>
        <w:adjustRightInd w:val="0"/>
        <w:snapToGrid w:val="0"/>
        <w:spacing w:line="360" w:lineRule="auto"/>
        <w:ind w:firstLine="420" w:firstLineChars="20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地    址：盐城市大丰区黄海西路66号    </w:t>
      </w:r>
    </w:p>
    <w:p>
      <w:pPr>
        <w:wordWrap w:val="0"/>
        <w:adjustRightInd w:val="0"/>
        <w:snapToGrid w:val="0"/>
        <w:spacing w:line="360" w:lineRule="auto"/>
        <w:ind w:firstLine="420" w:firstLineChars="20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联 系 人：朱建军  </w:t>
      </w:r>
    </w:p>
    <w:p>
      <w:pPr>
        <w:wordWrap w:val="0"/>
        <w:adjustRightInd w:val="0"/>
        <w:snapToGrid w:val="0"/>
        <w:spacing w:line="360" w:lineRule="auto"/>
        <w:ind w:firstLine="420" w:firstLineChars="20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电    话： 13851007818 </w:t>
      </w:r>
    </w:p>
    <w:p>
      <w:pPr>
        <w:wordWrap w:val="0"/>
        <w:adjustRightInd w:val="0"/>
        <w:snapToGrid w:val="0"/>
        <w:spacing w:line="360" w:lineRule="auto"/>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招标代理机构：江苏双清工程造价咨询有限公司</w:t>
      </w:r>
    </w:p>
    <w:p>
      <w:pPr>
        <w:wordWrap w:val="0"/>
        <w:adjustRightInd w:val="0"/>
        <w:snapToGrid w:val="0"/>
        <w:spacing w:line="360" w:lineRule="auto"/>
        <w:ind w:firstLine="420" w:firstLineChars="20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联 系 人：管义莹 </w:t>
      </w:r>
    </w:p>
    <w:p>
      <w:pPr>
        <w:wordWrap w:val="0"/>
        <w:adjustRightInd w:val="0"/>
        <w:snapToGrid w:val="0"/>
        <w:spacing w:line="360" w:lineRule="auto"/>
        <w:ind w:firstLine="420" w:firstLineChars="200"/>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电</w:t>
      </w:r>
      <w:r>
        <w:rPr>
          <w:rFonts w:hint="eastAsia" w:ascii="宋体" w:hAnsi="宋体" w:cs="宋体"/>
          <w:color w:val="000000" w:themeColor="text1"/>
          <w:lang w:val="en-US" w:eastAsia="zh-CN"/>
          <w14:textFill>
            <w14:solidFill>
              <w14:schemeClr w14:val="tx1"/>
            </w14:solidFill>
          </w14:textFill>
        </w:rPr>
        <w:t xml:space="preserve">    </w:t>
      </w:r>
      <w:r>
        <w:rPr>
          <w:rFonts w:hint="eastAsia" w:ascii="宋体" w:hAnsi="宋体" w:cs="宋体"/>
          <w:color w:val="000000" w:themeColor="text1"/>
          <w:lang w:eastAsia="zh-CN"/>
          <w14:textFill>
            <w14:solidFill>
              <w14:schemeClr w14:val="tx1"/>
            </w14:solidFill>
          </w14:textFill>
        </w:rPr>
        <w:t>话：</w:t>
      </w:r>
      <w:r>
        <w:rPr>
          <w:rFonts w:hint="eastAsia" w:ascii="宋体" w:hAnsi="宋体" w:cs="宋体"/>
          <w:color w:val="000000" w:themeColor="text1"/>
          <w:lang w:val="en-US" w:eastAsia="zh-CN"/>
          <w14:textFill>
            <w14:solidFill>
              <w14:schemeClr w14:val="tx1"/>
            </w14:solidFill>
          </w14:textFill>
        </w:rPr>
        <w:t>15722588752</w:t>
      </w:r>
    </w:p>
    <w:p>
      <w:pPr>
        <w:wordWrap w:val="0"/>
        <w:adjustRightInd w:val="0"/>
        <w:snapToGrid w:val="0"/>
        <w:spacing w:line="360" w:lineRule="auto"/>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大丰分公司地址：盐城市大丰区大中镇城南经济开发区大学生创业园四号楼3楼</w:t>
      </w:r>
    </w:p>
    <w:p>
      <w:pPr>
        <w:wordWrap w:val="0"/>
        <w:adjustRightInd w:val="0"/>
        <w:snapToGrid w:val="0"/>
        <w:spacing w:line="360" w:lineRule="auto"/>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邮    编：224100</w:t>
      </w:r>
    </w:p>
    <w:p>
      <w:pPr>
        <w:wordWrap w:val="0"/>
        <w:adjustRightInd w:val="0"/>
        <w:snapToGrid w:val="0"/>
        <w:spacing w:line="360" w:lineRule="auto"/>
        <w:ind w:firstLine="420" w:firstLineChars="200"/>
        <w:rPr>
          <w:rFonts w:ascii="宋体" w:hAnsi="宋体" w:cs="宋体"/>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wordWrap w:val="0"/>
        <w:adjustRightInd w:val="0"/>
        <w:snapToGrid w:val="0"/>
        <w:spacing w:line="360" w:lineRule="auto"/>
        <w:jc w:val="right"/>
        <w:rPr>
          <w:rFonts w:ascii="宋体" w:hAnsi="宋体" w:cs="宋体"/>
          <w:color w:val="000000" w:themeColor="text1"/>
          <w:u w:val="single"/>
          <w14:textFill>
            <w14:solidFill>
              <w14:schemeClr w14:val="tx1"/>
            </w14:solidFill>
          </w14:textFill>
        </w:rPr>
      </w:pPr>
    </w:p>
    <w:p>
      <w:pPr>
        <w:wordWrap w:val="0"/>
        <w:adjustRightInd w:val="0"/>
        <w:snapToGrid w:val="0"/>
        <w:spacing w:line="360" w:lineRule="auto"/>
        <w:jc w:val="right"/>
        <w:rPr>
          <w:rFonts w:ascii="宋体" w:hAnsi="宋体" w:cs="宋体"/>
          <w:color w:val="000000" w:themeColor="text1"/>
          <w:szCs w:val="21"/>
          <w14:textFill>
            <w14:solidFill>
              <w14:schemeClr w14:val="tx1"/>
            </w14:solidFill>
          </w14:textFill>
        </w:rPr>
      </w:pPr>
    </w:p>
    <w:p>
      <w:pPr>
        <w:wordWrap w:val="0"/>
        <w:spacing w:line="360" w:lineRule="auto"/>
        <w:ind w:right="840"/>
        <w:rPr>
          <w:color w:val="000000" w:themeColor="text1"/>
          <w14:textFill>
            <w14:solidFill>
              <w14:schemeClr w14:val="tx1"/>
            </w14:solidFill>
          </w14:textFill>
        </w:rPr>
      </w:pPr>
    </w:p>
    <w:p>
      <w:pPr>
        <w:pStyle w:val="3"/>
        <w:wordWrap w:val="0"/>
        <w:jc w:val="center"/>
        <w:rPr>
          <w:color w:val="000000" w:themeColor="text1"/>
          <w14:textFill>
            <w14:solidFill>
              <w14:schemeClr w14:val="tx1"/>
            </w14:solidFill>
          </w14:textFill>
        </w:rPr>
      </w:pPr>
      <w:bookmarkStart w:id="22" w:name="_Toc389065142"/>
      <w:r>
        <w:rPr>
          <w:color w:val="000000" w:themeColor="text1"/>
          <w14:textFill>
            <w14:solidFill>
              <w14:schemeClr w14:val="tx1"/>
            </w14:solidFill>
          </w14:textFill>
        </w:rPr>
        <w:br w:type="page"/>
      </w:r>
      <w:bookmarkStart w:id="23" w:name="_Toc11705"/>
      <w:r>
        <w:rPr>
          <w:color w:val="000000" w:themeColor="text1"/>
          <w14:textFill>
            <w14:solidFill>
              <w14:schemeClr w14:val="tx1"/>
            </w14:solidFill>
          </w14:textFill>
        </w:rPr>
        <w:t>第二章</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投标人须知</w:t>
      </w:r>
      <w:bookmarkEnd w:id="22"/>
      <w:bookmarkEnd w:id="23"/>
    </w:p>
    <w:p>
      <w:pPr>
        <w:pStyle w:val="3"/>
        <w:wordWrap w:val="0"/>
        <w:jc w:val="center"/>
        <w:rPr>
          <w:color w:val="000000" w:themeColor="text1"/>
          <w14:textFill>
            <w14:solidFill>
              <w14:schemeClr w14:val="tx1"/>
            </w14:solidFill>
          </w14:textFill>
        </w:rPr>
      </w:pPr>
      <w:bookmarkStart w:id="24" w:name="_Toc16500"/>
      <w:bookmarkStart w:id="25" w:name="_Toc389065143"/>
      <w:r>
        <w:rPr>
          <w:color w:val="000000" w:themeColor="text1"/>
          <w14:textFill>
            <w14:solidFill>
              <w14:schemeClr w14:val="tx1"/>
            </w14:solidFill>
          </w14:textFill>
        </w:rPr>
        <w:t>投标人须知前附表</w:t>
      </w:r>
      <w:bookmarkEnd w:id="24"/>
      <w:bookmarkEnd w:id="25"/>
    </w:p>
    <w:tbl>
      <w:tblPr>
        <w:tblStyle w:val="43"/>
        <w:tblW w:w="900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1"/>
        <w:gridCol w:w="2911"/>
        <w:gridCol w:w="53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3" w:hRule="atLeast"/>
          <w:tblHeader/>
          <w:jc w:val="center"/>
        </w:trPr>
        <w:tc>
          <w:tcPr>
            <w:tcW w:w="741" w:type="dxa"/>
            <w:tcBorders>
              <w:top w:val="single" w:color="auto" w:sz="2" w:space="0"/>
              <w:left w:val="single" w:color="auto" w:sz="2" w:space="0"/>
              <w:bottom w:val="single" w:color="auto" w:sz="2" w:space="0"/>
              <w:right w:val="single" w:color="auto" w:sz="2" w:space="0"/>
            </w:tcBorders>
            <w:shd w:val="clear" w:color="auto" w:fill="E6E6E6"/>
            <w:vAlign w:val="center"/>
          </w:tcPr>
          <w:p>
            <w:pPr>
              <w:wordWrap w:val="0"/>
              <w:adjustRightInd w:val="0"/>
              <w:snapToGrid w:val="0"/>
              <w:spacing w:line="40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条款号</w:t>
            </w:r>
          </w:p>
        </w:tc>
        <w:tc>
          <w:tcPr>
            <w:tcW w:w="2911" w:type="dxa"/>
            <w:tcBorders>
              <w:top w:val="single" w:color="auto" w:sz="2" w:space="0"/>
              <w:left w:val="single" w:color="auto" w:sz="2" w:space="0"/>
              <w:bottom w:val="single" w:color="auto" w:sz="2" w:space="0"/>
              <w:right w:val="single" w:color="auto" w:sz="2" w:space="0"/>
            </w:tcBorders>
            <w:shd w:val="clear" w:color="auto" w:fill="E6E6E6"/>
            <w:vAlign w:val="center"/>
          </w:tcPr>
          <w:p>
            <w:pPr>
              <w:wordWrap w:val="0"/>
              <w:adjustRightInd w:val="0"/>
              <w:snapToGrid w:val="0"/>
              <w:spacing w:line="40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条  款  名  称</w:t>
            </w:r>
          </w:p>
        </w:tc>
        <w:tc>
          <w:tcPr>
            <w:tcW w:w="5351" w:type="dxa"/>
            <w:tcBorders>
              <w:top w:val="single" w:color="auto" w:sz="2" w:space="0"/>
              <w:left w:val="single" w:color="auto" w:sz="2" w:space="0"/>
              <w:bottom w:val="single" w:color="auto" w:sz="2" w:space="0"/>
              <w:right w:val="single" w:color="auto" w:sz="2" w:space="0"/>
            </w:tcBorders>
            <w:shd w:val="clear" w:color="auto" w:fill="E6E6E6"/>
            <w:vAlign w:val="center"/>
          </w:tcPr>
          <w:p>
            <w:pPr>
              <w:wordWrap w:val="0"/>
              <w:adjustRightInd w:val="0"/>
              <w:snapToGrid w:val="0"/>
              <w:spacing w:line="40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74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1.1.2</w:t>
            </w:r>
          </w:p>
        </w:tc>
        <w:tc>
          <w:tcPr>
            <w:tcW w:w="291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招标人</w:t>
            </w:r>
          </w:p>
        </w:tc>
        <w:tc>
          <w:tcPr>
            <w:tcW w:w="535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名称：</w:t>
            </w:r>
            <w:r>
              <w:rPr>
                <w:rFonts w:hint="eastAsia" w:ascii="宋体" w:hAnsi="宋体" w:cs="宋体"/>
                <w:color w:val="000000" w:themeColor="text1"/>
                <w14:textFill>
                  <w14:solidFill>
                    <w14:schemeClr w14:val="tx1"/>
                  </w14:solidFill>
                </w14:textFill>
              </w:rPr>
              <w:t>江苏金色农业股份有限公司</w:t>
            </w:r>
          </w:p>
          <w:p>
            <w:pPr>
              <w:wordWrap w:val="0"/>
              <w:adjustRightInd w:val="0"/>
              <w:snapToGrid w:val="0"/>
              <w:spacing w:line="40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地址：盐城市大丰区黄海西路66号    </w:t>
            </w:r>
          </w:p>
          <w:p>
            <w:pPr>
              <w:wordWrap w:val="0"/>
              <w:adjustRightInd w:val="0"/>
              <w:snapToGrid w:val="0"/>
              <w:spacing w:line="40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联系人：朱建军  </w:t>
            </w:r>
          </w:p>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电话：13851007818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1" w:hRule="atLeast"/>
          <w:jc w:val="center"/>
        </w:trPr>
        <w:tc>
          <w:tcPr>
            <w:tcW w:w="74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1.1.3</w:t>
            </w:r>
          </w:p>
        </w:tc>
        <w:tc>
          <w:tcPr>
            <w:tcW w:w="291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招标代理机构</w:t>
            </w:r>
          </w:p>
        </w:tc>
        <w:tc>
          <w:tcPr>
            <w:tcW w:w="535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名称：江苏双清工程造价咨询有限公司</w:t>
            </w:r>
          </w:p>
          <w:p>
            <w:pPr>
              <w:wordWrap w:val="0"/>
              <w:adjustRightInd w:val="0"/>
              <w:snapToGrid w:val="0"/>
              <w:spacing w:line="40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大丰公公司地址：盐城市大丰区大中镇城南新区大学生科技创业园四号楼3楼</w:t>
            </w:r>
          </w:p>
          <w:p>
            <w:pPr>
              <w:wordWrap w:val="0"/>
              <w:adjustRightInd w:val="0"/>
              <w:snapToGrid w:val="0"/>
              <w:spacing w:line="40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联系人：管义莹 </w:t>
            </w:r>
          </w:p>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电话：</w:t>
            </w:r>
            <w:r>
              <w:rPr>
                <w:rFonts w:hint="eastAsia" w:ascii="宋体" w:hAnsi="宋体" w:cs="宋体"/>
                <w:color w:val="000000" w:themeColor="text1"/>
                <w:szCs w:val="21"/>
                <w:lang w:val="en-US" w:eastAsia="zh-CN"/>
                <w14:textFill>
                  <w14:solidFill>
                    <w14:schemeClr w14:val="tx1"/>
                  </w14:solidFill>
                </w14:textFill>
              </w:rPr>
              <w:t>15722588752</w:t>
            </w:r>
            <w:r>
              <w:rPr>
                <w:rFonts w:hint="eastAsia" w:ascii="宋体" w:hAnsi="宋体" w:cs="宋体"/>
                <w:color w:val="000000" w:themeColor="text1"/>
                <w:szCs w:val="21"/>
                <w14:textFill>
                  <w14:solidFill>
                    <w14:schemeClr w14:val="tx1"/>
                  </w14:solidFill>
                </w14:textFill>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exact"/>
          <w:jc w:val="center"/>
        </w:trPr>
        <w:tc>
          <w:tcPr>
            <w:tcW w:w="74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1.1.4</w:t>
            </w:r>
          </w:p>
        </w:tc>
        <w:tc>
          <w:tcPr>
            <w:tcW w:w="291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项目名称</w:t>
            </w:r>
          </w:p>
        </w:tc>
        <w:tc>
          <w:tcPr>
            <w:tcW w:w="535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智能灌溉系统项目设计、采购、施工一体化工程总承包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exact"/>
          <w:jc w:val="center"/>
        </w:trPr>
        <w:tc>
          <w:tcPr>
            <w:tcW w:w="74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1.1.5</w:t>
            </w:r>
          </w:p>
        </w:tc>
        <w:tc>
          <w:tcPr>
            <w:tcW w:w="291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建设地点</w:t>
            </w:r>
          </w:p>
        </w:tc>
        <w:tc>
          <w:tcPr>
            <w:tcW w:w="535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江苏省大丰区刘庄镇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exact"/>
          <w:jc w:val="center"/>
        </w:trPr>
        <w:tc>
          <w:tcPr>
            <w:tcW w:w="74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1.2.1</w:t>
            </w:r>
          </w:p>
        </w:tc>
        <w:tc>
          <w:tcPr>
            <w:tcW w:w="291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资金来源</w:t>
            </w:r>
          </w:p>
        </w:tc>
        <w:tc>
          <w:tcPr>
            <w:tcW w:w="535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财政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exact"/>
          <w:jc w:val="center"/>
        </w:trPr>
        <w:tc>
          <w:tcPr>
            <w:tcW w:w="74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1.2.2</w:t>
            </w:r>
          </w:p>
        </w:tc>
        <w:tc>
          <w:tcPr>
            <w:tcW w:w="291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出资比例</w:t>
            </w:r>
          </w:p>
        </w:tc>
        <w:tc>
          <w:tcPr>
            <w:tcW w:w="535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exact"/>
          <w:jc w:val="center"/>
        </w:trPr>
        <w:tc>
          <w:tcPr>
            <w:tcW w:w="74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1.2.3</w:t>
            </w:r>
          </w:p>
        </w:tc>
        <w:tc>
          <w:tcPr>
            <w:tcW w:w="291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资金落实情况</w:t>
            </w:r>
          </w:p>
        </w:tc>
        <w:tc>
          <w:tcPr>
            <w:tcW w:w="535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已落实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exact"/>
          <w:jc w:val="center"/>
        </w:trPr>
        <w:tc>
          <w:tcPr>
            <w:tcW w:w="74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1.2.4</w:t>
            </w:r>
          </w:p>
        </w:tc>
        <w:tc>
          <w:tcPr>
            <w:tcW w:w="291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合同价款支付方式</w:t>
            </w:r>
          </w:p>
        </w:tc>
        <w:tc>
          <w:tcPr>
            <w:tcW w:w="535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详见合同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4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1.3.1</w:t>
            </w:r>
          </w:p>
        </w:tc>
        <w:tc>
          <w:tcPr>
            <w:tcW w:w="291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招标范围</w:t>
            </w:r>
          </w:p>
        </w:tc>
        <w:tc>
          <w:tcPr>
            <w:tcW w:w="535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详见招标公告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74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1.3.2</w:t>
            </w:r>
          </w:p>
        </w:tc>
        <w:tc>
          <w:tcPr>
            <w:tcW w:w="291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要求工期</w:t>
            </w:r>
          </w:p>
        </w:tc>
        <w:tc>
          <w:tcPr>
            <w:tcW w:w="5351" w:type="dxa"/>
            <w:tcBorders>
              <w:top w:val="single" w:color="auto" w:sz="2" w:space="0"/>
              <w:left w:val="single" w:color="auto" w:sz="2" w:space="0"/>
              <w:bottom w:val="single" w:color="auto" w:sz="2" w:space="0"/>
              <w:right w:val="single" w:color="auto" w:sz="2" w:space="0"/>
            </w:tcBorders>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详见招标公告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41" w:type="dxa"/>
            <w:tcBorders>
              <w:top w:val="single" w:color="auto" w:sz="2" w:space="0"/>
              <w:left w:val="single" w:color="auto" w:sz="2" w:space="0"/>
              <w:bottom w:val="single" w:color="auto" w:sz="2" w:space="0"/>
              <w:right w:val="single" w:color="auto" w:sz="2" w:space="0"/>
            </w:tcBorders>
          </w:tcPr>
          <w:p>
            <w:pPr>
              <w:wordWrap w:val="0"/>
              <w:adjustRightInd w:val="0"/>
              <w:snapToGrid w:val="0"/>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1.3.3</w:t>
            </w:r>
          </w:p>
        </w:tc>
        <w:tc>
          <w:tcPr>
            <w:tcW w:w="2911" w:type="dxa"/>
            <w:tcBorders>
              <w:top w:val="single" w:color="auto" w:sz="2" w:space="0"/>
              <w:left w:val="single" w:color="auto" w:sz="2" w:space="0"/>
              <w:bottom w:val="single" w:color="auto" w:sz="2" w:space="0"/>
              <w:right w:val="single" w:color="auto" w:sz="2" w:space="0"/>
            </w:tcBorders>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质量要求</w:t>
            </w:r>
          </w:p>
        </w:tc>
        <w:tc>
          <w:tcPr>
            <w:tcW w:w="5351" w:type="dxa"/>
            <w:tcBorders>
              <w:top w:val="single" w:color="auto" w:sz="2" w:space="0"/>
              <w:left w:val="single" w:color="auto" w:sz="2" w:space="0"/>
              <w:bottom w:val="single" w:color="auto" w:sz="2" w:space="0"/>
              <w:right w:val="single" w:color="auto" w:sz="2" w:space="0"/>
            </w:tcBorders>
          </w:tcPr>
          <w:p>
            <w:pPr>
              <w:wordWrap w:val="0"/>
              <w:adjustRightInd w:val="0"/>
              <w:snapToGrid w:val="0"/>
              <w:spacing w:line="4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设计</w:t>
            </w:r>
            <w:r>
              <w:rPr>
                <w:color w:val="000000" w:themeColor="text1"/>
                <w:szCs w:val="21"/>
                <w14:textFill>
                  <w14:solidFill>
                    <w14:schemeClr w14:val="tx1"/>
                  </w14:solidFill>
                </w14:textFill>
              </w:rPr>
              <w:t>要求</w:t>
            </w:r>
            <w:r>
              <w:rPr>
                <w:rFonts w:hint="eastAsia"/>
                <w:color w:val="000000" w:themeColor="text1"/>
                <w:szCs w:val="21"/>
                <w14:textFill>
                  <w14:solidFill>
                    <w14:schemeClr w14:val="tx1"/>
                  </w14:solidFill>
                </w14:textFill>
              </w:rPr>
              <w:t>的质量标准：符合国家规范要求</w:t>
            </w:r>
          </w:p>
          <w:p>
            <w:pPr>
              <w:wordWrap w:val="0"/>
              <w:adjustRightInd w:val="0"/>
              <w:snapToGrid w:val="0"/>
              <w:spacing w:line="4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施工要求的质量标准：合格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74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1.4.1</w:t>
            </w:r>
          </w:p>
        </w:tc>
        <w:tc>
          <w:tcPr>
            <w:tcW w:w="291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投标人资格要求</w:t>
            </w:r>
          </w:p>
        </w:tc>
        <w:tc>
          <w:tcPr>
            <w:tcW w:w="5351" w:type="dxa"/>
            <w:tcBorders>
              <w:top w:val="single" w:color="auto" w:sz="2" w:space="0"/>
              <w:left w:val="single" w:color="auto" w:sz="2" w:space="0"/>
              <w:bottom w:val="single" w:color="auto" w:sz="2" w:space="0"/>
              <w:right w:val="single" w:color="auto" w:sz="2" w:space="0"/>
            </w:tcBorders>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1、企业应当具备下列</w:t>
            </w:r>
            <w:r>
              <w:rPr>
                <w:rFonts w:ascii="宋体" w:hAnsi="宋体" w:cs="宋体"/>
                <w:color w:val="000000" w:themeColor="text1"/>
                <w:szCs w:val="21"/>
                <w14:textFill>
                  <w14:solidFill>
                    <w14:schemeClr w14:val="tx1"/>
                  </w14:solidFill>
                </w14:textFill>
              </w:rPr>
              <w:t>资质条件</w:t>
            </w:r>
            <w:r>
              <w:rPr>
                <w:rFonts w:hint="eastAsia" w:ascii="宋体" w:hAnsi="宋体" w:cs="宋体"/>
                <w:color w:val="000000" w:themeColor="text1"/>
                <w:szCs w:val="21"/>
                <w14:textFill>
                  <w14:solidFill>
                    <w14:schemeClr w14:val="tx1"/>
                  </w14:solidFill>
                </w14:textFill>
              </w:rPr>
              <w:t>之一</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 xml:space="preserve">详见招标公告    </w:t>
            </w:r>
          </w:p>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财务要求：</w:t>
            </w:r>
            <w:r>
              <w:rPr>
                <w:rFonts w:hint="eastAsia" w:ascii="宋体" w:hAnsi="宋体" w:cs="宋体"/>
                <w:color w:val="000000" w:themeColor="text1"/>
                <w:szCs w:val="21"/>
                <w:u w:val="single"/>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 xml:space="preserve"> </w:t>
            </w:r>
          </w:p>
          <w:p>
            <w:pPr>
              <w:wordWrap w:val="0"/>
              <w:adjustRightInd w:val="0"/>
              <w:snapToGrid w:val="0"/>
              <w:spacing w:line="400" w:lineRule="exact"/>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企业应当具有以下类似工程业绩：详见招标公告</w:t>
            </w:r>
          </w:p>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r>
              <w:rPr>
                <w:rFonts w:ascii="宋体" w:hAnsi="宋体" w:cs="宋体"/>
                <w:color w:val="000000" w:themeColor="text1"/>
                <w:szCs w:val="21"/>
                <w14:textFill>
                  <w14:solidFill>
                    <w14:schemeClr w14:val="tx1"/>
                  </w14:solidFill>
                </w14:textFill>
              </w:rPr>
              <w:t>项目经理</w:t>
            </w:r>
            <w:r>
              <w:rPr>
                <w:rFonts w:hint="eastAsia" w:ascii="宋体" w:hAnsi="宋体" w:cs="宋体"/>
                <w:color w:val="000000" w:themeColor="text1"/>
                <w:szCs w:val="21"/>
                <w14:textFill>
                  <w14:solidFill>
                    <w14:schemeClr w14:val="tx1"/>
                  </w14:solidFill>
                </w14:textFill>
              </w:rPr>
              <w:t>应当具备下列资格</w:t>
            </w:r>
            <w:r>
              <w:rPr>
                <w:rFonts w:ascii="宋体" w:hAnsi="宋体" w:cs="宋体"/>
                <w:color w:val="000000" w:themeColor="text1"/>
                <w:szCs w:val="21"/>
                <w14:textFill>
                  <w14:solidFill>
                    <w14:schemeClr w14:val="tx1"/>
                  </w14:solidFill>
                </w14:textFill>
              </w:rPr>
              <w:t>条件</w:t>
            </w:r>
            <w:r>
              <w:rPr>
                <w:rFonts w:hint="eastAsia" w:ascii="宋体" w:hAnsi="宋体" w:cs="宋体"/>
                <w:color w:val="000000" w:themeColor="text1"/>
                <w:szCs w:val="21"/>
                <w14:textFill>
                  <w14:solidFill>
                    <w14:schemeClr w14:val="tx1"/>
                  </w14:solidFill>
                </w14:textFill>
              </w:rPr>
              <w:t>：详见招标公告</w:t>
            </w:r>
          </w:p>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4、项目经理应当承担过以下类似工程业绩之一：详见招标公告</w:t>
            </w:r>
          </w:p>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5、项目管理机构：由招标人根据《建设项目工程总承包管理规范》GB/T50358-2017予以明确。</w:t>
            </w:r>
          </w:p>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4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1.4.2</w:t>
            </w:r>
          </w:p>
        </w:tc>
        <w:tc>
          <w:tcPr>
            <w:tcW w:w="291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是否接受联合体投标</w:t>
            </w:r>
          </w:p>
        </w:tc>
        <w:tc>
          <w:tcPr>
            <w:tcW w:w="535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color w:val="000000" w:themeColor="text1"/>
                <w:sz w:val="32"/>
                <w:szCs w:val="32"/>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不接受</w:t>
            </w:r>
          </w:p>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☑接受，</w:t>
            </w:r>
            <w:r>
              <w:rPr>
                <w:rFonts w:hint="eastAsia"/>
                <w:color w:val="000000" w:themeColor="text1"/>
                <w:szCs w:val="21"/>
                <w14:textFill>
                  <w14:solidFill>
                    <w14:schemeClr w14:val="tx1"/>
                  </w14:solidFill>
                </w14:textFill>
              </w:rPr>
              <w:t>应满足下列要求：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4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w:t>
            </w:r>
          </w:p>
        </w:tc>
        <w:tc>
          <w:tcPr>
            <w:tcW w:w="291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费用承担和设计成果补偿</w:t>
            </w:r>
          </w:p>
        </w:tc>
        <w:tc>
          <w:tcPr>
            <w:tcW w:w="5351" w:type="dxa"/>
            <w:tcBorders>
              <w:top w:val="single" w:color="auto" w:sz="2" w:space="0"/>
              <w:left w:val="single" w:color="auto" w:sz="2" w:space="0"/>
              <w:bottom w:val="single" w:color="auto" w:sz="2" w:space="0"/>
              <w:right w:val="single" w:color="auto" w:sz="2" w:space="0"/>
            </w:tcBorders>
            <w:vAlign w:val="center"/>
          </w:tcPr>
          <w:p>
            <w:pPr>
              <w:wordWrap w:val="0"/>
              <w:spacing w:line="440" w:lineRule="exact"/>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不补偿</w:t>
            </w:r>
          </w:p>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color w:val="000000" w:themeColor="text1"/>
                <w:sz w:val="32"/>
                <w:szCs w:val="32"/>
                <w14:textFill>
                  <w14:solidFill>
                    <w14:schemeClr w14:val="tx1"/>
                  </w14:solidFill>
                </w14:textFill>
              </w:rPr>
              <w:t>□</w:t>
            </w:r>
            <w:r>
              <w:rPr>
                <w:rFonts w:hint="eastAsia"/>
                <w:color w:val="000000" w:themeColor="text1"/>
                <w:szCs w:val="21"/>
                <w14:textFill>
                  <w14:solidFill>
                    <w14:schemeClr w14:val="tx1"/>
                  </w14:solidFill>
                </w14:textFill>
              </w:rPr>
              <w:t>补偿，补偿标准：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4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1.9.1</w:t>
            </w:r>
          </w:p>
        </w:tc>
        <w:tc>
          <w:tcPr>
            <w:tcW w:w="291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踏勘现场</w:t>
            </w:r>
          </w:p>
        </w:tc>
        <w:tc>
          <w:tcPr>
            <w:tcW w:w="535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投标人自行踏勘。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74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1.10</w:t>
            </w:r>
          </w:p>
        </w:tc>
        <w:tc>
          <w:tcPr>
            <w:tcW w:w="291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再发包与分包</w:t>
            </w:r>
          </w:p>
        </w:tc>
        <w:tc>
          <w:tcPr>
            <w:tcW w:w="535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再发包与分包要求：</w:t>
            </w:r>
            <w:r>
              <w:rPr>
                <w:rFonts w:ascii="宋体" w:hAnsi="宋体" w:cs="宋体"/>
                <w:color w:val="000000" w:themeColor="text1"/>
                <w:szCs w:val="21"/>
                <w14:textFill>
                  <w14:solidFill>
                    <w14:schemeClr w14:val="tx1"/>
                  </w14:solidFill>
                </w14:textFill>
              </w:rPr>
              <w:t xml:space="preserve"> </w:t>
            </w:r>
          </w:p>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MS Gothic" w:hAnsi="MS Gothic" w:eastAsia="MS Gothic" w:cs="MS Gothic"/>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不允许</w:t>
            </w:r>
          </w:p>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4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1.11</w:t>
            </w:r>
          </w:p>
        </w:tc>
        <w:tc>
          <w:tcPr>
            <w:tcW w:w="291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偏  离</w:t>
            </w:r>
          </w:p>
        </w:tc>
        <w:tc>
          <w:tcPr>
            <w:tcW w:w="535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MS Gothic" w:hAnsi="MS Gothic" w:eastAsia="MS Gothic" w:cs="MS Gothic"/>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不允许</w:t>
            </w:r>
          </w:p>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允许，允许偏离的内容、偏离范围和幅度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4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2.1.1（9）</w:t>
            </w:r>
          </w:p>
        </w:tc>
        <w:tc>
          <w:tcPr>
            <w:tcW w:w="291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构成招标文件的其他材料</w:t>
            </w:r>
          </w:p>
        </w:tc>
        <w:tc>
          <w:tcPr>
            <w:tcW w:w="5351" w:type="dxa"/>
            <w:tcBorders>
              <w:top w:val="single" w:color="auto" w:sz="2" w:space="0"/>
              <w:left w:val="single" w:color="auto" w:sz="2" w:space="0"/>
              <w:bottom w:val="single" w:color="auto" w:sz="2" w:space="0"/>
              <w:right w:val="single" w:color="auto" w:sz="2" w:space="0"/>
            </w:tcBorders>
            <w:vAlign w:val="center"/>
          </w:tcPr>
          <w:p>
            <w:pPr>
              <w:tabs>
                <w:tab w:val="left" w:pos="826"/>
              </w:tabs>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招标人发出的答疑及补遗书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4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2.2.1</w:t>
            </w:r>
          </w:p>
        </w:tc>
        <w:tc>
          <w:tcPr>
            <w:tcW w:w="291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投标人要求澄清招标文件的截止时间</w:t>
            </w:r>
          </w:p>
        </w:tc>
        <w:tc>
          <w:tcPr>
            <w:tcW w:w="535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2020年</w:t>
            </w:r>
            <w:r>
              <w:rPr>
                <w:rFonts w:hint="eastAsia" w:ascii="宋体" w:hAnsi="宋体" w:cs="宋体"/>
                <w:color w:val="000000" w:themeColor="text1"/>
                <w:szCs w:val="21"/>
                <w:lang w:val="en-US" w:eastAsia="zh-CN"/>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lang w:val="en-US" w:eastAsia="zh-CN"/>
                <w14:textFill>
                  <w14:solidFill>
                    <w14:schemeClr w14:val="tx1"/>
                  </w14:solidFill>
                </w14:textFill>
              </w:rPr>
              <w:t>11</w:t>
            </w:r>
            <w:r>
              <w:rPr>
                <w:rFonts w:hint="eastAsia" w:ascii="宋体" w:hAnsi="宋体" w:cs="宋体"/>
                <w:color w:val="000000" w:themeColor="text1"/>
                <w:szCs w:val="21"/>
                <w14:textFill>
                  <w14:solidFill>
                    <w14:schemeClr w14:val="tx1"/>
                  </w14:solidFill>
                </w14:textFill>
              </w:rPr>
              <w:t>日12时00分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4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2.2.2</w:t>
            </w:r>
          </w:p>
        </w:tc>
        <w:tc>
          <w:tcPr>
            <w:tcW w:w="291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招标文件澄清发布时间</w:t>
            </w:r>
          </w:p>
        </w:tc>
        <w:tc>
          <w:tcPr>
            <w:tcW w:w="535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2020年</w:t>
            </w:r>
            <w:r>
              <w:rPr>
                <w:rFonts w:hint="eastAsia" w:ascii="宋体" w:hAnsi="宋体" w:cs="宋体"/>
                <w:color w:val="000000" w:themeColor="text1"/>
                <w:szCs w:val="21"/>
                <w:lang w:val="en-US" w:eastAsia="zh-CN"/>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lang w:val="en-US" w:eastAsia="zh-CN"/>
                <w14:textFill>
                  <w14:solidFill>
                    <w14:schemeClr w14:val="tx1"/>
                  </w14:solidFill>
                </w14:textFill>
              </w:rPr>
              <w:t>11</w:t>
            </w:r>
            <w:r>
              <w:rPr>
                <w:rFonts w:hint="eastAsia" w:ascii="宋体" w:hAnsi="宋体" w:cs="宋体"/>
                <w:color w:val="000000" w:themeColor="text1"/>
                <w:szCs w:val="21"/>
                <w14:textFill>
                  <w14:solidFill>
                    <w14:schemeClr w14:val="tx1"/>
                  </w14:solidFill>
                </w14:textFill>
              </w:rPr>
              <w:t>日12时00分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4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w:t>
            </w:r>
          </w:p>
        </w:tc>
        <w:tc>
          <w:tcPr>
            <w:tcW w:w="291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最高投标限价</w:t>
            </w:r>
          </w:p>
        </w:tc>
        <w:tc>
          <w:tcPr>
            <w:tcW w:w="535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最高投标限价</w:t>
            </w:r>
            <w:r>
              <w:rPr>
                <w:rFonts w:hint="eastAsia" w:ascii="宋体" w:hAnsi="宋体" w:cs="宋体"/>
                <w:color w:val="000000" w:themeColor="text1"/>
                <w:szCs w:val="21"/>
                <w:lang w:eastAsia="zh-CN"/>
                <w14:textFill>
                  <w14:solidFill>
                    <w14:schemeClr w14:val="tx1"/>
                  </w14:solidFill>
                </w14:textFill>
              </w:rPr>
              <w:t>为</w:t>
            </w:r>
            <w:r>
              <w:rPr>
                <w:rFonts w:hint="eastAsia" w:ascii="宋体" w:hAnsi="宋体" w:cs="宋体"/>
                <w:color w:val="000000" w:themeColor="text1"/>
                <w:szCs w:val="21"/>
                <w14:textFill>
                  <w14:solidFill>
                    <w14:schemeClr w14:val="tx1"/>
                  </w14:solidFill>
                </w14:textFill>
              </w:rPr>
              <w:t>266.9136万元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4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3.1.1</w:t>
            </w:r>
          </w:p>
        </w:tc>
        <w:tc>
          <w:tcPr>
            <w:tcW w:w="291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构成投标文件的材料</w:t>
            </w:r>
          </w:p>
        </w:tc>
        <w:tc>
          <w:tcPr>
            <w:tcW w:w="5351" w:type="dxa"/>
            <w:tcBorders>
              <w:top w:val="single" w:color="auto" w:sz="2" w:space="0"/>
              <w:left w:val="single" w:color="auto" w:sz="2" w:space="0"/>
              <w:bottom w:val="single" w:color="auto" w:sz="2" w:space="0"/>
              <w:right w:val="single" w:color="auto" w:sz="2" w:space="0"/>
            </w:tcBorders>
            <w:vAlign w:val="center"/>
          </w:tcPr>
          <w:p>
            <w:pPr>
              <w:wordWrap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详见投标须知3.1.1条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4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3.3.1</w:t>
            </w:r>
          </w:p>
        </w:tc>
        <w:tc>
          <w:tcPr>
            <w:tcW w:w="291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投标有效期</w:t>
            </w:r>
          </w:p>
        </w:tc>
        <w:tc>
          <w:tcPr>
            <w:tcW w:w="535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投标截止日后60日历天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4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3.2.3</w:t>
            </w:r>
          </w:p>
        </w:tc>
        <w:tc>
          <w:tcPr>
            <w:tcW w:w="291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b w:val="0"/>
                <w:bCs w:val="0"/>
                <w:color w:val="000000" w:themeColor="text1"/>
                <w:szCs w:val="21"/>
                <w14:textFill>
                  <w14:solidFill>
                    <w14:schemeClr w14:val="tx1"/>
                  </w14:solidFill>
                </w14:textFill>
              </w:rPr>
            </w:pPr>
            <w:r>
              <w:rPr>
                <w:rFonts w:hint="eastAsia" w:ascii="宋体" w:hAnsi="宋体" w:cs="宋体"/>
                <w:b w:val="0"/>
                <w:bCs w:val="0"/>
                <w:color w:val="000000" w:themeColor="text1"/>
                <w:szCs w:val="21"/>
                <w14:textFill>
                  <w14:solidFill>
                    <w14:schemeClr w14:val="tx1"/>
                  </w14:solidFill>
                </w14:textFill>
              </w:rPr>
              <w:t>合同价格形式</w:t>
            </w:r>
          </w:p>
        </w:tc>
        <w:tc>
          <w:tcPr>
            <w:tcW w:w="535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b w:val="0"/>
                <w:bCs w:val="0"/>
                <w:color w:val="000000" w:themeColor="text1"/>
                <w:szCs w:val="21"/>
                <w14:textFill>
                  <w14:solidFill>
                    <w14:schemeClr w14:val="tx1"/>
                  </w14:solidFill>
                </w14:textFill>
              </w:rPr>
            </w:pPr>
            <w:r>
              <w:rPr>
                <w:rFonts w:hint="eastAsia" w:ascii="宋体" w:hAnsi="宋体" w:cs="宋体"/>
                <w:b w:val="0"/>
                <w:bCs w:val="0"/>
                <w:color w:val="000000" w:themeColor="text1"/>
                <w:szCs w:val="21"/>
                <w14:textFill>
                  <w14:solidFill>
                    <w14:schemeClr w14:val="tx1"/>
                  </w14:solidFill>
                </w14:textFill>
              </w:rPr>
              <w:t>■总价合同</w:t>
            </w:r>
          </w:p>
          <w:p>
            <w:pPr>
              <w:wordWrap w:val="0"/>
              <w:adjustRightInd w:val="0"/>
              <w:snapToGrid w:val="0"/>
              <w:spacing w:line="400" w:lineRule="exact"/>
              <w:rPr>
                <w:rFonts w:ascii="宋体" w:hAnsi="宋体" w:cs="宋体"/>
                <w:b w:val="0"/>
                <w:bCs w:val="0"/>
                <w:color w:val="000000" w:themeColor="text1"/>
                <w:szCs w:val="21"/>
                <w14:textFill>
                  <w14:solidFill>
                    <w14:schemeClr w14:val="tx1"/>
                  </w14:solidFill>
                </w14:textFill>
              </w:rPr>
            </w:pPr>
            <w:r>
              <w:rPr>
                <w:rFonts w:hint="eastAsia"/>
                <w:b w:val="0"/>
                <w:bCs w:val="0"/>
                <w:color w:val="000000" w:themeColor="text1"/>
                <w:szCs w:val="21"/>
                <w14:textFill>
                  <w14:solidFill>
                    <w14:schemeClr w14:val="tx1"/>
                  </w14:solidFill>
                </w14:textFill>
              </w:rPr>
              <w:t>□</w:t>
            </w:r>
            <w:r>
              <w:rPr>
                <w:rFonts w:hint="eastAsia" w:ascii="宋体" w:hAnsi="宋体" w:cs="宋体"/>
                <w:b w:val="0"/>
                <w:bCs w:val="0"/>
                <w:color w:val="000000" w:themeColor="text1"/>
                <w:szCs w:val="21"/>
                <w14:textFill>
                  <w14:solidFill>
                    <w14:schemeClr w14:val="tx1"/>
                  </w14:solidFill>
                </w14:textFill>
              </w:rPr>
              <w:t>成本加酬金合同</w:t>
            </w:r>
          </w:p>
          <w:p>
            <w:pPr>
              <w:wordWrap w:val="0"/>
              <w:adjustRightInd w:val="0"/>
              <w:snapToGrid w:val="0"/>
              <w:spacing w:line="400" w:lineRule="exact"/>
              <w:rPr>
                <w:rFonts w:ascii="宋体" w:hAnsi="宋体" w:cs="宋体"/>
                <w:b w:val="0"/>
                <w:bCs w:val="0"/>
                <w:color w:val="000000" w:themeColor="text1"/>
                <w:szCs w:val="21"/>
                <w14:textFill>
                  <w14:solidFill>
                    <w14:schemeClr w14:val="tx1"/>
                  </w14:solidFill>
                </w14:textFill>
              </w:rPr>
            </w:pPr>
            <w:r>
              <w:rPr>
                <w:rFonts w:hint="eastAsia"/>
                <w:b w:val="0"/>
                <w:bCs w:val="0"/>
                <w:color w:val="000000" w:themeColor="text1"/>
                <w:szCs w:val="21"/>
                <w14:textFill>
                  <w14:solidFill>
                    <w14:schemeClr w14:val="tx1"/>
                  </w14:solidFill>
                </w14:textFill>
              </w:rPr>
              <w:t>□</w:t>
            </w:r>
            <w:r>
              <w:rPr>
                <w:rFonts w:hint="eastAsia" w:ascii="宋体" w:hAnsi="宋体" w:cs="宋体"/>
                <w:b w:val="0"/>
                <w:bCs w:val="0"/>
                <w:color w:val="000000" w:themeColor="text1"/>
                <w:szCs w:val="21"/>
                <w14:textFill>
                  <w14:solidFill>
                    <w14:schemeClr w14:val="tx1"/>
                  </w14:solidFill>
                </w14:textFill>
              </w:rPr>
              <w:t>费率合同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13" w:hRule="atLeast"/>
          <w:jc w:val="center"/>
        </w:trPr>
        <w:tc>
          <w:tcPr>
            <w:tcW w:w="74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3.4.1</w:t>
            </w:r>
          </w:p>
        </w:tc>
        <w:tc>
          <w:tcPr>
            <w:tcW w:w="291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投标保证金递交</w:t>
            </w:r>
          </w:p>
        </w:tc>
        <w:tc>
          <w:tcPr>
            <w:tcW w:w="535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投标保证金的形式：电汇</w:t>
            </w:r>
          </w:p>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投标保证金的金额：人民币</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u w:val="single"/>
                <w14:textFill>
                  <w14:solidFill>
                    <w14:schemeClr w14:val="tx1"/>
                  </w14:solidFill>
                </w14:textFill>
              </w:rPr>
              <w:t>叁万元整</w:t>
            </w:r>
          </w:p>
          <w:p>
            <w:pPr>
              <w:wordWrap w:val="0"/>
              <w:adjustRightInd w:val="0"/>
              <w:snapToGrid w:val="0"/>
              <w:spacing w:line="400" w:lineRule="exact"/>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递交方式：投标保证金必须从投标人的基本账户汇到指定的投标保证金专用帐户。</w:t>
            </w:r>
          </w:p>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账户名称：盐城市大丰区公共资源交易中心</w:t>
            </w:r>
          </w:p>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开户银行：江苏大丰农村商业银行创业支行</w:t>
            </w:r>
          </w:p>
          <w:p>
            <w:pPr>
              <w:wordWrap w:val="0"/>
              <w:adjustRightInd w:val="0"/>
              <w:snapToGrid w:val="0"/>
              <w:spacing w:line="40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银行账号：3209820531010000097464 </w:t>
            </w:r>
          </w:p>
          <w:p>
            <w:pPr>
              <w:wordWrap w:val="0"/>
              <w:adjustRightInd w:val="0"/>
              <w:snapToGrid w:val="0"/>
              <w:spacing w:line="400" w:lineRule="exact"/>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74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3.4.3</w:t>
            </w:r>
          </w:p>
        </w:tc>
        <w:tc>
          <w:tcPr>
            <w:tcW w:w="291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投标保证金退还</w:t>
            </w:r>
          </w:p>
        </w:tc>
        <w:tc>
          <w:tcPr>
            <w:tcW w:w="535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中标候选人公示期满后3个工作日内，退还非中标候选人的投标保证金；在中标公告发出后3个工作日内，退还未中标的中标候选人的投标保证金；合同签订并经招投标主管部门备案后3个工作日内，退还中标人的投标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3.5</w:t>
            </w:r>
          </w:p>
        </w:tc>
        <w:tc>
          <w:tcPr>
            <w:tcW w:w="291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是否允许递交备选投标方案</w:t>
            </w:r>
          </w:p>
        </w:tc>
        <w:tc>
          <w:tcPr>
            <w:tcW w:w="535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□允许  ■不允许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4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4.2.1</w:t>
            </w:r>
          </w:p>
        </w:tc>
        <w:tc>
          <w:tcPr>
            <w:tcW w:w="291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投标截止时间</w:t>
            </w:r>
          </w:p>
        </w:tc>
        <w:tc>
          <w:tcPr>
            <w:tcW w:w="535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详见招标公告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74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4.2.3</w:t>
            </w:r>
          </w:p>
        </w:tc>
        <w:tc>
          <w:tcPr>
            <w:tcW w:w="291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递交投标文件地点</w:t>
            </w:r>
          </w:p>
        </w:tc>
        <w:tc>
          <w:tcPr>
            <w:tcW w:w="535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详见招标公告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 w:hRule="atLeast"/>
          <w:jc w:val="center"/>
        </w:trPr>
        <w:tc>
          <w:tcPr>
            <w:tcW w:w="74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5.1.1</w:t>
            </w:r>
          </w:p>
        </w:tc>
        <w:tc>
          <w:tcPr>
            <w:tcW w:w="291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开标时间和地点</w:t>
            </w:r>
          </w:p>
        </w:tc>
        <w:tc>
          <w:tcPr>
            <w:tcW w:w="535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开标时间：详见招标公告</w:t>
            </w:r>
          </w:p>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开标地点：盐城市大丰区公共资源交易中心开标</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eastAsia="zh-CN"/>
                <w14:textFill>
                  <w14:solidFill>
                    <w14:schemeClr w14:val="tx1"/>
                  </w14:solidFill>
                </w14:textFill>
              </w:rPr>
              <w:t>四</w:t>
            </w:r>
            <w:r>
              <w:rPr>
                <w:rFonts w:hint="eastAsia" w:ascii="宋体" w:hAnsi="宋体" w:cs="宋体"/>
                <w:color w:val="000000" w:themeColor="text1"/>
                <w:szCs w:val="21"/>
                <w:u w:val="single"/>
                <w:lang w:val="en-US" w:eastAsia="zh-CN"/>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室（盐城市大丰区丰华路与飞达路交叉口西150米，大丰城东新区丰华国际大厦4楼）。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74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5.2.1</w:t>
            </w:r>
          </w:p>
        </w:tc>
        <w:tc>
          <w:tcPr>
            <w:tcW w:w="291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开标程序</w:t>
            </w:r>
          </w:p>
        </w:tc>
        <w:tc>
          <w:tcPr>
            <w:tcW w:w="535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1、主持人按下列程序进行开标：</w:t>
            </w:r>
          </w:p>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（1）宣布开标纪律；</w:t>
            </w:r>
          </w:p>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（2）公布在投标截止时间前递交投标文件的投标人名称；</w:t>
            </w:r>
          </w:p>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（3）宣布相关参会人员姓名；</w:t>
            </w:r>
          </w:p>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（4）检查投标文件的密封情况；</w:t>
            </w:r>
          </w:p>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（5）当众开标、唱标，并记录在案；</w:t>
            </w:r>
          </w:p>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（6）相关参会人员在开标记录上签字确认；</w:t>
            </w:r>
          </w:p>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（7）开标结束。</w:t>
            </w:r>
          </w:p>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2、投标人对开标有异议的，应当在开标现场提出，招标人应当当场作出答复，并作好记录；如无法现场答复的，可转交评标委员会予以解决。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4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6.1.1</w:t>
            </w:r>
          </w:p>
        </w:tc>
        <w:tc>
          <w:tcPr>
            <w:tcW w:w="291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评标委员会的组建</w:t>
            </w:r>
          </w:p>
        </w:tc>
        <w:tc>
          <w:tcPr>
            <w:tcW w:w="535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评标委员会构成：</w:t>
            </w:r>
            <w:r>
              <w:rPr>
                <w:rFonts w:hint="eastAsia" w:ascii="宋体" w:hAnsi="宋体" w:cs="宋体"/>
                <w:color w:val="000000" w:themeColor="text1"/>
                <w:szCs w:val="21"/>
                <w:u w:val="single"/>
                <w14:textFill>
                  <w14:solidFill>
                    <w14:schemeClr w14:val="tx1"/>
                  </w14:solidFill>
                </w14:textFill>
              </w:rPr>
              <w:t>依法组建</w:t>
            </w:r>
            <w:r>
              <w:rPr>
                <w:rFonts w:hint="eastAsia" w:ascii="宋体" w:hAnsi="宋体" w:cs="宋体"/>
                <w:color w:val="000000" w:themeColor="text1"/>
                <w:szCs w:val="21"/>
                <w14:textFill>
                  <w14:solidFill>
                    <w14:schemeClr w14:val="tx1"/>
                  </w14:solidFill>
                </w14:textFill>
              </w:rPr>
              <w:t>。</w:t>
            </w:r>
          </w:p>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评标专家确定方式：</w:t>
            </w:r>
            <w:r>
              <w:rPr>
                <w:rFonts w:hint="eastAsia" w:ascii="宋体" w:hAnsi="宋体" w:cs="宋体"/>
                <w:color w:val="000000" w:themeColor="text1"/>
                <w:szCs w:val="21"/>
                <w:u w:val="single"/>
                <w14:textFill>
                  <w14:solidFill>
                    <w14:schemeClr w14:val="tx1"/>
                  </w14:solidFill>
                </w14:textFill>
              </w:rPr>
              <w:t xml:space="preserve">随机抽取 </w:t>
            </w:r>
            <w:r>
              <w:rPr>
                <w:rFonts w:hint="eastAsia" w:ascii="宋体" w:hAnsi="宋体" w:cs="宋体"/>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74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7.1</w:t>
            </w:r>
          </w:p>
        </w:tc>
        <w:tc>
          <w:tcPr>
            <w:tcW w:w="291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是否授权评标委员会确定中标人</w:t>
            </w:r>
          </w:p>
        </w:tc>
        <w:tc>
          <w:tcPr>
            <w:tcW w:w="535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□是</w:t>
            </w:r>
          </w:p>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■否，推荐的中标候选人数：1-3人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63" w:hRule="atLeast"/>
          <w:jc w:val="center"/>
        </w:trPr>
        <w:tc>
          <w:tcPr>
            <w:tcW w:w="74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7.3.1</w:t>
            </w:r>
          </w:p>
        </w:tc>
        <w:tc>
          <w:tcPr>
            <w:tcW w:w="291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履约保证金</w:t>
            </w:r>
          </w:p>
        </w:tc>
        <w:tc>
          <w:tcPr>
            <w:tcW w:w="535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履约保证金的形式：保函</w:t>
            </w:r>
          </w:p>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履约保证金的金额：中标价的5%，投标人在收到中标通知书后，须在</w:t>
            </w:r>
            <w:r>
              <w:rPr>
                <w:rFonts w:hint="eastAsia" w:ascii="宋体" w:hAnsi="宋体" w:cs="宋体"/>
                <w:color w:val="000000" w:themeColor="text1"/>
                <w:sz w:val="30"/>
                <w:szCs w:val="30"/>
                <w:u w:val="single"/>
                <w14:textFill>
                  <w14:solidFill>
                    <w14:schemeClr w14:val="tx1"/>
                  </w14:solidFill>
                </w14:textFill>
              </w:rPr>
              <w:t>7</w:t>
            </w:r>
            <w:r>
              <w:rPr>
                <w:rFonts w:hint="eastAsia" w:ascii="宋体" w:hAnsi="宋体" w:cs="宋体"/>
                <w:color w:val="000000" w:themeColor="text1"/>
                <w:szCs w:val="21"/>
                <w14:textFill>
                  <w14:solidFill>
                    <w14:schemeClr w14:val="tx1"/>
                  </w14:solidFill>
                </w14:textFill>
              </w:rPr>
              <w:t>日内向招标人足额提交履约保证金，否则招标人可以取消其中标资格</w:t>
            </w:r>
          </w:p>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sym w:font="Wingdings 2" w:char="0052"/>
            </w:r>
            <w:r>
              <w:rPr>
                <w:rFonts w:hint="eastAsia" w:ascii="宋体" w:hAnsi="宋体" w:cs="宋体"/>
                <w:color w:val="000000" w:themeColor="text1"/>
                <w:szCs w:val="21"/>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4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8.5.2</w:t>
            </w:r>
          </w:p>
        </w:tc>
        <w:tc>
          <w:tcPr>
            <w:tcW w:w="291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招投标监督管理部门</w:t>
            </w:r>
          </w:p>
        </w:tc>
        <w:tc>
          <w:tcPr>
            <w:tcW w:w="5351" w:type="dxa"/>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盐城市大丰区行政审批局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003" w:type="dxa"/>
            <w:gridSpan w:val="3"/>
            <w:tcBorders>
              <w:top w:val="single" w:color="auto" w:sz="2" w:space="0"/>
              <w:left w:val="single" w:color="auto" w:sz="2" w:space="0"/>
              <w:bottom w:val="single" w:color="auto" w:sz="2" w:space="0"/>
              <w:right w:val="single" w:color="auto" w:sz="2" w:space="0"/>
            </w:tcBorders>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 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003" w:type="dxa"/>
            <w:gridSpan w:val="3"/>
            <w:tcBorders>
              <w:top w:val="single" w:color="auto" w:sz="2" w:space="0"/>
              <w:left w:val="single" w:color="auto" w:sz="2" w:space="0"/>
              <w:bottom w:val="single" w:color="auto" w:sz="2" w:space="0"/>
              <w:right w:val="single" w:color="auto" w:sz="2" w:space="0"/>
            </w:tcBorders>
            <w:vAlign w:val="center"/>
          </w:tcPr>
          <w:p>
            <w:pPr>
              <w:wordWrap w:val="0"/>
              <w:adjustRightInd w:val="0"/>
              <w:snapToGrid w:val="0"/>
              <w:spacing w:line="400" w:lineRule="exact"/>
              <w:rPr>
                <w:rFonts w:ascii="宋体" w:hAnsi="宋体" w:cs="宋体"/>
                <w:color w:val="000000" w:themeColor="text1"/>
                <w:szCs w:val="21"/>
                <w14:textFill>
                  <w14:solidFill>
                    <w14:schemeClr w14:val="tx1"/>
                  </w14:solidFill>
                </w14:textFill>
              </w:rPr>
            </w:pPr>
          </w:p>
        </w:tc>
      </w:tr>
    </w:tbl>
    <w:p>
      <w:pPr>
        <w:wordWrap w:val="0"/>
        <w:ind w:left="714" w:leftChars="200" w:hanging="294" w:hangingChars="140"/>
        <w:rPr>
          <w:color w:val="000000" w:themeColor="text1"/>
          <w14:textFill>
            <w14:solidFill>
              <w14:schemeClr w14:val="tx1"/>
            </w14:solidFill>
          </w14:textFill>
        </w:rPr>
      </w:pPr>
    </w:p>
    <w:p>
      <w:pPr>
        <w:pStyle w:val="3"/>
        <w:keepNext w:val="0"/>
        <w:keepLines w:val="0"/>
        <w:wordWrap w:val="0"/>
        <w:rPr>
          <w:color w:val="000000" w:themeColor="text1"/>
          <w14:textFill>
            <w14:solidFill>
              <w14:schemeClr w14:val="tx1"/>
            </w14:solidFill>
          </w14:textFill>
        </w:rPr>
        <w:sectPr>
          <w:footerReference r:id="rId6" w:type="default"/>
          <w:pgSz w:w="11906" w:h="16838"/>
          <w:pgMar w:top="1440" w:right="1559" w:bottom="1440" w:left="1560" w:header="851" w:footer="851" w:gutter="0"/>
          <w:pgBorders>
            <w:top w:val="none" w:sz="0" w:space="0"/>
            <w:left w:val="none" w:sz="0" w:space="0"/>
            <w:bottom w:val="none" w:sz="0" w:space="0"/>
            <w:right w:val="none" w:sz="0" w:space="0"/>
          </w:pgBorders>
          <w:pgNumType w:fmt="decimal" w:start="1"/>
          <w:cols w:space="720" w:num="1"/>
          <w:docGrid w:linePitch="312" w:charSpace="0"/>
        </w:sectPr>
      </w:pPr>
    </w:p>
    <w:p>
      <w:pPr>
        <w:pStyle w:val="3"/>
        <w:wordWrap w:val="0"/>
        <w:jc w:val="center"/>
        <w:rPr>
          <w:color w:val="000000" w:themeColor="text1"/>
          <w14:textFill>
            <w14:solidFill>
              <w14:schemeClr w14:val="tx1"/>
            </w14:solidFill>
          </w14:textFill>
        </w:rPr>
      </w:pPr>
      <w:bookmarkStart w:id="26" w:name="_Toc389065144"/>
      <w:bookmarkStart w:id="27" w:name="_Toc765"/>
      <w:r>
        <w:rPr>
          <w:color w:val="000000" w:themeColor="text1"/>
          <w14:textFill>
            <w14:solidFill>
              <w14:schemeClr w14:val="tx1"/>
            </w14:solidFill>
          </w14:textFill>
        </w:rPr>
        <w:t>投标人须知</w:t>
      </w:r>
      <w:bookmarkEnd w:id="26"/>
      <w:bookmarkEnd w:id="27"/>
    </w:p>
    <w:p>
      <w:pPr>
        <w:pStyle w:val="4"/>
        <w:wordWrap w:val="0"/>
        <w:spacing w:line="360" w:lineRule="auto"/>
        <w:rPr>
          <w:rFonts w:ascii="宋体" w:hAnsi="宋体" w:eastAsia="宋体" w:cs="宋体"/>
          <w:color w:val="000000" w:themeColor="text1"/>
          <w14:textFill>
            <w14:solidFill>
              <w14:schemeClr w14:val="tx1"/>
            </w14:solidFill>
          </w14:textFill>
        </w:rPr>
      </w:pPr>
      <w:bookmarkStart w:id="28" w:name="_Toc27813"/>
      <w:bookmarkStart w:id="29" w:name="_Toc389065145"/>
      <w:r>
        <w:rPr>
          <w:rFonts w:hint="eastAsia" w:ascii="宋体" w:hAnsi="宋体" w:eastAsia="宋体" w:cs="宋体"/>
          <w:color w:val="000000" w:themeColor="text1"/>
          <w14:textFill>
            <w14:solidFill>
              <w14:schemeClr w14:val="tx1"/>
            </w14:solidFill>
          </w14:textFill>
        </w:rPr>
        <w:t>1 总则</w:t>
      </w:r>
      <w:bookmarkEnd w:id="28"/>
      <w:bookmarkEnd w:id="29"/>
    </w:p>
    <w:p>
      <w:pPr>
        <w:pStyle w:val="5"/>
        <w:wordWrap w:val="0"/>
        <w:rPr>
          <w:rFonts w:ascii="宋体" w:hAnsi="宋体" w:eastAsia="宋体" w:cs="宋体"/>
          <w:color w:val="000000" w:themeColor="text1"/>
          <w14:textFill>
            <w14:solidFill>
              <w14:schemeClr w14:val="tx1"/>
            </w14:solidFill>
          </w14:textFill>
        </w:rPr>
      </w:pPr>
      <w:bookmarkStart w:id="30" w:name="_Toc30613"/>
      <w:bookmarkStart w:id="31" w:name="_Toc389065146"/>
      <w:r>
        <w:rPr>
          <w:rFonts w:hint="eastAsia" w:ascii="宋体" w:hAnsi="宋体" w:eastAsia="宋体" w:cs="宋体"/>
          <w:color w:val="000000" w:themeColor="text1"/>
          <w14:textFill>
            <w14:solidFill>
              <w14:schemeClr w14:val="tx1"/>
            </w14:solidFill>
          </w14:textFill>
        </w:rPr>
        <w:t>1.1 项目概况</w:t>
      </w:r>
      <w:bookmarkEnd w:id="30"/>
      <w:bookmarkEnd w:id="31"/>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1.1.1 根据《中华人民共和国招标投标法》等有关法律、法规和规章的规定，本招标项目已具备招标条件，现对本标段工程总承包进行招标。</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1.1.2 本招标项目招标人：见“投标人须知前附表”。</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1.1.3 本标段招标代理机构：见“投标人须知前附表”。</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1.1.4 本招标项目及标段名称：见“投标人须知前附表”。</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1.1.5 本标段建设地点：见“投标人须知前附表”。</w:t>
      </w:r>
    </w:p>
    <w:p>
      <w:pPr>
        <w:pStyle w:val="5"/>
        <w:wordWrap w:val="0"/>
        <w:rPr>
          <w:rFonts w:ascii="宋体" w:hAnsi="宋体" w:eastAsia="宋体" w:cs="宋体"/>
          <w:color w:val="000000" w:themeColor="text1"/>
          <w14:textFill>
            <w14:solidFill>
              <w14:schemeClr w14:val="tx1"/>
            </w14:solidFill>
          </w14:textFill>
        </w:rPr>
      </w:pPr>
      <w:bookmarkStart w:id="32" w:name="_Toc389065147"/>
      <w:bookmarkStart w:id="33" w:name="_Toc11265"/>
      <w:r>
        <w:rPr>
          <w:rFonts w:hint="eastAsia" w:ascii="宋体" w:hAnsi="宋体" w:eastAsia="宋体" w:cs="宋体"/>
          <w:color w:val="000000" w:themeColor="text1"/>
          <w14:textFill>
            <w14:solidFill>
              <w14:schemeClr w14:val="tx1"/>
            </w14:solidFill>
          </w14:textFill>
        </w:rPr>
        <w:t>1.2 资金来源和落实情况</w:t>
      </w:r>
      <w:bookmarkEnd w:id="32"/>
      <w:bookmarkEnd w:id="33"/>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1.2.1 本招标项目的资金来源：见“投标人须知前附表”。</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1.2.2 本招标项目的出资比例：见“投标人须知前附表”。</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1.2.3 本招标项目的资金落实情况：见“投标人须知前附表”。</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1.2.4 本招标项目的工程款支付方式：见“投标人须知前附表”。</w:t>
      </w:r>
    </w:p>
    <w:p>
      <w:pPr>
        <w:pStyle w:val="5"/>
        <w:wordWrap w:val="0"/>
        <w:rPr>
          <w:rFonts w:ascii="宋体" w:hAnsi="宋体" w:eastAsia="宋体" w:cs="宋体"/>
          <w:color w:val="000000" w:themeColor="text1"/>
          <w14:textFill>
            <w14:solidFill>
              <w14:schemeClr w14:val="tx1"/>
            </w14:solidFill>
          </w14:textFill>
        </w:rPr>
      </w:pPr>
      <w:bookmarkStart w:id="34" w:name="_Toc18487"/>
      <w:bookmarkStart w:id="35" w:name="_Toc389065148"/>
      <w:r>
        <w:rPr>
          <w:rFonts w:hint="eastAsia" w:ascii="宋体" w:hAnsi="宋体" w:eastAsia="宋体" w:cs="宋体"/>
          <w:color w:val="000000" w:themeColor="text1"/>
          <w14:textFill>
            <w14:solidFill>
              <w14:schemeClr w14:val="tx1"/>
            </w14:solidFill>
          </w14:textFill>
        </w:rPr>
        <w:t>1.3 招标范围、计划工期和质量要求</w:t>
      </w:r>
      <w:bookmarkEnd w:id="34"/>
      <w:bookmarkEnd w:id="35"/>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1.3.1 本次招标范围：见“投标人须知前附表”。</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1.3.2 本标段的要求工期：见“投标人须知前附表”。</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1.3.3 本标段的质量要求：见“投标人须知前附表”。</w:t>
      </w:r>
    </w:p>
    <w:p>
      <w:pPr>
        <w:pStyle w:val="5"/>
        <w:wordWrap w:val="0"/>
        <w:rPr>
          <w:rFonts w:ascii="宋体" w:hAnsi="宋体" w:eastAsia="宋体" w:cs="宋体"/>
          <w:color w:val="000000" w:themeColor="text1"/>
          <w14:textFill>
            <w14:solidFill>
              <w14:schemeClr w14:val="tx1"/>
            </w14:solidFill>
          </w14:textFill>
        </w:rPr>
      </w:pPr>
      <w:bookmarkStart w:id="36" w:name="_Toc23445"/>
      <w:bookmarkStart w:id="37" w:name="_Toc389065149"/>
      <w:r>
        <w:rPr>
          <w:rFonts w:hint="eastAsia" w:ascii="宋体" w:hAnsi="宋体" w:eastAsia="宋体" w:cs="宋体"/>
          <w:color w:val="000000" w:themeColor="text1"/>
          <w14:textFill>
            <w14:solidFill>
              <w14:schemeClr w14:val="tx1"/>
            </w14:solidFill>
          </w14:textFill>
        </w:rPr>
        <w:t>1.4 投标人资格要求</w:t>
      </w:r>
      <w:bookmarkEnd w:id="36"/>
      <w:bookmarkEnd w:id="37"/>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1.4.1 投标人应具备承担本项目工程总承包的资格要求，见“投标人须知前附表”。</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1.4.2 “投标人须知前附表”规定接受联合体投标的，除应符合本章第1.4.1项和“投标人须知前附表”的要求外，还应遵守以下规定：</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（1）联合体各方应按招标文件提供的格式签订联合体协议书，明确联合体牵头人和各方权利义务；</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（2）联合体各成员单位应当具备与联合体协议中约定的分工相适应的资质和能力； </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（3）联合体各方不得再以自己名义单独或参加其他联合体在同一标段中投标；</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（4）联合体各方必须指定牵头人，授权其代表所有联合体成员负责投标和合同实施阶段的主办、协调工作，并应当向招标人提交由所有联合体成员法定代表人签署的授权书；</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（5）招标人要求投标人提交投标保证担保的，应当以联合体各方或者联合体中牵头人的名义提交投标保证担保。以联合体中牵头人名义提交的投标保证担保，对联合体各成员具有约束力。</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1.4.3 投标人不得存在下列情形之一：</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（1）为招标人不具有独立法人资格的附属机构（单位）；</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（2）工程总承包招标的投标人不得是工程总承包项目的代建单位、项目管理单位、监理单位、招标代理单位或者与前述单位有利害关系的单位。</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（3）与招标人存在利害关系可能影响招标公正性的；</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（4）单位负责人为同一人或者存在控股、管理关系的不同单位；</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（5）处于被责令停业、财产被接管、冻结和破产状态，以及投标资格被取消或者被暂停且在暂停期内；</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（6）因拖欠工人工资或者发生质量安全事故被有关部门限制在招标项目所在地承接工程的；</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（7）投标人近3年内有行贿犯罪行为且被记录，或者法定代表人有行贿犯罪记录且</w:t>
      </w:r>
      <w:r>
        <w:rPr>
          <w:rFonts w:ascii="宋体" w:hAnsi="宋体" w:cs="宋体"/>
          <w:color w:val="000000" w:themeColor="text1"/>
          <w:szCs w:val="21"/>
          <w14:textFill>
            <w14:solidFill>
              <w14:schemeClr w14:val="tx1"/>
            </w14:solidFill>
          </w14:textFill>
        </w:rPr>
        <w:t>自</w:t>
      </w:r>
      <w:r>
        <w:rPr>
          <w:rFonts w:hint="eastAsia" w:ascii="宋体" w:hAnsi="宋体" w:cs="宋体"/>
          <w:color w:val="000000" w:themeColor="text1"/>
          <w:szCs w:val="21"/>
          <w14:textFill>
            <w14:solidFill>
              <w14:schemeClr w14:val="tx1"/>
            </w14:solidFill>
          </w14:textFill>
        </w:rPr>
        <w:t>记录</w:t>
      </w:r>
      <w:r>
        <w:rPr>
          <w:rFonts w:ascii="宋体" w:hAnsi="宋体" w:cs="宋体"/>
          <w:color w:val="000000" w:themeColor="text1"/>
          <w:szCs w:val="21"/>
          <w14:textFill>
            <w14:solidFill>
              <w14:schemeClr w14:val="tx1"/>
            </w14:solidFill>
          </w14:textFill>
        </w:rPr>
        <w:t>之日起未超过</w:t>
      </w:r>
      <w:r>
        <w:rPr>
          <w:rFonts w:hint="eastAsia" w:ascii="宋体" w:hAnsi="宋体" w:cs="宋体"/>
          <w:color w:val="000000" w:themeColor="text1"/>
          <w:szCs w:val="21"/>
          <w14:textFill>
            <w14:solidFill>
              <w14:schemeClr w14:val="tx1"/>
            </w14:solidFill>
          </w14:textFill>
        </w:rPr>
        <w:t>5年的。</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1.4.4 单位负责人为同一人或者存在控股、管理关系的不同单位，不得参加同一标段投标或者未划分标段的同一招标项目投标，违反本规定的，相关投标均无效。</w:t>
      </w:r>
    </w:p>
    <w:p>
      <w:pPr>
        <w:pStyle w:val="5"/>
        <w:wordWrap w:val="0"/>
        <w:rPr>
          <w:rFonts w:ascii="宋体" w:hAnsi="宋体" w:eastAsia="宋体" w:cs="宋体"/>
          <w:color w:val="000000" w:themeColor="text1"/>
          <w14:textFill>
            <w14:solidFill>
              <w14:schemeClr w14:val="tx1"/>
            </w14:solidFill>
          </w14:textFill>
        </w:rPr>
      </w:pPr>
      <w:bookmarkStart w:id="38" w:name="_Toc389065150"/>
      <w:bookmarkStart w:id="39" w:name="_Toc27688"/>
      <w:r>
        <w:rPr>
          <w:rFonts w:hint="eastAsia" w:ascii="宋体" w:hAnsi="宋体" w:eastAsia="宋体" w:cs="宋体"/>
          <w:color w:val="000000" w:themeColor="text1"/>
          <w14:textFill>
            <w14:solidFill>
              <w14:schemeClr w14:val="tx1"/>
            </w14:solidFill>
          </w14:textFill>
        </w:rPr>
        <w:t>1.5</w:t>
      </w:r>
      <w:r>
        <w:rPr>
          <w:rFonts w:hint="eastAsia"/>
          <w:color w:val="000000" w:themeColor="text1"/>
          <w14:textFill>
            <w14:solidFill>
              <w14:schemeClr w14:val="tx1"/>
            </w14:solidFill>
          </w14:textFill>
        </w:rPr>
        <w:t>费用承担和设计成果补偿</w:t>
      </w:r>
      <w:bookmarkEnd w:id="38"/>
      <w:bookmarkEnd w:id="39"/>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1.5.1 投标人准备和参加投标活动发生的费用自理。</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1.5.2 招标人对符合招标文件规定的未中标人的设计成果进行补偿的，按投标人须知前附表规定给予补偿，并有权免费使用未中标人设计成果。</w:t>
      </w:r>
    </w:p>
    <w:p>
      <w:pPr>
        <w:pStyle w:val="5"/>
        <w:wordWrap w:val="0"/>
        <w:rPr>
          <w:rFonts w:ascii="宋体" w:hAnsi="宋体" w:eastAsia="宋体" w:cs="宋体"/>
          <w:color w:val="000000" w:themeColor="text1"/>
          <w14:textFill>
            <w14:solidFill>
              <w14:schemeClr w14:val="tx1"/>
            </w14:solidFill>
          </w14:textFill>
        </w:rPr>
      </w:pPr>
      <w:bookmarkStart w:id="40" w:name="_Toc389065151"/>
      <w:bookmarkStart w:id="41" w:name="_Toc4695"/>
      <w:r>
        <w:rPr>
          <w:rFonts w:hint="eastAsia" w:ascii="宋体" w:hAnsi="宋体" w:eastAsia="宋体" w:cs="宋体"/>
          <w:color w:val="000000" w:themeColor="text1"/>
          <w14:textFill>
            <w14:solidFill>
              <w14:schemeClr w14:val="tx1"/>
            </w14:solidFill>
          </w14:textFill>
        </w:rPr>
        <w:t>1.6 保密</w:t>
      </w:r>
      <w:bookmarkEnd w:id="40"/>
      <w:bookmarkEnd w:id="41"/>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参与招标投标活动的各方应对招标文件和投标文件中的商业和技术等秘密保密，违者应对由此造成的后果承担法律责任。</w:t>
      </w:r>
    </w:p>
    <w:p>
      <w:pPr>
        <w:pStyle w:val="5"/>
        <w:wordWrap w:val="0"/>
        <w:rPr>
          <w:rFonts w:ascii="宋体" w:hAnsi="宋体" w:eastAsia="宋体" w:cs="宋体"/>
          <w:color w:val="000000" w:themeColor="text1"/>
          <w14:textFill>
            <w14:solidFill>
              <w14:schemeClr w14:val="tx1"/>
            </w14:solidFill>
          </w14:textFill>
        </w:rPr>
      </w:pPr>
      <w:bookmarkStart w:id="42" w:name="_Toc12355"/>
      <w:bookmarkStart w:id="43" w:name="_Toc389065152"/>
      <w:r>
        <w:rPr>
          <w:rFonts w:hint="eastAsia" w:ascii="宋体" w:hAnsi="宋体" w:eastAsia="宋体" w:cs="宋体"/>
          <w:color w:val="000000" w:themeColor="text1"/>
          <w14:textFill>
            <w14:solidFill>
              <w14:schemeClr w14:val="tx1"/>
            </w14:solidFill>
          </w14:textFill>
        </w:rPr>
        <w:t>1.7 语言文字</w:t>
      </w:r>
      <w:bookmarkEnd w:id="42"/>
      <w:bookmarkEnd w:id="43"/>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除专用术语外，与招标投标有关的语言均使用中文，必要时专用术语应附有中文注释。</w:t>
      </w:r>
    </w:p>
    <w:p>
      <w:pPr>
        <w:pStyle w:val="5"/>
        <w:wordWrap w:val="0"/>
        <w:rPr>
          <w:rFonts w:ascii="宋体" w:hAnsi="宋体" w:eastAsia="宋体" w:cs="宋体"/>
          <w:color w:val="000000" w:themeColor="text1"/>
          <w14:textFill>
            <w14:solidFill>
              <w14:schemeClr w14:val="tx1"/>
            </w14:solidFill>
          </w14:textFill>
        </w:rPr>
      </w:pPr>
      <w:bookmarkStart w:id="44" w:name="_Toc389065153"/>
      <w:bookmarkStart w:id="45" w:name="_Toc7304"/>
      <w:r>
        <w:rPr>
          <w:rFonts w:hint="eastAsia" w:ascii="宋体" w:hAnsi="宋体" w:eastAsia="宋体" w:cs="宋体"/>
          <w:color w:val="000000" w:themeColor="text1"/>
          <w14:textFill>
            <w14:solidFill>
              <w14:schemeClr w14:val="tx1"/>
            </w14:solidFill>
          </w14:textFill>
        </w:rPr>
        <w:t>1.8 计量单位</w:t>
      </w:r>
      <w:bookmarkEnd w:id="44"/>
      <w:bookmarkEnd w:id="45"/>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所有计量均采用中华人民共和国法定计量单位。</w:t>
      </w:r>
    </w:p>
    <w:p>
      <w:pPr>
        <w:pStyle w:val="5"/>
        <w:wordWrap w:val="0"/>
        <w:rPr>
          <w:rFonts w:ascii="宋体" w:hAnsi="宋体" w:eastAsia="宋体" w:cs="宋体"/>
          <w:color w:val="000000" w:themeColor="text1"/>
          <w14:textFill>
            <w14:solidFill>
              <w14:schemeClr w14:val="tx1"/>
            </w14:solidFill>
          </w14:textFill>
        </w:rPr>
      </w:pPr>
      <w:bookmarkStart w:id="46" w:name="_Toc24395"/>
      <w:bookmarkStart w:id="47" w:name="_Toc389065154"/>
      <w:r>
        <w:rPr>
          <w:rFonts w:hint="eastAsia" w:ascii="宋体" w:hAnsi="宋体" w:eastAsia="宋体" w:cs="宋体"/>
          <w:color w:val="000000" w:themeColor="text1"/>
          <w14:textFill>
            <w14:solidFill>
              <w14:schemeClr w14:val="tx1"/>
            </w14:solidFill>
          </w14:textFill>
        </w:rPr>
        <w:t>1.9 踏勘现场</w:t>
      </w:r>
      <w:bookmarkEnd w:id="46"/>
      <w:bookmarkEnd w:id="47"/>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1.9.1 投标人根据需要自行踏勘项目现场。</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1.9.2 投标人踏勘现场发生的费用自理。</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1.9.3 投标人自行负责在踏勘现场中所发生的人员伤亡和财产损失。</w:t>
      </w:r>
    </w:p>
    <w:p>
      <w:pPr>
        <w:pStyle w:val="5"/>
        <w:wordWrap w:val="0"/>
        <w:rPr>
          <w:rFonts w:ascii="宋体" w:hAnsi="宋体" w:eastAsia="宋体" w:cs="宋体"/>
          <w:color w:val="000000" w:themeColor="text1"/>
          <w14:textFill>
            <w14:solidFill>
              <w14:schemeClr w14:val="tx1"/>
            </w14:solidFill>
          </w14:textFill>
        </w:rPr>
      </w:pPr>
      <w:bookmarkStart w:id="48" w:name="_Toc13122"/>
      <w:bookmarkStart w:id="49" w:name="_Toc389065156"/>
      <w:r>
        <w:rPr>
          <w:rFonts w:hint="eastAsia" w:ascii="宋体" w:hAnsi="宋体" w:eastAsia="宋体" w:cs="宋体"/>
          <w:color w:val="000000" w:themeColor="text1"/>
          <w14:textFill>
            <w14:solidFill>
              <w14:schemeClr w14:val="tx1"/>
            </w14:solidFill>
          </w14:textFill>
        </w:rPr>
        <w:t>1.10再发包和分包</w:t>
      </w:r>
      <w:bookmarkEnd w:id="48"/>
      <w:bookmarkEnd w:id="49"/>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再发包和分包活动应当符合《</w:t>
      </w:r>
      <w:r>
        <w:rPr>
          <w:color w:val="000000" w:themeColor="text1"/>
          <w:sz w:val="22"/>
          <w:szCs w:val="22"/>
          <w14:textFill>
            <w14:solidFill>
              <w14:schemeClr w14:val="tx1"/>
            </w14:solidFill>
          </w14:textFill>
        </w:rPr>
        <w:t>住房和城乡建设部关于进一步推进工程总承包发展的若干意见</w:t>
      </w:r>
      <w:r>
        <w:rPr>
          <w:rFonts w:hint="eastAsia" w:ascii="宋体" w:hAnsi="宋体" w:cs="宋体"/>
          <w:color w:val="000000" w:themeColor="text1"/>
          <w:szCs w:val="21"/>
          <w14:textFill>
            <w14:solidFill>
              <w14:schemeClr w14:val="tx1"/>
            </w14:solidFill>
          </w14:textFill>
        </w:rPr>
        <w:t>》（建市[2016]93号）、《</w:t>
      </w:r>
      <w:r>
        <w:rPr>
          <w:rFonts w:hint="eastAsia" w:ascii="宋体" w:hAnsi="宋体" w:cs="宋体"/>
          <w:bCs/>
          <w:color w:val="000000" w:themeColor="text1"/>
          <w:szCs w:val="21"/>
          <w14:textFill>
            <w14:solidFill>
              <w14:schemeClr w14:val="tx1"/>
            </w14:solidFill>
          </w14:textFill>
        </w:rPr>
        <w:t>江苏省房屋建筑和市政基础设施项目</w:t>
      </w:r>
      <w:r>
        <w:rPr>
          <w:rFonts w:hint="eastAsia" w:ascii="宋体" w:hAnsi="宋体" w:cs="宋体"/>
          <w:color w:val="000000" w:themeColor="text1"/>
          <w:szCs w:val="21"/>
          <w14:textFill>
            <w14:solidFill>
              <w14:schemeClr w14:val="tx1"/>
            </w14:solidFill>
          </w14:textFill>
        </w:rPr>
        <w:t>工程总承包招标投标暂行规定》（ 文号）等相关规定，投标人拟在中标后将中标项目依法进行再发包或分包的，应符合“投标人须知前附表”规定的要求。</w:t>
      </w:r>
    </w:p>
    <w:p>
      <w:pPr>
        <w:pStyle w:val="5"/>
        <w:wordWrap w:val="0"/>
        <w:rPr>
          <w:rFonts w:ascii="宋体" w:hAnsi="宋体" w:eastAsia="宋体" w:cs="宋体"/>
          <w:color w:val="000000" w:themeColor="text1"/>
          <w14:textFill>
            <w14:solidFill>
              <w14:schemeClr w14:val="tx1"/>
            </w14:solidFill>
          </w14:textFill>
        </w:rPr>
      </w:pPr>
      <w:bookmarkStart w:id="50" w:name="_Toc389065157"/>
      <w:bookmarkStart w:id="51" w:name="_Toc2509"/>
      <w:r>
        <w:rPr>
          <w:rFonts w:hint="eastAsia" w:ascii="宋体" w:hAnsi="宋体" w:eastAsia="宋体" w:cs="宋体"/>
          <w:color w:val="000000" w:themeColor="text1"/>
          <w14:textFill>
            <w14:solidFill>
              <w14:schemeClr w14:val="tx1"/>
            </w14:solidFill>
          </w14:textFill>
        </w:rPr>
        <w:t>1.11 偏离</w:t>
      </w:r>
      <w:bookmarkEnd w:id="50"/>
      <w:bookmarkEnd w:id="51"/>
    </w:p>
    <w:p>
      <w:pPr>
        <w:wordWrap w:val="0"/>
        <w:spacing w:line="360" w:lineRule="auto"/>
        <w:ind w:firstLine="359" w:firstLineChars="171"/>
        <w:rPr>
          <w:color w:val="000000" w:themeColor="text1"/>
          <w14:textFill>
            <w14:solidFill>
              <w14:schemeClr w14:val="tx1"/>
            </w14:solidFill>
          </w14:textFill>
        </w:rPr>
      </w:pPr>
      <w:bookmarkStart w:id="52" w:name="_Toc389065158"/>
      <w:r>
        <w:rPr>
          <w:rFonts w:hint="eastAsia"/>
          <w:color w:val="000000" w:themeColor="text1"/>
          <w14:textFill>
            <w14:solidFill>
              <w14:schemeClr w14:val="tx1"/>
            </w14:solidFill>
          </w14:textFill>
        </w:rPr>
        <w:t>投标人须知前附表允许投标文件偏离招标文件某些要求的，偏离应当符合招标文件规定的偏离范围和幅度。</w:t>
      </w:r>
    </w:p>
    <w:p>
      <w:pPr>
        <w:pStyle w:val="5"/>
        <w:wordWrap w:val="0"/>
        <w:rPr>
          <w:rFonts w:ascii="宋体" w:hAnsi="宋体" w:eastAsia="宋体" w:cs="宋体"/>
          <w:color w:val="000000" w:themeColor="text1"/>
          <w14:textFill>
            <w14:solidFill>
              <w14:schemeClr w14:val="tx1"/>
            </w14:solidFill>
          </w14:textFill>
        </w:rPr>
      </w:pPr>
      <w:bookmarkStart w:id="53" w:name="_Toc389065198"/>
      <w:bookmarkStart w:id="54" w:name="_Toc22859"/>
      <w:r>
        <w:rPr>
          <w:rFonts w:hint="eastAsia" w:ascii="宋体" w:hAnsi="宋体" w:eastAsia="宋体" w:cs="宋体"/>
          <w:color w:val="000000" w:themeColor="text1"/>
          <w14:textFill>
            <w14:solidFill>
              <w14:schemeClr w14:val="tx1"/>
            </w14:solidFill>
          </w14:textFill>
        </w:rPr>
        <w:t>1.12知识产权</w:t>
      </w:r>
      <w:bookmarkEnd w:id="53"/>
      <w:bookmarkEnd w:id="54"/>
    </w:p>
    <w:p>
      <w:pPr>
        <w:wordWrap w:val="0"/>
        <w:spacing w:line="360" w:lineRule="auto"/>
        <w:ind w:firstLine="359" w:firstLineChars="171"/>
        <w:rPr>
          <w:color w:val="000000" w:themeColor="text1"/>
          <w14:textFill>
            <w14:solidFill>
              <w14:schemeClr w14:val="tx1"/>
            </w14:solidFill>
          </w14:textFill>
        </w:rPr>
      </w:pPr>
      <w:r>
        <w:rPr>
          <w:rFonts w:hint="eastAsia"/>
          <w:color w:val="000000" w:themeColor="text1"/>
          <w14:textFill>
            <w14:solidFill>
              <w14:schemeClr w14:val="tx1"/>
            </w14:solidFill>
          </w14:textFill>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p>
      <w:pPr>
        <w:pStyle w:val="5"/>
        <w:wordWrap w:val="0"/>
        <w:rPr>
          <w:rFonts w:ascii="宋体" w:hAnsi="宋体" w:eastAsia="宋体" w:cs="宋体"/>
          <w:color w:val="000000" w:themeColor="text1"/>
          <w14:textFill>
            <w14:solidFill>
              <w14:schemeClr w14:val="tx1"/>
            </w14:solidFill>
          </w14:textFill>
        </w:rPr>
      </w:pPr>
      <w:bookmarkStart w:id="55" w:name="_Toc21025"/>
      <w:r>
        <w:rPr>
          <w:rFonts w:hint="eastAsia" w:ascii="宋体" w:hAnsi="宋体" w:eastAsia="宋体" w:cs="宋体"/>
          <w:color w:val="000000" w:themeColor="text1"/>
          <w14:textFill>
            <w14:solidFill>
              <w14:schemeClr w14:val="tx1"/>
            </w14:solidFill>
          </w14:textFill>
        </w:rPr>
        <w:t>1.13同义词语</w:t>
      </w:r>
      <w:bookmarkEnd w:id="55"/>
    </w:p>
    <w:p>
      <w:pPr>
        <w:wordWrap w:val="0"/>
        <w:spacing w:line="360" w:lineRule="auto"/>
        <w:ind w:firstLine="359" w:firstLineChars="171"/>
        <w:rPr>
          <w:color w:val="000000" w:themeColor="text1"/>
          <w14:textFill>
            <w14:solidFill>
              <w14:schemeClr w14:val="tx1"/>
            </w14:solidFill>
          </w14:textFill>
        </w:rPr>
      </w:pPr>
      <w:r>
        <w:rPr>
          <w:rFonts w:hint="eastAsia"/>
          <w:color w:val="000000" w:themeColor="text1"/>
          <w14:textFill>
            <w14:solidFill>
              <w14:schemeClr w14:val="tx1"/>
            </w14:solidFill>
          </w14:textFill>
        </w:rPr>
        <w:t>构成招标文件组成部分的“通用合同条款”、“专用合同条款”、“技术标准和要求”等章节中出现的措辞“发包人”和“承包人”，在招标投标阶段应当分别按“招标人”和“投标人”进行理解。</w:t>
      </w:r>
    </w:p>
    <w:p>
      <w:pPr>
        <w:pStyle w:val="4"/>
        <w:wordWrap w:val="0"/>
        <w:spacing w:line="360" w:lineRule="auto"/>
        <w:rPr>
          <w:rFonts w:ascii="宋体" w:hAnsi="宋体" w:eastAsia="宋体" w:cs="宋体"/>
          <w:color w:val="000000" w:themeColor="text1"/>
          <w14:textFill>
            <w14:solidFill>
              <w14:schemeClr w14:val="tx1"/>
            </w14:solidFill>
          </w14:textFill>
        </w:rPr>
      </w:pPr>
      <w:bookmarkStart w:id="56" w:name="_Toc20387"/>
      <w:r>
        <w:rPr>
          <w:rFonts w:hint="eastAsia" w:ascii="宋体" w:hAnsi="宋体" w:eastAsia="宋体" w:cs="宋体"/>
          <w:color w:val="000000" w:themeColor="text1"/>
          <w14:textFill>
            <w14:solidFill>
              <w14:schemeClr w14:val="tx1"/>
            </w14:solidFill>
          </w14:textFill>
        </w:rPr>
        <w:t>2 招标文件</w:t>
      </w:r>
      <w:bookmarkEnd w:id="52"/>
      <w:bookmarkEnd w:id="56"/>
    </w:p>
    <w:p>
      <w:pPr>
        <w:pStyle w:val="5"/>
        <w:wordWrap w:val="0"/>
        <w:rPr>
          <w:rFonts w:ascii="宋体" w:hAnsi="宋体" w:eastAsia="宋体" w:cs="宋体"/>
          <w:color w:val="000000" w:themeColor="text1"/>
          <w14:textFill>
            <w14:solidFill>
              <w14:schemeClr w14:val="tx1"/>
            </w14:solidFill>
          </w14:textFill>
        </w:rPr>
      </w:pPr>
      <w:bookmarkStart w:id="57" w:name="_Toc389065159"/>
      <w:bookmarkStart w:id="58" w:name="_Toc1344"/>
      <w:r>
        <w:rPr>
          <w:rFonts w:hint="eastAsia" w:ascii="宋体" w:hAnsi="宋体" w:eastAsia="宋体" w:cs="宋体"/>
          <w:color w:val="000000" w:themeColor="text1"/>
          <w14:textFill>
            <w14:solidFill>
              <w14:schemeClr w14:val="tx1"/>
            </w14:solidFill>
          </w14:textFill>
        </w:rPr>
        <w:t>2.1 招标文件的组成</w:t>
      </w:r>
      <w:bookmarkEnd w:id="57"/>
      <w:bookmarkEnd w:id="58"/>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2.1.</w:t>
      </w:r>
      <w:r>
        <w:rPr>
          <w:rFonts w:hint="eastAsia" w:ascii="宋体" w:hAnsi="宋体" w:cs="宋体"/>
          <w:color w:val="000000" w:themeColor="text1"/>
          <w:szCs w:val="21"/>
          <w14:textFill>
            <w14:solidFill>
              <w14:schemeClr w14:val="tx1"/>
            </w14:solidFill>
          </w14:textFill>
        </w:rPr>
        <w:t>1本招标文件包括：</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（1）招标公告；</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（2）投标人须知；</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（3）评标办法；</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（4）合同条款及格式；</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（5）发包人要求；</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（6）发包人提供的资料和条件；</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（7）投标文件格式；</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（8）投标人须知前附表规定的其他资料。</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2.1.2 根据本章第2.2款和第2.3款对招标文件所作的澄清、修改，构成招标文件的组成部分。招标文件的澄清、修改内容前后相互矛盾时，以发布时间在后的文件为准。</w:t>
      </w:r>
    </w:p>
    <w:p>
      <w:pPr>
        <w:pStyle w:val="5"/>
        <w:wordWrap w:val="0"/>
        <w:rPr>
          <w:rFonts w:ascii="宋体" w:hAnsi="宋体" w:eastAsia="宋体" w:cs="宋体"/>
          <w:color w:val="000000" w:themeColor="text1"/>
          <w14:textFill>
            <w14:solidFill>
              <w14:schemeClr w14:val="tx1"/>
            </w14:solidFill>
          </w14:textFill>
        </w:rPr>
      </w:pPr>
      <w:bookmarkStart w:id="59" w:name="_Toc26476"/>
      <w:bookmarkStart w:id="60" w:name="_Toc389065160"/>
      <w:r>
        <w:rPr>
          <w:rFonts w:hint="eastAsia" w:ascii="宋体" w:hAnsi="宋体" w:eastAsia="宋体" w:cs="宋体"/>
          <w:color w:val="000000" w:themeColor="text1"/>
          <w14:textFill>
            <w14:solidFill>
              <w14:schemeClr w14:val="tx1"/>
            </w14:solidFill>
          </w14:textFill>
        </w:rPr>
        <w:t>2.2 招标文件的澄清</w:t>
      </w:r>
      <w:bookmarkEnd w:id="59"/>
      <w:bookmarkEnd w:id="60"/>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2.2.1 投标人应仔细阅读和检查招标文件的全部内容，如发现缺页或附件不全，应及时向招标人提出，以便补齐。投标人如有疑问，应在投标人须知前附表规定的时间，通过“电子招标投标交易平台”提交，要求招标人对招标文件予以澄清。</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投标人不在澄清期限内提出，招标人有权不予答复。</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2.2.2 招标文件的澄清将在投标人须知前附表规定时间前</w:t>
      </w:r>
      <w:r>
        <w:rPr>
          <w:rFonts w:hint="eastAsia" w:ascii="宋体" w:cs="宋体"/>
          <w:color w:val="000000" w:themeColor="text1"/>
          <w:kern w:val="0"/>
          <w:szCs w:val="21"/>
          <w14:textFill>
            <w14:solidFill>
              <w14:schemeClr w14:val="tx1"/>
            </w14:solidFill>
          </w14:textFill>
        </w:rPr>
        <w:t>通过</w:t>
      </w:r>
      <w:r>
        <w:rPr>
          <w:rFonts w:hint="eastAsia" w:ascii="宋体" w:hAnsi="宋体" w:cs="宋体"/>
          <w:color w:val="000000" w:themeColor="text1"/>
          <w:szCs w:val="21"/>
          <w14:textFill>
            <w14:solidFill>
              <w14:schemeClr w14:val="tx1"/>
            </w14:solidFill>
          </w14:textFill>
        </w:rPr>
        <w:t>“电子招标投标交易平台”发给所有投标人，但招标人不指明澄清问题的来源，招标人不再另行通知。</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2.2.3澄清文件按本章第2.2.2款规定发出之时起，视为投标人已收到该澄清文件。投标人未及时通过“电子招标投标交易平台”查阅招标文件的澄清，或未按照澄清后的招标文件编制投标文件，由此造成的后果由投标人自行承担。</w:t>
      </w:r>
    </w:p>
    <w:p>
      <w:pPr>
        <w:pStyle w:val="5"/>
        <w:wordWrap w:val="0"/>
        <w:rPr>
          <w:rFonts w:ascii="宋体" w:hAnsi="宋体" w:eastAsia="宋体" w:cs="宋体"/>
          <w:color w:val="000000" w:themeColor="text1"/>
          <w14:textFill>
            <w14:solidFill>
              <w14:schemeClr w14:val="tx1"/>
            </w14:solidFill>
          </w14:textFill>
        </w:rPr>
      </w:pPr>
      <w:bookmarkStart w:id="61" w:name="_Toc389065161"/>
      <w:bookmarkStart w:id="62" w:name="_Toc20369"/>
      <w:r>
        <w:rPr>
          <w:rFonts w:hint="eastAsia" w:ascii="宋体" w:hAnsi="宋体" w:eastAsia="宋体" w:cs="宋体"/>
          <w:color w:val="000000" w:themeColor="text1"/>
          <w14:textFill>
            <w14:solidFill>
              <w14:schemeClr w14:val="tx1"/>
            </w14:solidFill>
          </w14:textFill>
        </w:rPr>
        <w:t>2.3 招标文件的修改</w:t>
      </w:r>
      <w:bookmarkEnd w:id="61"/>
      <w:bookmarkEnd w:id="62"/>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2.3.1 招标文件发布后，招标人确需对招标文件进行修改的，招标人将</w:t>
      </w:r>
      <w:r>
        <w:rPr>
          <w:rFonts w:hint="eastAsia" w:ascii="宋体" w:cs="宋体"/>
          <w:color w:val="000000" w:themeColor="text1"/>
          <w:kern w:val="0"/>
          <w:szCs w:val="21"/>
          <w14:textFill>
            <w14:solidFill>
              <w14:schemeClr w14:val="tx1"/>
            </w14:solidFill>
          </w14:textFill>
        </w:rPr>
        <w:t>通过</w:t>
      </w:r>
      <w:r>
        <w:rPr>
          <w:rFonts w:hint="eastAsia" w:ascii="宋体" w:hAnsi="宋体" w:cs="宋体"/>
          <w:color w:val="000000" w:themeColor="text1"/>
          <w:szCs w:val="21"/>
          <w14:textFill>
            <w14:solidFill>
              <w14:schemeClr w14:val="tx1"/>
            </w14:solidFill>
          </w14:textFill>
        </w:rPr>
        <w:t>“电子招标投标交易平台”发给所有投标人。</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2.3.2修改文件按本章第2.3.1款规定发出之时起，视为投标人已收到该修改文件。投标人未及时通过“电子招标投标交易平台”查阅招标文件的修改，或未按照修改后的招标文件编制投标文件，由此造成的后果由投标人自行承担。</w:t>
      </w:r>
    </w:p>
    <w:p>
      <w:pPr>
        <w:pStyle w:val="5"/>
        <w:wordWrap w:val="0"/>
        <w:rPr>
          <w:rFonts w:ascii="宋体" w:hAnsi="宋体" w:eastAsia="宋体" w:cs="宋体"/>
          <w:color w:val="000000" w:themeColor="text1"/>
          <w14:textFill>
            <w14:solidFill>
              <w14:schemeClr w14:val="tx1"/>
            </w14:solidFill>
          </w14:textFill>
        </w:rPr>
      </w:pPr>
      <w:bookmarkStart w:id="63" w:name="_Toc25622"/>
      <w:bookmarkStart w:id="64" w:name="_Toc473034303"/>
      <w:r>
        <w:rPr>
          <w:rFonts w:hint="eastAsia" w:ascii="宋体" w:hAnsi="宋体" w:eastAsia="宋体" w:cs="宋体"/>
          <w:color w:val="000000" w:themeColor="text1"/>
          <w14:textFill>
            <w14:solidFill>
              <w14:schemeClr w14:val="tx1"/>
            </w14:solidFill>
          </w14:textFill>
        </w:rPr>
        <w:t>2.4 最高投标限价</w:t>
      </w:r>
      <w:bookmarkEnd w:id="63"/>
      <w:bookmarkEnd w:id="64"/>
    </w:p>
    <w:p>
      <w:pPr>
        <w:pStyle w:val="15"/>
        <w:wordWrap w:val="0"/>
        <w:spacing w:line="360" w:lineRule="auto"/>
        <w:ind w:firstLine="420" w:firstLineChars="200"/>
        <w:jc w:val="both"/>
        <w:rPr>
          <w:rFonts w:ascii="宋体" w:hAnsi="宋体" w:cs="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最高投标限价，是招标人依据经批准的投资估算，根据不同阶段的设计文件，并参考工程造价指标、估算定额等设定的招标控制价。</w:t>
      </w:r>
      <w:r>
        <w:rPr>
          <w:rFonts w:hint="eastAsia" w:ascii="宋体" w:hAnsi="宋体" w:cs="宋体"/>
          <w:color w:val="000000" w:themeColor="text1"/>
          <w:szCs w:val="21"/>
          <w14:textFill>
            <w14:solidFill>
              <w14:schemeClr w14:val="tx1"/>
            </w14:solidFill>
          </w14:textFill>
        </w:rPr>
        <w:t>本工程</w:t>
      </w:r>
      <w:r>
        <w:rPr>
          <w:rFonts w:hint="eastAsia"/>
          <w:color w:val="000000" w:themeColor="text1"/>
          <w14:textFill>
            <w14:solidFill>
              <w14:schemeClr w14:val="tx1"/>
            </w14:solidFill>
          </w14:textFill>
        </w:rPr>
        <w:t>最高投标限价</w:t>
      </w:r>
      <w:r>
        <w:rPr>
          <w:rFonts w:hint="eastAsia" w:ascii="宋体" w:hAnsi="宋体" w:cs="宋体"/>
          <w:color w:val="000000" w:themeColor="text1"/>
          <w:szCs w:val="21"/>
          <w14:textFill>
            <w14:solidFill>
              <w14:schemeClr w14:val="tx1"/>
            </w14:solidFill>
          </w14:textFill>
        </w:rPr>
        <w:t>金额见“投标人须知前附表”，</w:t>
      </w:r>
      <w:r>
        <w:rPr>
          <w:rFonts w:hint="eastAsia"/>
          <w:color w:val="000000" w:themeColor="text1"/>
          <w14:textFill>
            <w14:solidFill>
              <w14:schemeClr w14:val="tx1"/>
            </w14:solidFill>
          </w14:textFill>
        </w:rPr>
        <w:t>最高投标限价文件随本项目招标文件在</w:t>
      </w:r>
      <w:r>
        <w:rPr>
          <w:rFonts w:hint="eastAsia" w:ascii="宋体" w:hAnsi="宋体" w:cs="宋体"/>
          <w:color w:val="000000" w:themeColor="text1"/>
          <w:szCs w:val="21"/>
          <w14:textFill>
            <w14:solidFill>
              <w14:schemeClr w14:val="tx1"/>
            </w14:solidFill>
          </w14:textFill>
        </w:rPr>
        <w:t>“电子招标投标交易平台”</w:t>
      </w:r>
      <w:r>
        <w:rPr>
          <w:rFonts w:hint="eastAsia"/>
          <w:color w:val="000000" w:themeColor="text1"/>
          <w14:textFill>
            <w14:solidFill>
              <w14:schemeClr w14:val="tx1"/>
            </w14:solidFill>
          </w14:textFill>
        </w:rPr>
        <w:t>同步发布。</w:t>
      </w:r>
      <w:r>
        <w:rPr>
          <w:rFonts w:hint="eastAsia" w:ascii="宋体" w:hAnsi="宋体" w:cs="宋体"/>
          <w:color w:val="000000" w:themeColor="text1"/>
          <w:szCs w:val="21"/>
          <w14:textFill>
            <w14:solidFill>
              <w14:schemeClr w14:val="tx1"/>
            </w14:solidFill>
          </w14:textFill>
        </w:rPr>
        <w:t>招标人确需对已发布的</w:t>
      </w:r>
      <w:r>
        <w:rPr>
          <w:rFonts w:hint="eastAsia"/>
          <w:color w:val="000000" w:themeColor="text1"/>
          <w14:textFill>
            <w14:solidFill>
              <w14:schemeClr w14:val="tx1"/>
            </w14:solidFill>
          </w14:textFill>
        </w:rPr>
        <w:t>最高投标限价</w:t>
      </w:r>
      <w:r>
        <w:rPr>
          <w:rFonts w:hint="eastAsia" w:ascii="宋体" w:hAnsi="宋体" w:cs="宋体"/>
          <w:color w:val="000000" w:themeColor="text1"/>
          <w:szCs w:val="21"/>
          <w14:textFill>
            <w14:solidFill>
              <w14:schemeClr w14:val="tx1"/>
            </w14:solidFill>
          </w14:textFill>
        </w:rPr>
        <w:t>进行修改的，将</w:t>
      </w:r>
      <w:r>
        <w:rPr>
          <w:rFonts w:hint="eastAsia" w:ascii="宋体" w:cs="宋体"/>
          <w:color w:val="000000" w:themeColor="text1"/>
          <w:kern w:val="0"/>
          <w:szCs w:val="21"/>
          <w14:textFill>
            <w14:solidFill>
              <w14:schemeClr w14:val="tx1"/>
            </w14:solidFill>
          </w14:textFill>
        </w:rPr>
        <w:t>通过</w:t>
      </w:r>
      <w:r>
        <w:rPr>
          <w:rFonts w:hint="eastAsia" w:ascii="宋体" w:hAnsi="宋体" w:cs="宋体"/>
          <w:color w:val="000000" w:themeColor="text1"/>
          <w:szCs w:val="21"/>
          <w14:textFill>
            <w14:solidFill>
              <w14:schemeClr w14:val="tx1"/>
            </w14:solidFill>
          </w14:textFill>
        </w:rPr>
        <w:t>“电子招标投标交易平台”发给所有投标人。</w:t>
      </w:r>
    </w:p>
    <w:p>
      <w:pPr>
        <w:pStyle w:val="4"/>
        <w:wordWrap w:val="0"/>
        <w:spacing w:line="360" w:lineRule="auto"/>
        <w:rPr>
          <w:rFonts w:ascii="宋体" w:hAnsi="宋体" w:eastAsia="宋体" w:cs="宋体"/>
          <w:color w:val="000000" w:themeColor="text1"/>
          <w14:textFill>
            <w14:solidFill>
              <w14:schemeClr w14:val="tx1"/>
            </w14:solidFill>
          </w14:textFill>
        </w:rPr>
      </w:pPr>
      <w:bookmarkStart w:id="65" w:name="_Toc389065162"/>
      <w:bookmarkStart w:id="66" w:name="_Toc5339"/>
      <w:r>
        <w:rPr>
          <w:rFonts w:hint="eastAsia" w:ascii="宋体" w:hAnsi="宋体" w:eastAsia="宋体" w:cs="宋体"/>
          <w:color w:val="000000" w:themeColor="text1"/>
          <w14:textFill>
            <w14:solidFill>
              <w14:schemeClr w14:val="tx1"/>
            </w14:solidFill>
          </w14:textFill>
        </w:rPr>
        <w:t>3 投标文件</w:t>
      </w:r>
      <w:bookmarkEnd w:id="65"/>
      <w:bookmarkEnd w:id="66"/>
    </w:p>
    <w:p>
      <w:pPr>
        <w:pStyle w:val="5"/>
        <w:wordWrap w:val="0"/>
        <w:rPr>
          <w:rFonts w:ascii="宋体" w:hAnsi="宋体" w:eastAsia="宋体" w:cs="宋体"/>
          <w:color w:val="000000" w:themeColor="text1"/>
          <w14:textFill>
            <w14:solidFill>
              <w14:schemeClr w14:val="tx1"/>
            </w14:solidFill>
          </w14:textFill>
        </w:rPr>
      </w:pPr>
      <w:bookmarkStart w:id="67" w:name="_Toc30716"/>
      <w:bookmarkStart w:id="68" w:name="_Toc389065163"/>
      <w:r>
        <w:rPr>
          <w:rFonts w:hint="eastAsia" w:ascii="宋体" w:hAnsi="宋体" w:eastAsia="宋体" w:cs="宋体"/>
          <w:color w:val="000000" w:themeColor="text1"/>
          <w14:textFill>
            <w14:solidFill>
              <w14:schemeClr w14:val="tx1"/>
            </w14:solidFill>
          </w14:textFill>
        </w:rPr>
        <w:t>3.1 投标文件的组成</w:t>
      </w:r>
      <w:bookmarkEnd w:id="67"/>
      <w:bookmarkEnd w:id="68"/>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3.1.1 投标文件组成：</w:t>
      </w:r>
    </w:p>
    <w:p>
      <w:pPr>
        <w:wordWrap w:val="0"/>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一、资格审查资料（也称为资信标）</w:t>
      </w:r>
    </w:p>
    <w:p>
      <w:pPr>
        <w:wordWrap w:val="0"/>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一</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投标人基本情况表</w:t>
      </w:r>
    </w:p>
    <w:p>
      <w:pPr>
        <w:wordWrap w:val="0"/>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二</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近年完成的类似项目情况表</w:t>
      </w:r>
    </w:p>
    <w:p>
      <w:pPr>
        <w:wordWrap w:val="0"/>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三</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企业其他信誉情况表</w:t>
      </w:r>
    </w:p>
    <w:p>
      <w:pPr>
        <w:wordWrap w:val="0"/>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四</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总承包项目经理简历表</w:t>
      </w:r>
    </w:p>
    <w:p>
      <w:pPr>
        <w:wordWrap w:val="0"/>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五)</w:t>
      </w:r>
      <w:r>
        <w:rPr>
          <w:rFonts w:hint="eastAsia" w:ascii="宋体" w:hAnsi="宋体"/>
          <w:color w:val="000000" w:themeColor="text1"/>
          <w:kern w:val="0"/>
          <w14:textFill>
            <w14:solidFill>
              <w14:schemeClr w14:val="tx1"/>
            </w14:solidFill>
          </w14:textFill>
        </w:rPr>
        <w:t>投标人（总承包项目经理）</w:t>
      </w:r>
      <w:r>
        <w:rPr>
          <w:rFonts w:ascii="宋体" w:hAnsi="宋体"/>
          <w:color w:val="000000" w:themeColor="text1"/>
          <w:kern w:val="0"/>
          <w14:textFill>
            <w14:solidFill>
              <w14:schemeClr w14:val="tx1"/>
            </w14:solidFill>
          </w14:textFill>
        </w:rPr>
        <w:t>类似工程</w:t>
      </w:r>
      <w:r>
        <w:rPr>
          <w:rFonts w:hint="eastAsia" w:ascii="宋体" w:hAnsi="宋体"/>
          <w:color w:val="000000" w:themeColor="text1"/>
          <w:kern w:val="0"/>
          <w14:textFill>
            <w14:solidFill>
              <w14:schemeClr w14:val="tx1"/>
            </w14:solidFill>
          </w14:textFill>
        </w:rPr>
        <w:t>业绩一</w:t>
      </w:r>
      <w:r>
        <w:rPr>
          <w:rFonts w:ascii="宋体" w:hAnsi="宋体"/>
          <w:color w:val="000000" w:themeColor="text1"/>
          <w:kern w:val="0"/>
          <w14:textFill>
            <w14:solidFill>
              <w14:schemeClr w14:val="tx1"/>
            </w14:solidFill>
          </w14:textFill>
        </w:rPr>
        <w:t>览表</w:t>
      </w:r>
    </w:p>
    <w:p>
      <w:pPr>
        <w:wordWrap w:val="0"/>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六)招标公告要求提交的资格审查材料原件及复印件</w:t>
      </w:r>
    </w:p>
    <w:p>
      <w:pPr>
        <w:wordWrap w:val="0"/>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七</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招标文件要求的其他资料。</w:t>
      </w:r>
    </w:p>
    <w:p>
      <w:pPr>
        <w:wordWrap w:val="0"/>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二、商务标</w:t>
      </w:r>
    </w:p>
    <w:p>
      <w:pPr>
        <w:wordWrap w:val="0"/>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一</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投标函</w:t>
      </w:r>
    </w:p>
    <w:p>
      <w:pPr>
        <w:wordWrap w:val="0"/>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二</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法定代表人身份证明</w:t>
      </w:r>
    </w:p>
    <w:p>
      <w:pPr>
        <w:wordWrap w:val="0"/>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三</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授权委托书</w:t>
      </w:r>
    </w:p>
    <w:p>
      <w:pPr>
        <w:wordWrap w:val="0"/>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四</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已标价工程量清单</w:t>
      </w:r>
    </w:p>
    <w:p>
      <w:pPr>
        <w:wordWrap w:val="0"/>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五</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其他材料</w:t>
      </w:r>
    </w:p>
    <w:p>
      <w:pPr>
        <w:wordWrap w:val="0"/>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三、技术标</w:t>
      </w:r>
    </w:p>
    <w:p>
      <w:pPr>
        <w:wordWrap w:val="0"/>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工程总承包组织设计</w:t>
      </w:r>
    </w:p>
    <w:p>
      <w:pPr>
        <w:wordWrap w:val="0"/>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一</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设计技术方案</w:t>
      </w:r>
    </w:p>
    <w:p>
      <w:pPr>
        <w:wordWrap w:val="0"/>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二</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施工组织设计</w:t>
      </w:r>
    </w:p>
    <w:p>
      <w:pPr>
        <w:wordWrap w:val="0"/>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四、电子标书</w:t>
      </w:r>
    </w:p>
    <w:p>
      <w:pPr>
        <w:wordWrap w:val="0"/>
        <w:spacing w:line="400" w:lineRule="exact"/>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投标人须将上述</w:t>
      </w:r>
      <w:r>
        <w:rPr>
          <w:rFonts w:hint="eastAsia"/>
          <w:color w:val="000000" w:themeColor="text1"/>
          <w14:textFill>
            <w14:solidFill>
              <w14:schemeClr w14:val="tx1"/>
            </w14:solidFill>
          </w14:textFill>
        </w:rPr>
        <w:t>资格审查资料、商务标、技术标制作相应的</w:t>
      </w:r>
      <w:r>
        <w:rPr>
          <w:rFonts w:hint="eastAsia"/>
          <w:color w:val="000000" w:themeColor="text1"/>
          <w:szCs w:val="21"/>
          <w14:textFill>
            <w14:solidFill>
              <w14:schemeClr w14:val="tx1"/>
            </w14:solidFill>
          </w14:textFill>
        </w:rPr>
        <w:t>投标文件电子标书(副本)，采用（光盘或U盘），有标价的</w:t>
      </w:r>
      <w:r>
        <w:rPr>
          <w:rFonts w:hAnsi="宋体"/>
          <w:color w:val="000000" w:themeColor="text1"/>
          <w:szCs w:val="21"/>
          <w14:textFill>
            <w14:solidFill>
              <w14:schemeClr w14:val="tx1"/>
            </w14:solidFill>
          </w14:textFill>
        </w:rPr>
        <w:t>工程量清单，投标人还应提供以</w:t>
      </w:r>
      <w:r>
        <w:rPr>
          <w:i/>
          <w:color w:val="000000" w:themeColor="text1"/>
          <w:szCs w:val="21"/>
          <w14:textFill>
            <w14:solidFill>
              <w14:schemeClr w14:val="tx1"/>
            </w14:solidFill>
          </w14:textFill>
        </w:rPr>
        <w:t>Excel</w:t>
      </w:r>
      <w:r>
        <w:rPr>
          <w:rFonts w:hAnsi="宋体"/>
          <w:color w:val="000000" w:themeColor="text1"/>
          <w:szCs w:val="21"/>
          <w14:textFill>
            <w14:solidFill>
              <w14:schemeClr w14:val="tx1"/>
            </w14:solidFill>
          </w14:textFill>
        </w:rPr>
        <w:t>格式保存的工程量清单电子文件，</w:t>
      </w:r>
      <w:r>
        <w:rPr>
          <w:rFonts w:hint="eastAsia"/>
          <w:color w:val="000000" w:themeColor="text1"/>
          <w14:textFill>
            <w14:solidFill>
              <w14:schemeClr w14:val="tx1"/>
            </w14:solidFill>
          </w14:textFill>
        </w:rPr>
        <w:t>电子标书与商务标一起</w:t>
      </w:r>
      <w:r>
        <w:rPr>
          <w:rFonts w:hAnsi="宋体"/>
          <w:color w:val="000000" w:themeColor="text1"/>
          <w:szCs w:val="21"/>
          <w14:textFill>
            <w14:solidFill>
              <w14:schemeClr w14:val="tx1"/>
            </w14:solidFill>
          </w14:textFill>
        </w:rPr>
        <w:t>密封在投标文件正本内。</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3.1.2 招标文件“第八章 投标文件格式”有规定格式要求的，投标人应按规定的格式填写并按要求提交相关的证明材料。</w:t>
      </w:r>
    </w:p>
    <w:p>
      <w:pPr>
        <w:wordWrap w:val="0"/>
        <w:spacing w:line="360" w:lineRule="auto"/>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3.1.3 “投标人须知前附表”规定不接受联合体投标的，或投标人没有组成联合体的，投标文件不包括本章第3.1.1（1）中所指的联合体协议书。</w:t>
      </w:r>
    </w:p>
    <w:p>
      <w:pPr>
        <w:pStyle w:val="5"/>
        <w:wordWrap w:val="0"/>
        <w:rPr>
          <w:rFonts w:ascii="宋体" w:hAnsi="宋体" w:eastAsia="宋体" w:cs="宋体"/>
          <w:color w:val="000000" w:themeColor="text1"/>
          <w14:textFill>
            <w14:solidFill>
              <w14:schemeClr w14:val="tx1"/>
            </w14:solidFill>
          </w14:textFill>
        </w:rPr>
      </w:pPr>
      <w:bookmarkStart w:id="69" w:name="_Toc27897"/>
      <w:bookmarkStart w:id="70" w:name="_Toc389065164"/>
      <w:r>
        <w:rPr>
          <w:rFonts w:hint="eastAsia" w:ascii="宋体" w:hAnsi="宋体" w:eastAsia="宋体" w:cs="宋体"/>
          <w:color w:val="000000" w:themeColor="text1"/>
          <w14:textFill>
            <w14:solidFill>
              <w14:schemeClr w14:val="tx1"/>
            </w14:solidFill>
          </w14:textFill>
        </w:rPr>
        <w:t>3.2 投标报价</w:t>
      </w:r>
      <w:bookmarkEnd w:id="69"/>
      <w:bookmarkEnd w:id="70"/>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3.2.1 投标人应按第七章“投标文件格式”的要求填写价格清单。</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的投标报价均包括投标人在投标文件所承诺的工期期限内，按招标文件以及招标文件明示的主要合同条款为完成本工程所确定的招标范围内的全部内容并达到投标人所承诺的质量标准所需要支付各项金额的总和，投标人应充分考虑为完成上述内容所必须的设计费、图纸评审费、临时设施【施工现场水、电、路（便道）以及作业面、施工材料堆放场地】、环境保护、特殊条件施工增加费用、人工、材料、机械）、管理、缺陷修补、利润、税金、现场施工围栏、竣工面的清理、垃圾清运成品保护、开办费、建设工程综合交易服务费、技术措施费、为完成竣工验收所需的一切检验试验费用、配合费用及总(分)包管理费、风险费、以及各种管线、建筑物、构筑物的加固围护、责任及政策性文件规定以及本项目主要合同条款规定的全部费用的价格体现。</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本工程采用交钥匙工程承包合同，投标报价采用总价闭口合同形式， EPC总承包费用为完成招标文件规定所有内容的全部费用，设计、施工、采购总承包的设计费、施工费、安装费、保管费、调试费、联合试运转费、安全生产费、工程审查及相关费用（招标人委托的第三方审查费除外）、施工配合费、协调费、干扰费、交（竣）工验收费用、工程动态监测费、检测费、技术服务费、EPC总承包管理费、人员培训费、保险、风险费用、利润、规费、各种措施费、临时设施费、税金、手续、办证（主要指取得各种验收合格证书发生的费用）、会务、政策性文件规定的其它所有费用（招标文件与合同另有约定除外）、以及合同中明确的其他责任、义务发生的费用。</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除非合同中另有规定，投标人标价的工程量清单中所报的单价和合价，以及报价汇总表中的价格应包括分部分项工程费、设备费、措施费以及其他费用等所有为完成本工程所需的上述费用以及招标文件规定、合同包含的所有风险、责任等各项应有的费用。</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清单格式中所列项目仅供投标人参考，这些项目是指如果有，但不局限于此。最终工程项目由投标人依据自己的设计、施工方案、投标人本企业掌握的市场价格信息、企业定额填写，报价清单没有列的项目将不予支付，并认为此项费用已包括在报价清单的其它单价和合价中。</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3.2.2 投标人应充分了解施工场地的</w:t>
      </w:r>
      <w:r>
        <w:rPr>
          <w:rFonts w:ascii="宋体" w:hAnsi="宋体" w:cs="宋体"/>
          <w:color w:val="000000" w:themeColor="text1"/>
          <w:szCs w:val="21"/>
          <w14:textFill>
            <w14:solidFill>
              <w14:schemeClr w14:val="tx1"/>
            </w14:solidFill>
          </w14:textFill>
        </w:rPr>
        <w:t>位置、周边</w:t>
      </w:r>
      <w:r>
        <w:rPr>
          <w:rFonts w:hint="eastAsia" w:ascii="宋体" w:hAnsi="宋体" w:cs="宋体"/>
          <w:color w:val="000000" w:themeColor="text1"/>
          <w:szCs w:val="21"/>
          <w14:textFill>
            <w14:solidFill>
              <w14:schemeClr w14:val="tx1"/>
            </w14:solidFill>
          </w14:textFill>
        </w:rPr>
        <w:t>环境</w:t>
      </w:r>
      <w:r>
        <w:rPr>
          <w:rFonts w:ascii="宋体" w:hAnsi="宋体" w:cs="宋体"/>
          <w:color w:val="000000" w:themeColor="text1"/>
          <w:szCs w:val="21"/>
          <w14:textFill>
            <w14:solidFill>
              <w14:schemeClr w14:val="tx1"/>
            </w14:solidFill>
          </w14:textFill>
        </w:rPr>
        <w:t>、道路、装卸、保管、安装限制</w:t>
      </w:r>
      <w:r>
        <w:rPr>
          <w:rFonts w:hint="eastAsia" w:ascii="宋体" w:hAnsi="宋体" w:cs="宋体"/>
          <w:color w:val="000000" w:themeColor="text1"/>
          <w:szCs w:val="21"/>
          <w14:textFill>
            <w14:solidFill>
              <w14:schemeClr w14:val="tx1"/>
            </w14:solidFill>
          </w14:textFill>
        </w:rPr>
        <w:t>以</w:t>
      </w:r>
      <w:r>
        <w:rPr>
          <w:rFonts w:ascii="宋体" w:hAnsi="宋体" w:cs="宋体"/>
          <w:color w:val="000000" w:themeColor="text1"/>
          <w:szCs w:val="21"/>
          <w14:textFill>
            <w14:solidFill>
              <w14:schemeClr w14:val="tx1"/>
            </w14:solidFill>
          </w14:textFill>
        </w:rPr>
        <w:t>及影响</w:t>
      </w:r>
      <w:r>
        <w:rPr>
          <w:rFonts w:hint="eastAsia" w:ascii="宋体" w:hAnsi="宋体" w:cs="宋体"/>
          <w:color w:val="000000" w:themeColor="text1"/>
          <w:szCs w:val="21"/>
          <w14:textFill>
            <w14:solidFill>
              <w14:schemeClr w14:val="tx1"/>
            </w14:solidFill>
          </w14:textFill>
        </w:rPr>
        <w:t>投标报价的其他要素。投标人</w:t>
      </w:r>
      <w:r>
        <w:rPr>
          <w:rFonts w:ascii="宋体" w:hAnsi="宋体" w:cs="宋体"/>
          <w:color w:val="000000" w:themeColor="text1"/>
          <w:szCs w:val="21"/>
          <w14:textFill>
            <w14:solidFill>
              <w14:schemeClr w14:val="tx1"/>
            </w14:solidFill>
          </w14:textFill>
        </w:rPr>
        <w:t>根据</w:t>
      </w:r>
      <w:r>
        <w:rPr>
          <w:rFonts w:hint="eastAsia" w:ascii="宋体" w:hAnsi="宋体" w:cs="宋体"/>
          <w:color w:val="000000" w:themeColor="text1"/>
          <w:szCs w:val="21"/>
          <w14:textFill>
            <w14:solidFill>
              <w14:schemeClr w14:val="tx1"/>
            </w14:solidFill>
          </w14:textFill>
        </w:rPr>
        <w:t>投标</w:t>
      </w:r>
      <w:r>
        <w:rPr>
          <w:rFonts w:ascii="宋体" w:hAnsi="宋体" w:cs="宋体"/>
          <w:color w:val="000000" w:themeColor="text1"/>
          <w:szCs w:val="21"/>
          <w14:textFill>
            <w14:solidFill>
              <w14:schemeClr w14:val="tx1"/>
            </w14:solidFill>
          </w14:textFill>
        </w:rPr>
        <w:t>设计</w:t>
      </w:r>
      <w:r>
        <w:rPr>
          <w:rFonts w:hint="eastAsia" w:ascii="宋体" w:hAnsi="宋体" w:cs="宋体"/>
          <w:color w:val="000000" w:themeColor="text1"/>
          <w:szCs w:val="21"/>
          <w14:textFill>
            <w14:solidFill>
              <w14:schemeClr w14:val="tx1"/>
            </w14:solidFill>
          </w14:textFill>
        </w:rPr>
        <w:t>，结合</w:t>
      </w:r>
      <w:r>
        <w:rPr>
          <w:rFonts w:ascii="宋体" w:hAnsi="宋体" w:cs="宋体"/>
          <w:color w:val="000000" w:themeColor="text1"/>
          <w:szCs w:val="21"/>
          <w14:textFill>
            <w14:solidFill>
              <w14:schemeClr w14:val="tx1"/>
            </w14:solidFill>
          </w14:textFill>
        </w:rPr>
        <w:t>市场情况进行投标报价。</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3.2.3 投标人在投标截止时间前修改投标函中的投标报价总额，应同时修改投标文件“价格清单”中的相应报价，投标报价总额为各分项金额之和。此修改须符合本章第4.3款的有关要求。</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3.2.4投标人的投标报价不得超过最高投标限价，最高投标限价或其计算方法在投标人须知前附表中载明。</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3.2.5 投标报价的其他要求：</w:t>
      </w:r>
    </w:p>
    <w:p>
      <w:pPr>
        <w:wordWrap w:val="0"/>
        <w:spacing w:line="400" w:lineRule="exact"/>
        <w:ind w:firstLine="420" w:firstLineChars="200"/>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总体原则：①本项目招标文件要求；②国家现行的相关法律、法规要求；③项目所在地法规要求；④招标文件规定的各项工作内容。</w:t>
      </w:r>
    </w:p>
    <w:p>
      <w:pPr>
        <w:wordWrap w:val="0"/>
        <w:spacing w:line="400" w:lineRule="exact"/>
        <w:ind w:firstLine="420" w:firstLineChars="200"/>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（1）</w:t>
      </w:r>
      <w:bookmarkStart w:id="71" w:name="_Toc301257168"/>
      <w:r>
        <w:rPr>
          <w:color w:val="000000" w:themeColor="text1"/>
          <w:u w:val="single"/>
          <w14:textFill>
            <w14:solidFill>
              <w14:schemeClr w14:val="tx1"/>
            </w14:solidFill>
          </w14:textFill>
        </w:rPr>
        <w:t>设计费的计取：</w:t>
      </w:r>
      <w:r>
        <w:rPr>
          <w:rFonts w:hint="eastAsia"/>
          <w:color w:val="000000" w:themeColor="text1"/>
          <w:u w:val="single"/>
          <w14:textFill>
            <w14:solidFill>
              <w14:schemeClr w14:val="tx1"/>
            </w14:solidFill>
          </w14:textFill>
        </w:rPr>
        <w:t>投标人编制初步设计文件、施工图设计文件、非标准设备设计文件、设计代表进行现场技术服务、评审和评估等所需全部费用。</w:t>
      </w:r>
      <w:r>
        <w:rPr>
          <w:color w:val="000000" w:themeColor="text1"/>
          <w:u w:val="single"/>
          <w14:textFill>
            <w14:solidFill>
              <w14:schemeClr w14:val="tx1"/>
            </w14:solidFill>
          </w14:textFill>
        </w:rPr>
        <w:t>根据《工程勘察、设计收费标准》（2002年修订本）</w:t>
      </w:r>
      <w:r>
        <w:rPr>
          <w:rFonts w:hint="eastAsia"/>
          <w:color w:val="000000" w:themeColor="text1"/>
          <w:u w:val="single"/>
          <w14:textFill>
            <w14:solidFill>
              <w14:schemeClr w14:val="tx1"/>
            </w14:solidFill>
          </w14:textFill>
        </w:rPr>
        <w:t>、项目所在地有关规定</w:t>
      </w:r>
      <w:r>
        <w:rPr>
          <w:color w:val="000000" w:themeColor="text1"/>
          <w:u w:val="single"/>
          <w14:textFill>
            <w14:solidFill>
              <w14:schemeClr w14:val="tx1"/>
            </w14:solidFill>
          </w14:textFill>
        </w:rPr>
        <w:t>自</w:t>
      </w:r>
      <w:r>
        <w:rPr>
          <w:rFonts w:hint="eastAsia"/>
          <w:color w:val="000000" w:themeColor="text1"/>
          <w:u w:val="single"/>
          <w14:textFill>
            <w14:solidFill>
              <w14:schemeClr w14:val="tx1"/>
            </w14:solidFill>
          </w14:textFill>
        </w:rPr>
        <w:t>主</w:t>
      </w:r>
      <w:r>
        <w:rPr>
          <w:color w:val="000000" w:themeColor="text1"/>
          <w:u w:val="single"/>
          <w14:textFill>
            <w14:solidFill>
              <w14:schemeClr w14:val="tx1"/>
            </w14:solidFill>
          </w14:textFill>
        </w:rPr>
        <w:t>报价。</w:t>
      </w:r>
      <w:bookmarkEnd w:id="71"/>
    </w:p>
    <w:p>
      <w:pPr>
        <w:wordWrap w:val="0"/>
        <w:spacing w:line="400" w:lineRule="exact"/>
        <w:ind w:firstLine="420" w:firstLineChars="200"/>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（2）设备费</w:t>
      </w:r>
      <w:r>
        <w:rPr>
          <w:color w:val="000000" w:themeColor="text1"/>
          <w:u w:val="single"/>
          <w14:textFill>
            <w14:solidFill>
              <w14:schemeClr w14:val="tx1"/>
            </w14:solidFill>
          </w14:textFill>
        </w:rPr>
        <w:t>的计取</w:t>
      </w:r>
      <w:r>
        <w:rPr>
          <w:rFonts w:hint="eastAsia"/>
          <w:color w:val="000000" w:themeColor="text1"/>
          <w:u w:val="single"/>
          <w14:textFill>
            <w14:solidFill>
              <w14:schemeClr w14:val="tx1"/>
            </w14:solidFill>
          </w14:textFill>
        </w:rPr>
        <w:t>：包括国产设备生产与制造、国内运输、装卸与保险、报关、设备离岸、国际运输保险、设备到岸国征收的各项费用、以及相对应的缺陷责任期内的备品备件费用。</w:t>
      </w:r>
    </w:p>
    <w:p>
      <w:pPr>
        <w:wordWrap w:val="0"/>
        <w:spacing w:line="400" w:lineRule="exact"/>
        <w:ind w:firstLine="420" w:firstLineChars="200"/>
        <w:rPr>
          <w:color w:val="000000" w:themeColor="text1"/>
          <w:u w:val="single"/>
          <w14:textFill>
            <w14:solidFill>
              <w14:schemeClr w14:val="tx1"/>
            </w14:solidFill>
          </w14:textFill>
        </w:rPr>
      </w:pPr>
      <w:bookmarkStart w:id="72" w:name="_Toc301257169"/>
      <w:r>
        <w:rPr>
          <w:rFonts w:hint="eastAsia"/>
          <w:color w:val="000000" w:themeColor="text1"/>
          <w:u w:val="single"/>
          <w14:textFill>
            <w14:solidFill>
              <w14:schemeClr w14:val="tx1"/>
            </w14:solidFill>
          </w14:textFill>
        </w:rPr>
        <w:t>（3）施工工程价款</w:t>
      </w:r>
      <w:r>
        <w:rPr>
          <w:color w:val="000000" w:themeColor="text1"/>
          <w:u w:val="single"/>
          <w14:textFill>
            <w14:solidFill>
              <w14:schemeClr w14:val="tx1"/>
            </w14:solidFill>
          </w14:textFill>
        </w:rPr>
        <w:t>的计取</w:t>
      </w:r>
      <w:r>
        <w:rPr>
          <w:rFonts w:hint="eastAsia"/>
          <w:color w:val="000000" w:themeColor="text1"/>
          <w:u w:val="single"/>
          <w14:textFill>
            <w14:solidFill>
              <w14:schemeClr w14:val="tx1"/>
            </w14:solidFill>
          </w14:textFill>
        </w:rPr>
        <w:t>：</w:t>
      </w:r>
      <w:r>
        <w:rPr>
          <w:color w:val="000000" w:themeColor="text1"/>
          <w:u w:val="single"/>
          <w14:textFill>
            <w14:solidFill>
              <w14:schemeClr w14:val="tx1"/>
            </w14:solidFill>
          </w14:textFill>
        </w:rPr>
        <w:t>投标人按照</w:t>
      </w:r>
      <w:r>
        <w:rPr>
          <w:rFonts w:hint="eastAsia"/>
          <w:color w:val="000000" w:themeColor="text1"/>
          <w:u w:val="single"/>
          <w14:textFill>
            <w14:solidFill>
              <w14:schemeClr w14:val="tx1"/>
            </w14:solidFill>
          </w14:textFill>
        </w:rPr>
        <w:t>本招标文件投标文件的格式填写价格。</w:t>
      </w:r>
      <w:r>
        <w:rPr>
          <w:color w:val="000000" w:themeColor="text1"/>
          <w:u w:val="single"/>
          <w14:textFill>
            <w14:solidFill>
              <w14:schemeClr w14:val="tx1"/>
            </w14:solidFill>
          </w14:textFill>
        </w:rPr>
        <w:t>分部分项工程</w:t>
      </w:r>
      <w:r>
        <w:rPr>
          <w:rFonts w:hint="eastAsia"/>
          <w:color w:val="000000" w:themeColor="text1"/>
          <w:u w:val="single"/>
          <w14:textFill>
            <w14:solidFill>
              <w14:schemeClr w14:val="tx1"/>
            </w14:solidFill>
          </w14:textFill>
        </w:rPr>
        <w:t>的</w:t>
      </w:r>
      <w:r>
        <w:rPr>
          <w:color w:val="000000" w:themeColor="text1"/>
          <w:u w:val="single"/>
          <w14:textFill>
            <w14:solidFill>
              <w14:schemeClr w14:val="tx1"/>
            </w14:solidFill>
          </w14:textFill>
        </w:rPr>
        <w:t>内容</w:t>
      </w:r>
      <w:r>
        <w:rPr>
          <w:rFonts w:hint="eastAsia"/>
          <w:color w:val="000000" w:themeColor="text1"/>
          <w:u w:val="single"/>
          <w14:textFill>
            <w14:solidFill>
              <w14:schemeClr w14:val="tx1"/>
            </w14:solidFill>
          </w14:textFill>
        </w:rPr>
        <w:t>、</w:t>
      </w:r>
      <w:r>
        <w:rPr>
          <w:color w:val="000000" w:themeColor="text1"/>
          <w:u w:val="single"/>
          <w14:textFill>
            <w14:solidFill>
              <w14:schemeClr w14:val="tx1"/>
            </w14:solidFill>
          </w14:textFill>
        </w:rPr>
        <w:t>数量由投标人依据自己的设计</w:t>
      </w:r>
      <w:r>
        <w:rPr>
          <w:rFonts w:hint="eastAsia"/>
          <w:color w:val="000000" w:themeColor="text1"/>
          <w:u w:val="single"/>
          <w14:textFill>
            <w14:solidFill>
              <w14:schemeClr w14:val="tx1"/>
            </w14:solidFill>
          </w14:textFill>
        </w:rPr>
        <w:t>和</w:t>
      </w:r>
      <w:r>
        <w:rPr>
          <w:color w:val="000000" w:themeColor="text1"/>
          <w:u w:val="single"/>
          <w14:textFill>
            <w14:solidFill>
              <w14:schemeClr w14:val="tx1"/>
            </w14:solidFill>
          </w14:textFill>
        </w:rPr>
        <w:t>施工方案</w:t>
      </w:r>
      <w:r>
        <w:rPr>
          <w:rFonts w:hint="eastAsia"/>
          <w:color w:val="000000" w:themeColor="text1"/>
          <w:u w:val="single"/>
          <w14:textFill>
            <w14:solidFill>
              <w14:schemeClr w14:val="tx1"/>
            </w14:solidFill>
          </w14:textFill>
        </w:rPr>
        <w:t>（招标人提供的工程量清单仅供参考）、投标人本企业掌握的市场价格信息</w:t>
      </w:r>
      <w:r>
        <w:rPr>
          <w:color w:val="000000" w:themeColor="text1"/>
          <w:u w:val="single"/>
          <w14:textFill>
            <w14:solidFill>
              <w14:schemeClr w14:val="tx1"/>
            </w14:solidFill>
          </w14:textFill>
        </w:rPr>
        <w:t>填报，并报</w:t>
      </w:r>
      <w:r>
        <w:rPr>
          <w:rFonts w:hint="eastAsia"/>
          <w:color w:val="000000" w:themeColor="text1"/>
          <w:u w:val="single"/>
          <w14:textFill>
            <w14:solidFill>
              <w14:schemeClr w14:val="tx1"/>
            </w14:solidFill>
          </w14:textFill>
        </w:rPr>
        <w:t>综合</w:t>
      </w:r>
      <w:r>
        <w:rPr>
          <w:color w:val="000000" w:themeColor="text1"/>
          <w:u w:val="single"/>
          <w14:textFill>
            <w14:solidFill>
              <w14:schemeClr w14:val="tx1"/>
            </w14:solidFill>
          </w14:textFill>
        </w:rPr>
        <w:t>单价分析表</w:t>
      </w:r>
      <w:r>
        <w:rPr>
          <w:rFonts w:hint="eastAsia"/>
          <w:color w:val="000000" w:themeColor="text1"/>
          <w:u w:val="single"/>
          <w14:textFill>
            <w14:solidFill>
              <w14:schemeClr w14:val="tx1"/>
            </w14:solidFill>
          </w14:textFill>
        </w:rPr>
        <w:t>、主要施工机械台班及所有人工费用计算分析表</w:t>
      </w:r>
      <w:r>
        <w:rPr>
          <w:color w:val="000000" w:themeColor="text1"/>
          <w:u w:val="single"/>
          <w14:textFill>
            <w14:solidFill>
              <w14:schemeClr w14:val="tx1"/>
            </w14:solidFill>
          </w14:textFill>
        </w:rPr>
        <w:t>。对于本招标文件中所涉及到的各项施工措施费中可单列的有关费用，无论各投标人在投标报价中是否详细列明，都认为各投标人已经确认，并已列入其他已列出费用的范围中</w:t>
      </w:r>
      <w:r>
        <w:rPr>
          <w:rFonts w:hint="eastAsia"/>
          <w:color w:val="000000" w:themeColor="text1"/>
          <w:u w:val="single"/>
          <w14:textFill>
            <w14:solidFill>
              <w14:schemeClr w14:val="tx1"/>
            </w14:solidFill>
          </w14:textFill>
        </w:rPr>
        <w:t>（</w:t>
      </w:r>
      <w:bookmarkStart w:id="73" w:name="_Toc301257174"/>
      <w:r>
        <w:rPr>
          <w:color w:val="000000" w:themeColor="text1"/>
          <w:u w:val="single"/>
          <w14:textFill>
            <w14:solidFill>
              <w14:schemeClr w14:val="tx1"/>
            </w14:solidFill>
          </w14:textFill>
        </w:rPr>
        <w:t>投标报价中如有缺项或漏报，招标人将认为所有缺项或漏报的内容已包含在报价清单的其他单价和合价中，或视作投标优惠，中标后不予调整</w:t>
      </w:r>
      <w:bookmarkEnd w:id="73"/>
      <w:r>
        <w:rPr>
          <w:rFonts w:hint="eastAsia"/>
          <w:color w:val="000000" w:themeColor="text1"/>
          <w:u w:val="single"/>
          <w14:textFill>
            <w14:solidFill>
              <w14:schemeClr w14:val="tx1"/>
            </w14:solidFill>
          </w14:textFill>
        </w:rPr>
        <w:t>）</w:t>
      </w:r>
      <w:r>
        <w:rPr>
          <w:color w:val="000000" w:themeColor="text1"/>
          <w:u w:val="single"/>
          <w14:textFill>
            <w14:solidFill>
              <w14:schemeClr w14:val="tx1"/>
            </w14:solidFill>
          </w14:textFill>
        </w:rPr>
        <w:t>。</w:t>
      </w:r>
      <w:bookmarkEnd w:id="72"/>
    </w:p>
    <w:p>
      <w:pPr>
        <w:wordWrap w:val="0"/>
        <w:spacing w:line="400" w:lineRule="exact"/>
        <w:ind w:firstLine="420" w:firstLineChars="200"/>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除非合同中另有规定，投标人标价的工程量清单中所报的单价和合价，以及报价汇总表中的价格均已包括分部分项工程费、设备费、措施费以及其他费用等所有为实施本工程所需的施工设备、劳务、材料、安装调试、管理、维护、试车、缺陷的修复、缺陷责任期内的保修费、利润、规费和税金、社会保障费等招标文件规定及合同包含的所有风险、责任等各项应有的费用。</w:t>
      </w:r>
    </w:p>
    <w:p>
      <w:pPr>
        <w:wordWrap w:val="0"/>
        <w:spacing w:line="360" w:lineRule="auto"/>
        <w:ind w:firstLine="420" w:firstLineChars="200"/>
        <w:rPr>
          <w:rFonts w:ascii="宋体" w:hAnsi="宋体"/>
          <w:color w:val="000000" w:themeColor="text1"/>
          <w:szCs w:val="21"/>
          <w:u w:val="single"/>
          <w14:textFill>
            <w14:solidFill>
              <w14:schemeClr w14:val="tx1"/>
            </w14:solidFill>
          </w14:textFill>
        </w:rPr>
      </w:pPr>
      <w:r>
        <w:rPr>
          <w:rFonts w:hint="eastAsia"/>
          <w:color w:val="000000" w:themeColor="text1"/>
          <w:u w:val="single"/>
          <w14:textFill>
            <w14:solidFill>
              <w14:schemeClr w14:val="tx1"/>
            </w14:solidFill>
          </w14:textFill>
        </w:rPr>
        <w:t>（4）</w:t>
      </w:r>
      <w:bookmarkStart w:id="74" w:name="_Toc301257163"/>
      <w:r>
        <w:rPr>
          <w:rFonts w:ascii="宋体" w:hAnsi="宋体"/>
          <w:color w:val="000000" w:themeColor="text1"/>
          <w:szCs w:val="21"/>
          <w:u w:val="single"/>
          <w14:textFill>
            <w14:solidFill>
              <w14:schemeClr w14:val="tx1"/>
            </w14:solidFill>
          </w14:textFill>
        </w:rPr>
        <w:t>其他费：包括工程保险费</w:t>
      </w:r>
      <w:r>
        <w:rPr>
          <w:rFonts w:hint="eastAsia" w:ascii="宋体" w:hAnsi="宋体"/>
          <w:color w:val="000000" w:themeColor="text1"/>
          <w:szCs w:val="21"/>
          <w:u w:val="single"/>
          <w14:textFill>
            <w14:solidFill>
              <w14:schemeClr w14:val="tx1"/>
            </w14:solidFill>
          </w14:textFill>
        </w:rPr>
        <w:t>（含设计保险）</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联合试运转费、</w:t>
      </w:r>
      <w:r>
        <w:rPr>
          <w:rFonts w:ascii="宋体" w:hAnsi="宋体"/>
          <w:color w:val="000000" w:themeColor="text1"/>
          <w:szCs w:val="21"/>
          <w:u w:val="single"/>
          <w14:textFill>
            <w14:solidFill>
              <w14:schemeClr w14:val="tx1"/>
            </w14:solidFill>
          </w14:textFill>
        </w:rPr>
        <w:t>本工程实施过程中和本工程范围内</w:t>
      </w:r>
      <w:r>
        <w:rPr>
          <w:rFonts w:hint="eastAsia" w:ascii="宋体" w:hAnsi="宋体"/>
          <w:color w:val="000000" w:themeColor="text1"/>
          <w:szCs w:val="21"/>
          <w:u w:val="single"/>
          <w14:textFill>
            <w14:solidFill>
              <w14:schemeClr w14:val="tx1"/>
            </w14:solidFill>
          </w14:textFill>
        </w:rPr>
        <w:t>涉及的消防</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电力、</w:t>
      </w:r>
      <w:r>
        <w:rPr>
          <w:rFonts w:ascii="宋体" w:hAnsi="宋体"/>
          <w:color w:val="000000" w:themeColor="text1"/>
          <w:szCs w:val="21"/>
          <w:u w:val="single"/>
          <w14:textFill>
            <w14:solidFill>
              <w14:schemeClr w14:val="tx1"/>
            </w14:solidFill>
          </w14:textFill>
        </w:rPr>
        <w:t>环保等所有的管理协调</w:t>
      </w:r>
      <w:r>
        <w:rPr>
          <w:rFonts w:hint="eastAsia" w:ascii="宋体" w:hAnsi="宋体"/>
          <w:color w:val="000000" w:themeColor="text1"/>
          <w:szCs w:val="21"/>
          <w:u w:val="single"/>
          <w14:textFill>
            <w14:solidFill>
              <w14:schemeClr w14:val="tx1"/>
            </w14:solidFill>
          </w14:textFill>
        </w:rPr>
        <w:t>、赔（补）偿以及</w:t>
      </w:r>
      <w:r>
        <w:rPr>
          <w:rFonts w:ascii="宋体" w:hAnsi="宋体"/>
          <w:color w:val="000000" w:themeColor="text1"/>
          <w:szCs w:val="21"/>
          <w:u w:val="single"/>
          <w14:textFill>
            <w14:solidFill>
              <w14:schemeClr w14:val="tx1"/>
            </w14:solidFill>
          </w14:textFill>
        </w:rPr>
        <w:t>缺陷责任期</w:t>
      </w:r>
      <w:r>
        <w:rPr>
          <w:rFonts w:hint="eastAsia" w:ascii="宋体" w:hAnsi="宋体"/>
          <w:color w:val="000000" w:themeColor="text1"/>
          <w:szCs w:val="21"/>
          <w:u w:val="single"/>
          <w14:textFill>
            <w14:solidFill>
              <w14:schemeClr w14:val="tx1"/>
            </w14:solidFill>
          </w14:textFill>
        </w:rPr>
        <w:t>间</w:t>
      </w:r>
      <w:r>
        <w:rPr>
          <w:rFonts w:ascii="宋体" w:hAnsi="宋体"/>
          <w:color w:val="000000" w:themeColor="text1"/>
          <w:szCs w:val="21"/>
          <w:u w:val="single"/>
          <w14:textFill>
            <w14:solidFill>
              <w14:schemeClr w14:val="tx1"/>
            </w14:solidFill>
          </w14:textFill>
        </w:rPr>
        <w:t>（工程运行管理除外）的全部相关费用。</w:t>
      </w:r>
      <w:bookmarkEnd w:id="74"/>
    </w:p>
    <w:p>
      <w:pPr>
        <w:wordWrap w:val="0"/>
        <w:spacing w:line="360" w:lineRule="auto"/>
        <w:ind w:firstLine="420" w:firstLineChars="20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u w:val="single"/>
          <w14:textFill>
            <w14:solidFill>
              <w14:schemeClr w14:val="tx1"/>
            </w14:solidFill>
          </w14:textFill>
        </w:rPr>
        <w:t>（</w:t>
      </w:r>
      <w:r>
        <w:rPr>
          <w:rFonts w:ascii="宋体" w:hAnsi="宋体"/>
          <w:color w:val="000000" w:themeColor="text1"/>
          <w:szCs w:val="21"/>
          <w:u w:val="single"/>
          <w14:textFill>
            <w14:solidFill>
              <w14:schemeClr w14:val="tx1"/>
            </w14:solidFill>
          </w14:textFill>
        </w:rPr>
        <w:t>5）本项目土源由招标人提供，</w:t>
      </w:r>
      <w:r>
        <w:rPr>
          <w:rFonts w:hint="eastAsia" w:ascii="宋体" w:hAnsi="宋体"/>
          <w:color w:val="000000" w:themeColor="text1"/>
          <w:szCs w:val="21"/>
          <w:u w:val="single"/>
          <w14:textFill>
            <w14:solidFill>
              <w14:schemeClr w14:val="tx1"/>
            </w14:solidFill>
          </w14:textFill>
        </w:rPr>
        <w:t>土源距施工现场约</w:t>
      </w:r>
      <w:r>
        <w:rPr>
          <w:rFonts w:ascii="宋体" w:hAnsi="宋体"/>
          <w:color w:val="000000" w:themeColor="text1"/>
          <w:szCs w:val="21"/>
          <w:u w:val="single"/>
          <w14:textFill>
            <w14:solidFill>
              <w14:schemeClr w14:val="tx1"/>
            </w14:solidFill>
          </w14:textFill>
        </w:rPr>
        <w:t>3公里，投标报价须考虑：</w:t>
      </w:r>
    </w:p>
    <w:p>
      <w:pPr>
        <w:wordWrap w:val="0"/>
        <w:spacing w:line="360" w:lineRule="auto"/>
        <w:ind w:firstLine="420" w:firstLineChars="20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u w:val="single"/>
          <w14:textFill>
            <w14:solidFill>
              <w14:schemeClr w14:val="tx1"/>
            </w14:solidFill>
          </w14:textFill>
        </w:rPr>
        <w:t>土方挖运、施工区域内的土方填筑、二次开挖、二次运送余土至招标人指定区域并集中打堆；</w:t>
      </w:r>
    </w:p>
    <w:p>
      <w:pPr>
        <w:wordWrap w:val="0"/>
        <w:spacing w:line="400" w:lineRule="exact"/>
        <w:ind w:firstLine="420" w:firstLineChars="200"/>
        <w:rPr>
          <w:color w:val="000000" w:themeColor="text1"/>
          <w14:textFill>
            <w14:solidFill>
              <w14:schemeClr w14:val="tx1"/>
            </w14:solidFill>
          </w14:textFill>
        </w:rPr>
      </w:pPr>
      <w:r>
        <w:rPr>
          <w:rFonts w:hint="eastAsia"/>
          <w:color w:val="000000" w:themeColor="text1"/>
          <w:u w:val="single"/>
          <w14:textFill>
            <w14:solidFill>
              <w14:schemeClr w14:val="tx1"/>
            </w14:solidFill>
          </w14:textFill>
        </w:rPr>
        <w:t>（6）投标人应充分考虑本工程实施过程中和本工程范围内所有的管理协调工作可能对本工程造成的影响、损失等，并计入投标报价中，一旦中标签订合同后不得以上述管理协调工作对本工程的影响等再提出费用补偿或工期延长的要求。</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p>
    <w:p>
      <w:pPr>
        <w:pStyle w:val="5"/>
        <w:wordWrap w:val="0"/>
        <w:rPr>
          <w:rFonts w:ascii="宋体" w:hAnsi="宋体" w:eastAsia="宋体" w:cs="宋体"/>
          <w:color w:val="000000" w:themeColor="text1"/>
          <w14:textFill>
            <w14:solidFill>
              <w14:schemeClr w14:val="tx1"/>
            </w14:solidFill>
          </w14:textFill>
        </w:rPr>
      </w:pPr>
      <w:bookmarkStart w:id="75" w:name="_Toc30419"/>
      <w:bookmarkStart w:id="76" w:name="_Toc389065165"/>
      <w:r>
        <w:rPr>
          <w:rFonts w:hint="eastAsia" w:ascii="宋体" w:hAnsi="宋体" w:eastAsia="宋体" w:cs="宋体"/>
          <w:color w:val="000000" w:themeColor="text1"/>
          <w14:textFill>
            <w14:solidFill>
              <w14:schemeClr w14:val="tx1"/>
            </w14:solidFill>
          </w14:textFill>
        </w:rPr>
        <w:t>3.3 投标有效期</w:t>
      </w:r>
      <w:bookmarkEnd w:id="75"/>
      <w:bookmarkEnd w:id="76"/>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3.3.1 在投标人须知前附表规定的投标有效期内，投标人不得要求撤销或修改其投标文件。</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3.3.2 出现特殊情况需要延长投标有效期的，招标人将通知所有投标人延长投标有效期。投标人同意延长的，应相应延长其投标保证金的有效期，但不得要求或被允许修改或撤销其投标文件；投标人拒绝延长的，其投标失效，但投标人有权收回其投标保证金。</w:t>
      </w:r>
    </w:p>
    <w:p>
      <w:pPr>
        <w:pStyle w:val="5"/>
        <w:wordWrap w:val="0"/>
        <w:rPr>
          <w:rFonts w:ascii="宋体" w:hAnsi="宋体" w:eastAsia="宋体" w:cs="宋体"/>
          <w:color w:val="000000" w:themeColor="text1"/>
          <w14:textFill>
            <w14:solidFill>
              <w14:schemeClr w14:val="tx1"/>
            </w14:solidFill>
          </w14:textFill>
        </w:rPr>
      </w:pPr>
      <w:bookmarkStart w:id="77" w:name="_Toc389065166"/>
      <w:bookmarkStart w:id="78" w:name="_Toc4871"/>
      <w:r>
        <w:rPr>
          <w:rFonts w:hint="eastAsia" w:ascii="宋体" w:hAnsi="宋体" w:eastAsia="宋体" w:cs="宋体"/>
          <w:color w:val="000000" w:themeColor="text1"/>
          <w14:textFill>
            <w14:solidFill>
              <w14:schemeClr w14:val="tx1"/>
            </w14:solidFill>
          </w14:textFill>
        </w:rPr>
        <w:t>3.4 投标保证金</w:t>
      </w:r>
      <w:bookmarkEnd w:id="77"/>
      <w:bookmarkEnd w:id="78"/>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3.4.1 投标人必须在投标截止时间前，按投标人须知前附表的规定递交投标保证金。</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3.4.2 投标人不按本章第3.4.1项要求提交投标保证金的，其投标文件无效。</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3.4.3 </w:t>
      </w:r>
      <w:r>
        <w:rPr>
          <w:rFonts w:hint="eastAsia"/>
          <w:color w:val="000000" w:themeColor="text1"/>
          <w14:textFill>
            <w14:solidFill>
              <w14:schemeClr w14:val="tx1"/>
            </w14:solidFill>
          </w14:textFill>
        </w:rPr>
        <w:t>招标人与中标人签订合同后</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日内，向未中标的投标人和中标人退还投标保证金。</w:t>
      </w:r>
      <w:r>
        <w:rPr>
          <w:rFonts w:hint="eastAsia" w:ascii="宋体" w:hAnsi="宋体" w:cs="宋体"/>
          <w:color w:val="000000" w:themeColor="text1"/>
          <w:szCs w:val="21"/>
          <w14:textFill>
            <w14:solidFill>
              <w14:schemeClr w14:val="tx1"/>
            </w14:solidFill>
          </w14:textFill>
        </w:rPr>
        <w:t>退还方式见投标人须知前附表。</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3.4.4 有下列情形之一的，投标保证金将不予退还：</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①投标人在投标有效期内撤销或修改其投标文件；</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②中标人无正当理由不与招标人订立合同；</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③中标人在签订合同时向招标人提出附加条件；</w:t>
      </w:r>
    </w:p>
    <w:p>
      <w:pPr>
        <w:wordWrap w:val="0"/>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④中标人不按照招标文件要求提交履约保证金的。</w:t>
      </w:r>
    </w:p>
    <w:p>
      <w:pPr>
        <w:wordWrap w:val="0"/>
        <w:spacing w:line="360" w:lineRule="auto"/>
        <w:ind w:firstLine="420" w:firstLineChars="200"/>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⑤投标</w:t>
      </w:r>
      <w:r>
        <w:rPr>
          <w:rFonts w:hint="eastAsia"/>
          <w:color w:val="000000" w:themeColor="text1"/>
          <w:szCs w:val="21"/>
          <w14:textFill>
            <w14:solidFill>
              <w14:schemeClr w14:val="tx1"/>
            </w14:solidFill>
          </w14:textFill>
        </w:rPr>
        <w:t>人因串通投标、弄虚作假等违法行为被行政监</w:t>
      </w:r>
      <w:r>
        <w:rPr>
          <w:rFonts w:hint="eastAsia"/>
          <w:color w:val="000000" w:themeColor="text1"/>
          <w14:textFill>
            <w14:solidFill>
              <w14:schemeClr w14:val="tx1"/>
            </w14:solidFill>
          </w14:textFill>
        </w:rPr>
        <w:t>督部门行政处罚的，投标保证金不予退还，归招标人所有。</w:t>
      </w:r>
    </w:p>
    <w:p>
      <w:pPr>
        <w:pStyle w:val="5"/>
        <w:wordWrap w:val="0"/>
        <w:rPr>
          <w:rFonts w:ascii="宋体" w:hAnsi="宋体" w:eastAsia="宋体" w:cs="宋体"/>
          <w:color w:val="000000" w:themeColor="text1"/>
          <w14:textFill>
            <w14:solidFill>
              <w14:schemeClr w14:val="tx1"/>
            </w14:solidFill>
          </w14:textFill>
        </w:rPr>
      </w:pPr>
      <w:bookmarkStart w:id="79" w:name="_Toc389065167"/>
      <w:bookmarkStart w:id="80" w:name="_Toc29844"/>
      <w:r>
        <w:rPr>
          <w:rFonts w:hint="eastAsia" w:ascii="宋体" w:hAnsi="宋体" w:eastAsia="宋体" w:cs="宋体"/>
          <w:color w:val="000000" w:themeColor="text1"/>
          <w14:textFill>
            <w14:solidFill>
              <w14:schemeClr w14:val="tx1"/>
            </w14:solidFill>
          </w14:textFill>
        </w:rPr>
        <w:t>3.5 备选投标方案</w:t>
      </w:r>
      <w:bookmarkEnd w:id="79"/>
      <w:bookmarkEnd w:id="80"/>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5"/>
        <w:wordWrap w:val="0"/>
        <w:rPr>
          <w:rFonts w:ascii="宋体" w:hAnsi="宋体" w:eastAsia="宋体" w:cs="宋体"/>
          <w:color w:val="000000" w:themeColor="text1"/>
          <w14:textFill>
            <w14:solidFill>
              <w14:schemeClr w14:val="tx1"/>
            </w14:solidFill>
          </w14:textFill>
        </w:rPr>
      </w:pPr>
      <w:bookmarkStart w:id="81" w:name="_Toc17184"/>
      <w:r>
        <w:rPr>
          <w:rFonts w:hint="eastAsia" w:ascii="宋体" w:hAnsi="宋体" w:eastAsia="宋体" w:cs="宋体"/>
          <w:color w:val="000000" w:themeColor="text1"/>
          <w14:textFill>
            <w14:solidFill>
              <w14:schemeClr w14:val="tx1"/>
            </w14:solidFill>
          </w14:textFill>
        </w:rPr>
        <w:t>3.6 资格审查资料</w:t>
      </w:r>
      <w:bookmarkEnd w:id="81"/>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3.6.1 “投标人基本情况表”应附投标人营业执照及其年检合格的证明材料、资质证书副本等材料的复印件。</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3.6.2 “近年财务状况表”应附经会计师事务所或审计机构审计的财务会计报表，包括资产负债表、现金流量表、利润表和财务情况说明书等复印件，具体年份要求见投标人须知前附表。</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3.6.3 “近年完成的类似工程总承包项目情况表”应附中标通知书和合同协议书、工程接收证书（工程竣工验收证书）复印件；</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3.6.4 “正在实施和新承接的项目情况表”应附中标通知书和（或）合同协议书复印件。每张表格只填写一个项目，并标明序号。</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3.6.5投标人须知前附表规定接受联合体投标的，本章第3.6.1项至第3.6.4项规定的表格和资料应包括联合体各方相关情况。</w:t>
      </w:r>
    </w:p>
    <w:p>
      <w:pPr>
        <w:pStyle w:val="5"/>
        <w:wordWrap w:val="0"/>
        <w:rPr>
          <w:rFonts w:ascii="宋体" w:hAnsi="宋体" w:eastAsia="宋体" w:cs="宋体"/>
          <w:color w:val="000000" w:themeColor="text1"/>
          <w14:textFill>
            <w14:solidFill>
              <w14:schemeClr w14:val="tx1"/>
            </w14:solidFill>
          </w14:textFill>
        </w:rPr>
      </w:pPr>
      <w:bookmarkStart w:id="82" w:name="_Toc31954"/>
      <w:bookmarkStart w:id="83" w:name="_Toc389065168"/>
      <w:r>
        <w:rPr>
          <w:rFonts w:hint="eastAsia" w:ascii="宋体" w:hAnsi="宋体" w:eastAsia="宋体" w:cs="宋体"/>
          <w:color w:val="000000" w:themeColor="text1"/>
          <w14:textFill>
            <w14:solidFill>
              <w14:schemeClr w14:val="tx1"/>
            </w14:solidFill>
          </w14:textFill>
        </w:rPr>
        <w:t>3.7 投标文件的编制</w:t>
      </w:r>
      <w:bookmarkEnd w:id="82"/>
      <w:bookmarkEnd w:id="83"/>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3.7.1 投标文件应按第七章“投标文件格式”进行编写，如有必要可自行增加，作为投标文件的组成部分。其中，投标函附录在满足招标文件实质性要求的基础上，可以提出比招标文件要求更有利于招标人的承诺。</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3.7.2  投标文件应当对招标文件有关工期、投标有效期、质量要求、技术标准和要求、招标范围等实质性内容作出响应。</w:t>
      </w:r>
    </w:p>
    <w:p>
      <w:pPr>
        <w:wordWrap w:val="0"/>
        <w:spacing w:line="400" w:lineRule="exact"/>
        <w:ind w:firstLine="4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w:t>
      </w:r>
    </w:p>
    <w:p>
      <w:pPr>
        <w:wordWrap w:val="0"/>
        <w:spacing w:line="400" w:lineRule="exact"/>
        <w:ind w:firstLine="4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3.7.4投标文件正本一份，副本4份。正本和副本的封面上应清楚地标记“正本”或“副本”的字样。当副本和正本不一致时，以正本为准。</w:t>
      </w:r>
    </w:p>
    <w:p>
      <w:pPr>
        <w:wordWrap w:val="0"/>
        <w:spacing w:line="400" w:lineRule="exact"/>
        <w:ind w:firstLine="4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3.7.5 投标文件的正本与副本应分别装订成册，并编制目录，具体装订要求：</w:t>
      </w:r>
      <w:r>
        <w:rPr>
          <w:rFonts w:hint="eastAsia" w:ascii="宋体" w:hAnsi="宋体"/>
          <w:color w:val="000000" w:themeColor="text1"/>
          <w:kern w:val="0"/>
          <w:szCs w:val="21"/>
          <w14:textFill>
            <w14:solidFill>
              <w14:schemeClr w14:val="tx1"/>
            </w14:solidFill>
          </w14:textFill>
        </w:rPr>
        <w:t>投标文件须采用胶装、热熔装订</w:t>
      </w:r>
      <w:r>
        <w:rPr>
          <w:rFonts w:hint="eastAsia"/>
          <w:color w:val="000000" w:themeColor="text1"/>
          <w:szCs w:val="21"/>
          <w14:textFill>
            <w14:solidFill>
              <w14:schemeClr w14:val="tx1"/>
            </w14:solidFill>
          </w14:textFill>
        </w:rPr>
        <w:t>。</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p>
    <w:p>
      <w:pPr>
        <w:pStyle w:val="4"/>
        <w:wordWrap w:val="0"/>
        <w:spacing w:line="360" w:lineRule="auto"/>
        <w:rPr>
          <w:rFonts w:ascii="宋体" w:hAnsi="宋体" w:eastAsia="宋体" w:cs="宋体"/>
          <w:color w:val="000000" w:themeColor="text1"/>
          <w14:textFill>
            <w14:solidFill>
              <w14:schemeClr w14:val="tx1"/>
            </w14:solidFill>
          </w14:textFill>
        </w:rPr>
      </w:pPr>
      <w:bookmarkStart w:id="84" w:name="_Toc8936"/>
      <w:bookmarkStart w:id="85" w:name="_Toc389065169"/>
      <w:r>
        <w:rPr>
          <w:rFonts w:hint="eastAsia" w:ascii="宋体" w:hAnsi="宋体" w:eastAsia="宋体" w:cs="宋体"/>
          <w:color w:val="000000" w:themeColor="text1"/>
          <w14:textFill>
            <w14:solidFill>
              <w14:schemeClr w14:val="tx1"/>
            </w14:solidFill>
          </w14:textFill>
        </w:rPr>
        <w:t>4 投标</w:t>
      </w:r>
      <w:bookmarkEnd w:id="84"/>
      <w:bookmarkEnd w:id="85"/>
    </w:p>
    <w:p>
      <w:pPr>
        <w:pStyle w:val="5"/>
        <w:wordWrap w:val="0"/>
        <w:rPr>
          <w:rFonts w:ascii="宋体" w:hAnsi="宋体" w:eastAsia="宋体" w:cs="宋体"/>
          <w:color w:val="000000" w:themeColor="text1"/>
          <w14:textFill>
            <w14:solidFill>
              <w14:schemeClr w14:val="tx1"/>
            </w14:solidFill>
          </w14:textFill>
        </w:rPr>
      </w:pPr>
      <w:bookmarkStart w:id="86" w:name="_Toc11670"/>
      <w:bookmarkStart w:id="87" w:name="_Toc389065170"/>
      <w:r>
        <w:rPr>
          <w:rFonts w:hint="eastAsia" w:ascii="宋体" w:hAnsi="宋体" w:eastAsia="宋体" w:cs="宋体"/>
          <w:color w:val="000000" w:themeColor="text1"/>
          <w14:textFill>
            <w14:solidFill>
              <w14:schemeClr w14:val="tx1"/>
            </w14:solidFill>
          </w14:textFill>
        </w:rPr>
        <w:t>4.1</w:t>
      </w:r>
      <w:r>
        <w:rPr>
          <w:rFonts w:hint="eastAsia" w:ascii="宋体" w:hAnsi="宋体" w:eastAsia="宋体" w:cs="宋体"/>
          <w:color w:val="000000" w:themeColor="text1"/>
          <w:szCs w:val="24"/>
          <w14:textFill>
            <w14:solidFill>
              <w14:schemeClr w14:val="tx1"/>
            </w14:solidFill>
          </w14:textFill>
        </w:rPr>
        <w:t>投标文件的密封和标记</w:t>
      </w:r>
      <w:bookmarkEnd w:id="86"/>
      <w:bookmarkEnd w:id="87"/>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投标文件应清楚地标记“正本”、“副本”字样，密封于“</w:t>
      </w:r>
      <w:r>
        <w:rPr>
          <w:rFonts w:hint="eastAsia"/>
          <w:color w:val="000000" w:themeColor="text1"/>
          <w14:textFill>
            <w14:solidFill>
              <w14:schemeClr w14:val="tx1"/>
            </w14:solidFill>
          </w14:textFill>
        </w:rPr>
        <w:t>资格审查资料</w:t>
      </w:r>
      <w:r>
        <w:rPr>
          <w:rFonts w:hint="eastAsia" w:ascii="宋体" w:hAnsi="宋体" w:cs="宋体"/>
          <w:color w:val="000000" w:themeColor="text1"/>
          <w:szCs w:val="21"/>
          <w14:textFill>
            <w14:solidFill>
              <w14:schemeClr w14:val="tx1"/>
            </w14:solidFill>
          </w14:textFill>
        </w:rPr>
        <w:t>”</w:t>
      </w:r>
      <w:r>
        <w:rPr>
          <w:rFonts w:hint="eastAsia"/>
          <w:color w:val="000000" w:themeColor="text1"/>
          <w14:textFill>
            <w14:solidFill>
              <w14:schemeClr w14:val="tx1"/>
            </w14:solidFill>
          </w14:textFill>
        </w:rPr>
        <w:t>、“商务标”“技术标”三个</w:t>
      </w:r>
      <w:r>
        <w:rPr>
          <w:rFonts w:hint="eastAsia" w:ascii="宋体" w:hAnsi="宋体" w:cs="宋体"/>
          <w:color w:val="000000" w:themeColor="text1"/>
          <w:szCs w:val="21"/>
          <w14:textFill>
            <w14:solidFill>
              <w14:schemeClr w14:val="tx1"/>
            </w14:solidFill>
          </w14:textFill>
        </w:rPr>
        <w:t>包装密封袋内提交；</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封套上分别写明</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招标人名称：</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项目名称：</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标书名称：</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投标人名称，并加盖投标人公章。</w:t>
      </w:r>
    </w:p>
    <w:p>
      <w:pPr>
        <w:pStyle w:val="5"/>
        <w:wordWrap w:val="0"/>
        <w:rPr>
          <w:rFonts w:ascii="宋体" w:hAnsi="宋体" w:eastAsia="宋体" w:cs="宋体"/>
          <w:color w:val="000000" w:themeColor="text1"/>
          <w14:textFill>
            <w14:solidFill>
              <w14:schemeClr w14:val="tx1"/>
            </w14:solidFill>
          </w14:textFill>
        </w:rPr>
      </w:pPr>
      <w:bookmarkStart w:id="88" w:name="_Toc29549"/>
      <w:bookmarkStart w:id="89" w:name="_Toc389065171"/>
      <w:r>
        <w:rPr>
          <w:rFonts w:hint="eastAsia" w:ascii="宋体" w:hAnsi="宋体" w:eastAsia="宋体" w:cs="宋体"/>
          <w:color w:val="000000" w:themeColor="text1"/>
          <w14:textFill>
            <w14:solidFill>
              <w14:schemeClr w14:val="tx1"/>
            </w14:solidFill>
          </w14:textFill>
        </w:rPr>
        <w:t>4.2 投标文件的递交</w:t>
      </w:r>
      <w:bookmarkEnd w:id="88"/>
      <w:bookmarkEnd w:id="89"/>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4.2.1 投标人应在投标人须知前附表规定的投标截止时间前递交投标文件。</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4.2.2 投标人递交投标文件的地点：见投标人须知前附表。</w:t>
      </w:r>
    </w:p>
    <w:p>
      <w:pPr>
        <w:wordWrap w:val="0"/>
        <w:spacing w:line="360" w:lineRule="auto"/>
        <w:ind w:firstLine="420" w:firstLineChars="200"/>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4.2.3 除投标人须知前附表另有规定外，投标人所递交的投标文件不予退还。</w:t>
      </w:r>
    </w:p>
    <w:p>
      <w:pPr>
        <w:pStyle w:val="5"/>
        <w:wordWrap w:val="0"/>
        <w:rPr>
          <w:rFonts w:ascii="宋体" w:hAnsi="宋体" w:eastAsia="宋体" w:cs="宋体"/>
          <w:color w:val="000000" w:themeColor="text1"/>
          <w14:textFill>
            <w14:solidFill>
              <w14:schemeClr w14:val="tx1"/>
            </w14:solidFill>
          </w14:textFill>
        </w:rPr>
      </w:pPr>
      <w:bookmarkStart w:id="90" w:name="_Toc389065172"/>
      <w:bookmarkStart w:id="91" w:name="_Toc6707"/>
      <w:r>
        <w:rPr>
          <w:rFonts w:hint="eastAsia" w:ascii="宋体" w:hAnsi="宋体" w:eastAsia="宋体" w:cs="宋体"/>
          <w:color w:val="000000" w:themeColor="text1"/>
          <w14:textFill>
            <w14:solidFill>
              <w14:schemeClr w14:val="tx1"/>
            </w14:solidFill>
          </w14:textFill>
        </w:rPr>
        <w:t>4.3 投标文件的修改与撤回</w:t>
      </w:r>
      <w:bookmarkEnd w:id="90"/>
      <w:bookmarkEnd w:id="91"/>
    </w:p>
    <w:p>
      <w:pPr>
        <w:wordWrap w:val="0"/>
        <w:spacing w:line="360" w:lineRule="auto"/>
        <w:ind w:firstLine="420" w:firstLineChars="200"/>
        <w:rPr>
          <w:rFonts w:ascii="宋体" w:hAnsi="宋体" w:cs="宋体"/>
          <w:color w:val="000000" w:themeColor="text1"/>
          <w:szCs w:val="21"/>
          <w14:textFill>
            <w14:solidFill>
              <w14:schemeClr w14:val="tx1"/>
            </w14:solidFill>
          </w14:textFill>
        </w:rPr>
      </w:pPr>
      <w:bookmarkStart w:id="92" w:name="_Toc389065173"/>
      <w:r>
        <w:rPr>
          <w:rFonts w:hint="eastAsia" w:ascii="宋体" w:hAnsi="宋体" w:cs="宋体"/>
          <w:color w:val="000000" w:themeColor="text1"/>
          <w:szCs w:val="21"/>
          <w14:textFill>
            <w14:solidFill>
              <w14:schemeClr w14:val="tx1"/>
            </w14:solidFill>
          </w14:textFill>
        </w:rPr>
        <w:t>4.3.1 在投标人须知前附表规定的投标截止时间前，投标人可以修改或撤回已递交的投标文件，但应以书面形式通知招标人。</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4.3.2 投标人修改或撤回已递交投标文件的书面通知应按照本章第3.7.2 项的要求签字或盖章。招标人收到书面通知后，向投标人出具签收凭证。</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4.3.3 修改的内容为投标文件的组成部分。修改的投标文件应按照本章第3 条、第4 条规定进行编制、密封、标记和递交，并标明“修改”字样。</w:t>
      </w:r>
    </w:p>
    <w:p>
      <w:pPr>
        <w:pStyle w:val="5"/>
        <w:wordWrap w:val="0"/>
        <w:rPr>
          <w:rFonts w:ascii="宋体" w:hAnsi="宋体" w:eastAsia="宋体" w:cs="宋体"/>
          <w:color w:val="000000" w:themeColor="text1"/>
          <w14:textFill>
            <w14:solidFill>
              <w14:schemeClr w14:val="tx1"/>
            </w14:solidFill>
          </w14:textFill>
        </w:rPr>
      </w:pPr>
      <w:bookmarkStart w:id="93" w:name="_Toc397928577"/>
      <w:bookmarkStart w:id="94" w:name="_Toc503454085"/>
      <w:bookmarkStart w:id="95" w:name="_Toc11740"/>
      <w:bookmarkStart w:id="96" w:name="_Toc32562"/>
      <w:r>
        <w:rPr>
          <w:rFonts w:hint="eastAsia" w:ascii="宋体" w:hAnsi="宋体" w:eastAsia="宋体" w:cs="宋体"/>
          <w:color w:val="000000" w:themeColor="text1"/>
          <w14:textFill>
            <w14:solidFill>
              <w14:schemeClr w14:val="tx1"/>
            </w14:solidFill>
          </w14:textFill>
        </w:rPr>
        <w:t>4.4  不予接收的投标文件</w:t>
      </w:r>
      <w:bookmarkEnd w:id="93"/>
      <w:bookmarkEnd w:id="94"/>
      <w:bookmarkEnd w:id="95"/>
      <w:bookmarkEnd w:id="96"/>
    </w:p>
    <w:p>
      <w:pPr>
        <w:wordWrap w:val="0"/>
        <w:spacing w:line="400" w:lineRule="exact"/>
        <w:ind w:firstLine="4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4.4.1未按本章第4.1.1款规定密封的投标文件，招标人有权不予接收。</w:t>
      </w:r>
    </w:p>
    <w:p>
      <w:pPr>
        <w:wordWrap w:val="0"/>
        <w:spacing w:line="400" w:lineRule="exact"/>
        <w:ind w:firstLine="4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4.4.2逾期送达或者未送达指定地点的投标文件，招标人不予接收。</w:t>
      </w:r>
    </w:p>
    <w:p>
      <w:pPr>
        <w:wordWrap w:val="0"/>
        <w:spacing w:line="400" w:lineRule="exact"/>
        <w:ind w:firstLine="4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4.4.3其他不予接收的情形。</w:t>
      </w:r>
    </w:p>
    <w:p>
      <w:pPr>
        <w:wordWrap w:val="0"/>
        <w:spacing w:line="360" w:lineRule="auto"/>
        <w:ind w:firstLine="420" w:firstLineChars="200"/>
        <w:rPr>
          <w:rFonts w:ascii="宋体" w:hAnsi="宋体" w:cs="宋体"/>
          <w:color w:val="000000" w:themeColor="text1"/>
          <w14:textFill>
            <w14:solidFill>
              <w14:schemeClr w14:val="tx1"/>
            </w14:solidFill>
          </w14:textFill>
        </w:rPr>
      </w:pPr>
    </w:p>
    <w:p>
      <w:pPr>
        <w:pStyle w:val="4"/>
        <w:wordWrap w:val="0"/>
        <w:spacing w:line="360" w:lineRule="auto"/>
        <w:rPr>
          <w:rFonts w:ascii="宋体" w:hAnsi="宋体" w:eastAsia="宋体" w:cs="宋体"/>
          <w:color w:val="000000" w:themeColor="text1"/>
          <w14:textFill>
            <w14:solidFill>
              <w14:schemeClr w14:val="tx1"/>
            </w14:solidFill>
          </w14:textFill>
        </w:rPr>
      </w:pPr>
      <w:bookmarkStart w:id="97" w:name="_Toc15797"/>
      <w:r>
        <w:rPr>
          <w:rFonts w:hint="eastAsia" w:ascii="宋体" w:hAnsi="宋体" w:eastAsia="宋体" w:cs="宋体"/>
          <w:color w:val="000000" w:themeColor="text1"/>
          <w14:textFill>
            <w14:solidFill>
              <w14:schemeClr w14:val="tx1"/>
            </w14:solidFill>
          </w14:textFill>
        </w:rPr>
        <w:t>5 开标</w:t>
      </w:r>
      <w:bookmarkEnd w:id="92"/>
      <w:bookmarkEnd w:id="97"/>
    </w:p>
    <w:p>
      <w:pPr>
        <w:pStyle w:val="5"/>
        <w:wordWrap w:val="0"/>
        <w:rPr>
          <w:rFonts w:ascii="宋体" w:hAnsi="宋体" w:eastAsia="宋体" w:cs="宋体"/>
          <w:color w:val="000000" w:themeColor="text1"/>
          <w14:textFill>
            <w14:solidFill>
              <w14:schemeClr w14:val="tx1"/>
            </w14:solidFill>
          </w14:textFill>
        </w:rPr>
      </w:pPr>
      <w:bookmarkStart w:id="98" w:name="_Toc389065174"/>
      <w:bookmarkStart w:id="99" w:name="_Toc3415"/>
      <w:r>
        <w:rPr>
          <w:rFonts w:hint="eastAsia" w:ascii="宋体" w:hAnsi="宋体" w:eastAsia="宋体" w:cs="宋体"/>
          <w:color w:val="000000" w:themeColor="text1"/>
          <w14:textFill>
            <w14:solidFill>
              <w14:schemeClr w14:val="tx1"/>
            </w14:solidFill>
          </w14:textFill>
        </w:rPr>
        <w:t>5.1 开标时间、地点</w:t>
      </w:r>
      <w:bookmarkEnd w:id="98"/>
      <w:r>
        <w:rPr>
          <w:rFonts w:hint="eastAsia" w:ascii="宋体" w:hAnsi="宋体" w:eastAsia="宋体" w:cs="宋体"/>
          <w:color w:val="000000" w:themeColor="text1"/>
          <w14:textFill>
            <w14:solidFill>
              <w14:schemeClr w14:val="tx1"/>
            </w14:solidFill>
          </w14:textFill>
        </w:rPr>
        <w:t>和投标人参会代表</w:t>
      </w:r>
      <w:bookmarkEnd w:id="99"/>
    </w:p>
    <w:p>
      <w:pPr>
        <w:wordWrap w:val="0"/>
        <w:spacing w:line="400" w:lineRule="exact"/>
        <w:ind w:firstLine="420" w:firstLineChars="200"/>
        <w:rPr>
          <w:rFonts w:ascii="Times New Roman" w:hAnsi="Times New Roman"/>
          <w:color w:val="000000" w:themeColor="text1"/>
          <w14:textFill>
            <w14:solidFill>
              <w14:schemeClr w14:val="tx1"/>
            </w14:solidFill>
          </w14:textFill>
        </w:rPr>
      </w:pPr>
      <w:bookmarkStart w:id="100" w:name="_Toc389065175"/>
      <w:r>
        <w:rPr>
          <w:rFonts w:hint="eastAsia" w:ascii="Times New Roman" w:hAnsi="Times New Roman"/>
          <w:color w:val="000000" w:themeColor="text1"/>
          <w14:textFill>
            <w14:solidFill>
              <w14:schemeClr w14:val="tx1"/>
            </w14:solidFill>
          </w14:textFill>
        </w:rPr>
        <w:t>5.1.1</w:t>
      </w:r>
      <w:r>
        <w:rPr>
          <w:rFonts w:ascii="Times New Roman" w:hAnsi="Times New Roman"/>
          <w:color w:val="000000" w:themeColor="text1"/>
          <w14:textFill>
            <w14:solidFill>
              <w14:schemeClr w14:val="tx1"/>
            </w14:solidFill>
          </w14:textFill>
        </w:rPr>
        <w:t>招标人在本章第4.2.1项规定的投标截止时间</w:t>
      </w:r>
      <w:r>
        <w:rPr>
          <w:rFonts w:hint="eastAsia" w:ascii="Times New Roman" w:hAnsi="Times New Roman"/>
          <w:color w:val="000000" w:themeColor="text1"/>
          <w14:textFill>
            <w14:solidFill>
              <w14:schemeClr w14:val="tx1"/>
            </w14:solidFill>
          </w14:textFill>
        </w:rPr>
        <w:t>（开标时间）</w:t>
      </w:r>
      <w:r>
        <w:rPr>
          <w:rFonts w:ascii="Times New Roman" w:hAnsi="Times New Roman"/>
          <w:color w:val="000000" w:themeColor="text1"/>
          <w14:textFill>
            <w14:solidFill>
              <w14:schemeClr w14:val="tx1"/>
            </w14:solidFill>
          </w14:textFill>
        </w:rPr>
        <w:t>和投标人须知前附表规定的地点公开开标，并邀请所有投标人的法定代表人或其委托代理人准时参加。</w:t>
      </w:r>
      <w:r>
        <w:rPr>
          <w:rFonts w:hint="eastAsia" w:ascii="Times New Roman" w:hAnsi="Times New Roman"/>
          <w:color w:val="000000" w:themeColor="text1"/>
          <w14:textFill>
            <w14:solidFill>
              <w14:schemeClr w14:val="tx1"/>
            </w14:solidFill>
          </w14:textFill>
        </w:rPr>
        <w:t>并在招标人按开标程序进行点名时，向招标人出示</w:t>
      </w:r>
      <w:r>
        <w:rPr>
          <w:rFonts w:hint="eastAsia" w:ascii="Times New Roman" w:hAnsi="Times New Roman"/>
          <w:b/>
          <w:bCs/>
          <w:color w:val="000000" w:themeColor="text1"/>
          <w14:textFill>
            <w14:solidFill>
              <w14:schemeClr w14:val="tx1"/>
            </w14:solidFill>
          </w14:textFill>
        </w:rPr>
        <w:t>本人身份证</w:t>
      </w:r>
      <w:r>
        <w:rPr>
          <w:rFonts w:hint="eastAsia" w:ascii="Times New Roman" w:hAnsi="Times New Roman"/>
          <w:color w:val="000000" w:themeColor="text1"/>
          <w14:textFill>
            <w14:solidFill>
              <w14:schemeClr w14:val="tx1"/>
            </w14:solidFill>
          </w14:textFill>
        </w:rPr>
        <w:t>，以证明其出席，否则视为该投标人自动放弃该项目的投标，其投标书视为无效标书。</w:t>
      </w:r>
    </w:p>
    <w:p>
      <w:pPr>
        <w:wordWrap w:val="0"/>
        <w:spacing w:line="400" w:lineRule="exact"/>
        <w:ind w:firstLine="42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开标时，投标人不需出现在开标现场，仅需在任意地点通过 PC端或移动端的“腾讯会议”及相应的配套硬件设备参加开标会议。</w:t>
      </w:r>
    </w:p>
    <w:p>
      <w:pPr>
        <w:wordWrap w:val="0"/>
        <w:spacing w:line="400" w:lineRule="exact"/>
        <w:ind w:firstLine="42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5.1.2参加开标会议的方法：</w:t>
      </w:r>
    </w:p>
    <w:p>
      <w:pPr>
        <w:wordWrap w:val="0"/>
        <w:spacing w:line="400" w:lineRule="exact"/>
        <w:ind w:firstLine="42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⑴标人投标截止时间前须通过电脑或智能手机搜索下载并安装“腾讯会议”，完成注册。</w:t>
      </w:r>
    </w:p>
    <w:p>
      <w:pPr>
        <w:wordWrap w:val="0"/>
        <w:spacing w:line="400" w:lineRule="exact"/>
        <w:ind w:firstLine="42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⑵投标截止时间前10分钟，招标代理将开启会议系统，各投标人登入腾讯会议后点击“加入会议”，输入会议号“</w:t>
      </w:r>
      <w:r>
        <w:rPr>
          <w:rFonts w:hint="eastAsia"/>
          <w:color w:val="000000" w:themeColor="text1"/>
          <w:u w:val="single"/>
          <w:lang w:val="en-US" w:eastAsia="zh-CN"/>
          <w14:textFill>
            <w14:solidFill>
              <w14:schemeClr w14:val="tx1"/>
            </w14:solidFill>
          </w14:textFill>
        </w:rPr>
        <w:t>528747023</w:t>
      </w:r>
      <w:r>
        <w:rPr>
          <w:rFonts w:hint="eastAsia" w:ascii="Times New Roman" w:hAnsi="Times New Roman"/>
          <w:color w:val="000000" w:themeColor="text1"/>
          <w:u w:val="single"/>
          <w14:textFill>
            <w14:solidFill>
              <w14:schemeClr w14:val="tx1"/>
            </w14:solidFill>
          </w14:textFill>
        </w:rPr>
        <w:t>”</w:t>
      </w:r>
      <w:r>
        <w:rPr>
          <w:rFonts w:hint="eastAsia" w:ascii="Times New Roman" w:hAnsi="Times New Roman"/>
          <w:color w:val="000000" w:themeColor="text1"/>
          <w14:textFill>
            <w14:solidFill>
              <w14:schemeClr w14:val="tx1"/>
            </w14:solidFill>
          </w14:textFill>
        </w:rPr>
        <w:t>，“您的姓名”按“单位简称+授权委托人姓名”格式填写，然后点击“加入会议”。</w:t>
      </w:r>
    </w:p>
    <w:p>
      <w:pPr>
        <w:wordWrap w:val="0"/>
        <w:spacing w:line="400" w:lineRule="exact"/>
        <w:ind w:firstLine="42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5.1.3 因本工程采用不见面开标模式，故招</w:t>
      </w:r>
      <w:bookmarkStart w:id="170" w:name="_GoBack"/>
      <w:bookmarkEnd w:id="170"/>
      <w:r>
        <w:rPr>
          <w:rFonts w:hint="eastAsia" w:ascii="Times New Roman" w:hAnsi="Times New Roman"/>
          <w:color w:val="000000" w:themeColor="text1"/>
          <w14:textFill>
            <w14:solidFill>
              <w14:schemeClr w14:val="tx1"/>
            </w14:solidFill>
          </w14:textFill>
        </w:rPr>
        <w:t>标人特别说明如下：</w:t>
      </w:r>
    </w:p>
    <w:p>
      <w:pPr>
        <w:wordWrap w:val="0"/>
        <w:spacing w:line="400" w:lineRule="exact"/>
        <w:ind w:firstLine="42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⑴投标人投标文件的编制和递交，应依照招标文件的规定进行。如未按招标文件要求编制、递交投标文件，将可能导致废标，其后果由投标人自负。特别说明：由于本项目时间紧、任务重，又恰逢防控新型冠状病毒肺炎疫情期，因某种原因无法在规定的时间内递交投标文件的，视同放弃此次投标机会，不得向招标人、监管部门、招标代理机构等所有相关部门追责。</w:t>
      </w:r>
    </w:p>
    <w:p>
      <w:pPr>
        <w:wordWrap w:val="0"/>
        <w:spacing w:line="400" w:lineRule="exact"/>
        <w:ind w:firstLine="42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⑵开标时间前10分钟，招标人、招标代理机构提前进入开标会议系统，播放测试音频，各投标人的授权委托人或法人代表于规定时间内进入开标会议系统收听观看实时音视频交互并及时在讨论组中反馈，未按时加入开标会议系统的或未能在开标会议系统内全程参与交互的，视为放弃交互和放弃对开标全过程提疑的权利，投标人无法看到唱标、开标结果等实时情况，导致的一切后果由投标人承担。</w:t>
      </w:r>
    </w:p>
    <w:p>
      <w:pPr>
        <w:wordWrap w:val="0"/>
        <w:spacing w:line="400" w:lineRule="exact"/>
        <w:ind w:firstLine="42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 xml:space="preserve">⑶开标全过程中，各投标人参与远程交互的授权委托人或法人代表应始终为同一个人，中途不得更换，在废标、澄清、提疑等特殊情况下需要交互时，投标人一端参与交互的人员将均被视为是投标人的授权委托人或法人代表，投标人不得以不承认交互人员的资格或身份等为借口抵赖推脱，投标人自行承担随意更换人员所导致的一切后果。 </w:t>
      </w:r>
    </w:p>
    <w:p>
      <w:pPr>
        <w:wordWrap w:val="0"/>
        <w:spacing w:line="400" w:lineRule="exact"/>
        <w:ind w:firstLine="42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 xml:space="preserve">⑷为顺利实现本项目开评标的远程交互，建议投标人配置能够实现远程音视频通话的高配置笔记本电脑或手机，进入开标会议后确保网络通畅、稳定，为保证交互效果，建议投标人选择封闭安静的地点参与远程交互。因投标人自身软硬件配备不齐全或发生故障等问题而导致在交互过程中出现不稳定或中断等情况的，由投标人自身承担一切后果。 </w:t>
      </w:r>
    </w:p>
    <w:p>
      <w:pPr>
        <w:wordWrap w:val="0"/>
        <w:spacing w:line="400" w:lineRule="exact"/>
        <w:ind w:firstLine="42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⑸友情提醒：投标人如对上述腾讯会议软件等有疑问的，请尽早和软件公司的服务人员或其他专业人员联系，他们会根据投标人要求，提供必要的培训和技术支持。</w:t>
      </w:r>
    </w:p>
    <w:p>
      <w:pPr>
        <w:wordWrap w:val="0"/>
        <w:spacing w:line="400" w:lineRule="exact"/>
        <w:ind w:firstLine="42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腾讯客服联系方式：0755-83765566</w:t>
      </w:r>
    </w:p>
    <w:p>
      <w:pPr>
        <w:wordWrap w:val="0"/>
        <w:spacing w:line="400" w:lineRule="exact"/>
        <w:ind w:firstLine="42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招标代理业务技术支持联系人：管义莹   联系电话：15722588752</w:t>
      </w:r>
    </w:p>
    <w:p>
      <w:pPr>
        <w:pStyle w:val="5"/>
        <w:wordWrap w:val="0"/>
        <w:rPr>
          <w:rFonts w:ascii="宋体" w:hAnsi="宋体" w:eastAsia="宋体" w:cs="宋体"/>
          <w:color w:val="000000" w:themeColor="text1"/>
          <w14:textFill>
            <w14:solidFill>
              <w14:schemeClr w14:val="tx1"/>
            </w14:solidFill>
          </w14:textFill>
        </w:rPr>
      </w:pPr>
      <w:bookmarkStart w:id="101" w:name="_Toc16860"/>
      <w:r>
        <w:rPr>
          <w:rFonts w:hint="eastAsia" w:ascii="宋体" w:hAnsi="宋体" w:eastAsia="宋体" w:cs="宋体"/>
          <w:color w:val="000000" w:themeColor="text1"/>
          <w14:textFill>
            <w14:solidFill>
              <w14:schemeClr w14:val="tx1"/>
            </w14:solidFill>
          </w14:textFill>
        </w:rPr>
        <w:t>5.2 开标程序</w:t>
      </w:r>
      <w:bookmarkEnd w:id="100"/>
      <w:bookmarkEnd w:id="101"/>
    </w:p>
    <w:p>
      <w:pPr>
        <w:wordWrap w:val="0"/>
        <w:spacing w:line="400" w:lineRule="exact"/>
        <w:ind w:firstLine="420"/>
        <w:rPr>
          <w:color w:val="000000" w:themeColor="text1"/>
          <w:szCs w:val="21"/>
          <w14:textFill>
            <w14:solidFill>
              <w14:schemeClr w14:val="tx1"/>
            </w14:solidFill>
          </w14:textFill>
        </w:rPr>
      </w:pPr>
      <w:bookmarkStart w:id="102" w:name="_Toc389065176"/>
      <w:r>
        <w:rPr>
          <w:rFonts w:hint="eastAsia"/>
          <w:color w:val="000000" w:themeColor="text1"/>
          <w:szCs w:val="21"/>
          <w14:textFill>
            <w14:solidFill>
              <w14:schemeClr w14:val="tx1"/>
            </w14:solidFill>
          </w14:textFill>
        </w:rPr>
        <w:t>5.2.1 主持人按下列程序进行开标：</w:t>
      </w:r>
    </w:p>
    <w:p>
      <w:pPr>
        <w:wordWrap w:val="0"/>
        <w:spacing w:line="400" w:lineRule="exact"/>
        <w:ind w:firstLine="4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（1）宣布开标纪律；</w:t>
      </w:r>
    </w:p>
    <w:p>
      <w:pPr>
        <w:wordWrap w:val="0"/>
        <w:spacing w:line="400" w:lineRule="exact"/>
        <w:ind w:firstLine="4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（2）公布在投标截止时间前递交投标文件的投标人名称；</w:t>
      </w:r>
    </w:p>
    <w:p>
      <w:pPr>
        <w:wordWrap w:val="0"/>
        <w:spacing w:line="400" w:lineRule="exact"/>
        <w:ind w:firstLine="4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（3）宣布相关参会人员姓名；</w:t>
      </w:r>
    </w:p>
    <w:p>
      <w:pPr>
        <w:wordWrap w:val="0"/>
        <w:spacing w:line="400" w:lineRule="exact"/>
        <w:ind w:firstLine="4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（4）检查投标文件的密封情况；</w:t>
      </w:r>
    </w:p>
    <w:p>
      <w:pPr>
        <w:wordWrap w:val="0"/>
        <w:spacing w:line="400" w:lineRule="exact"/>
        <w:ind w:firstLine="4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（5）当众开标、唱标，并记录在案；</w:t>
      </w:r>
    </w:p>
    <w:p>
      <w:pPr>
        <w:wordWrap w:val="0"/>
        <w:spacing w:line="400" w:lineRule="exact"/>
        <w:ind w:firstLine="4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（6）相关参会人员在开标记录上签字确认；</w:t>
      </w:r>
    </w:p>
    <w:p>
      <w:pPr>
        <w:wordWrap w:val="0"/>
        <w:spacing w:line="400" w:lineRule="exact"/>
        <w:ind w:firstLine="4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（7）开标结束。</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5.2.2投标人对开标有异议的，应当在开标现场提出，招标人应当当场作出答复，并作好记录；如无法现场答复的，可转交评标委员会予以解决。</w:t>
      </w:r>
    </w:p>
    <w:bookmarkEnd w:id="102"/>
    <w:p>
      <w:pPr>
        <w:pStyle w:val="4"/>
        <w:wordWrap w:val="0"/>
        <w:spacing w:line="360" w:lineRule="auto"/>
        <w:rPr>
          <w:rFonts w:ascii="宋体" w:hAnsi="宋体" w:eastAsia="宋体" w:cs="宋体"/>
          <w:color w:val="000000" w:themeColor="text1"/>
          <w14:textFill>
            <w14:solidFill>
              <w14:schemeClr w14:val="tx1"/>
            </w14:solidFill>
          </w14:textFill>
        </w:rPr>
      </w:pPr>
      <w:bookmarkStart w:id="103" w:name="_Toc389065177"/>
      <w:bookmarkStart w:id="104" w:name="_Toc11070"/>
      <w:r>
        <w:rPr>
          <w:rFonts w:hint="eastAsia" w:ascii="宋体" w:hAnsi="宋体" w:eastAsia="宋体" w:cs="宋体"/>
          <w:color w:val="000000" w:themeColor="text1"/>
          <w14:textFill>
            <w14:solidFill>
              <w14:schemeClr w14:val="tx1"/>
            </w14:solidFill>
          </w14:textFill>
        </w:rPr>
        <w:t>6 评标</w:t>
      </w:r>
      <w:bookmarkEnd w:id="103"/>
      <w:bookmarkEnd w:id="104"/>
    </w:p>
    <w:p>
      <w:pPr>
        <w:pStyle w:val="5"/>
        <w:wordWrap w:val="0"/>
        <w:rPr>
          <w:rFonts w:ascii="宋体" w:hAnsi="宋体" w:eastAsia="宋体" w:cs="宋体"/>
          <w:color w:val="000000" w:themeColor="text1"/>
          <w14:textFill>
            <w14:solidFill>
              <w14:schemeClr w14:val="tx1"/>
            </w14:solidFill>
          </w14:textFill>
        </w:rPr>
      </w:pPr>
      <w:bookmarkStart w:id="105" w:name="_Toc18104"/>
      <w:bookmarkStart w:id="106" w:name="_Toc389065178"/>
      <w:r>
        <w:rPr>
          <w:rFonts w:hint="eastAsia" w:ascii="宋体" w:hAnsi="宋体" w:eastAsia="宋体" w:cs="宋体"/>
          <w:color w:val="000000" w:themeColor="text1"/>
          <w14:textFill>
            <w14:solidFill>
              <w14:schemeClr w14:val="tx1"/>
            </w14:solidFill>
          </w14:textFill>
        </w:rPr>
        <w:t>6.1 评标委员会</w:t>
      </w:r>
      <w:bookmarkEnd w:id="105"/>
      <w:bookmarkEnd w:id="106"/>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6.1.1 评标由招标人依法组建的评标委员会负责。评标委员会成员人数以及技术、经济等方面专家的确定方式见“投标人须知前附表”。</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6.1.2 评标委员会成员有下列情形之一的，应当回避：</w:t>
      </w:r>
      <w:bookmarkStart w:id="107" w:name="_Toc389065179"/>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（1）投标人或投标人的主要负责人的近亲属；</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（2）项目主管部门或者行政监督部门的人员；</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（3）与投标人有经济利益关系，可能影响对投标公正评审的；</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（4）曾因在招标、评标以及其他与招标投标有关活动中从事违法行为而受过行政处罚或刑事处罚的。</w:t>
      </w:r>
    </w:p>
    <w:p>
      <w:pPr>
        <w:pStyle w:val="5"/>
        <w:wordWrap w:val="0"/>
        <w:rPr>
          <w:rFonts w:ascii="宋体" w:hAnsi="宋体" w:eastAsia="宋体" w:cs="宋体"/>
          <w:color w:val="000000" w:themeColor="text1"/>
          <w14:textFill>
            <w14:solidFill>
              <w14:schemeClr w14:val="tx1"/>
            </w14:solidFill>
          </w14:textFill>
        </w:rPr>
      </w:pPr>
      <w:bookmarkStart w:id="108" w:name="_Toc26653"/>
      <w:r>
        <w:rPr>
          <w:rFonts w:hint="eastAsia" w:ascii="宋体" w:hAnsi="宋体" w:eastAsia="宋体" w:cs="宋体"/>
          <w:color w:val="000000" w:themeColor="text1"/>
          <w14:textFill>
            <w14:solidFill>
              <w14:schemeClr w14:val="tx1"/>
            </w14:solidFill>
          </w14:textFill>
        </w:rPr>
        <w:t>6.2 评标原则</w:t>
      </w:r>
      <w:bookmarkEnd w:id="107"/>
      <w:bookmarkEnd w:id="108"/>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评标活动遵循公平、公正、科学和择优的原则。</w:t>
      </w:r>
    </w:p>
    <w:p>
      <w:pPr>
        <w:pStyle w:val="5"/>
        <w:wordWrap w:val="0"/>
        <w:rPr>
          <w:rFonts w:ascii="宋体" w:hAnsi="宋体" w:eastAsia="宋体" w:cs="宋体"/>
          <w:color w:val="000000" w:themeColor="text1"/>
          <w14:textFill>
            <w14:solidFill>
              <w14:schemeClr w14:val="tx1"/>
            </w14:solidFill>
          </w14:textFill>
        </w:rPr>
      </w:pPr>
      <w:bookmarkStart w:id="109" w:name="_Toc30820"/>
      <w:bookmarkStart w:id="110" w:name="_Toc389065180"/>
      <w:r>
        <w:rPr>
          <w:rFonts w:hint="eastAsia" w:ascii="宋体" w:hAnsi="宋体" w:eastAsia="宋体" w:cs="宋体"/>
          <w:color w:val="000000" w:themeColor="text1"/>
          <w14:textFill>
            <w14:solidFill>
              <w14:schemeClr w14:val="tx1"/>
            </w14:solidFill>
          </w14:textFill>
        </w:rPr>
        <w:t>6.3 评标</w:t>
      </w:r>
      <w:bookmarkEnd w:id="109"/>
      <w:bookmarkEnd w:id="110"/>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评标委员会按照第三章“评标办法”规定的方法、评审因素、标准和程序对投标文件进行评审。第三章“评标办法”没有规定的方法、评审因素和标准，不作为评标依据。</w:t>
      </w:r>
      <w:bookmarkStart w:id="111" w:name="_Toc389065184"/>
    </w:p>
    <w:p>
      <w:pPr>
        <w:pStyle w:val="5"/>
        <w:wordWrap w:val="0"/>
        <w:rPr>
          <w:rFonts w:ascii="宋体" w:hAnsi="宋体" w:eastAsia="宋体" w:cs="宋体"/>
          <w:color w:val="000000" w:themeColor="text1"/>
          <w14:textFill>
            <w14:solidFill>
              <w14:schemeClr w14:val="tx1"/>
            </w14:solidFill>
          </w14:textFill>
        </w:rPr>
      </w:pPr>
      <w:bookmarkStart w:id="112" w:name="_Toc14941"/>
      <w:bookmarkStart w:id="113" w:name="_Toc389065183"/>
      <w:r>
        <w:rPr>
          <w:rFonts w:hint="eastAsia" w:ascii="宋体" w:hAnsi="宋体" w:eastAsia="宋体" w:cs="宋体"/>
          <w:color w:val="000000" w:themeColor="text1"/>
          <w14:textFill>
            <w14:solidFill>
              <w14:schemeClr w14:val="tx1"/>
            </w14:solidFill>
          </w14:textFill>
        </w:rPr>
        <w:t>6.4 评标结果公示</w:t>
      </w:r>
      <w:bookmarkEnd w:id="112"/>
      <w:bookmarkEnd w:id="113"/>
    </w:p>
    <w:p>
      <w:pPr>
        <w:wordWrap w:val="0"/>
        <w:spacing w:line="360" w:lineRule="auto"/>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6.4.1招标人在收到评标报告之日起3日内</w:t>
      </w:r>
      <w:r>
        <w:rPr>
          <w:rFonts w:hint="eastAsia" w:ascii="Arial" w:hAnsi="Arial"/>
          <w:color w:val="000000" w:themeColor="text1"/>
          <w:szCs w:val="21"/>
          <w14:textFill>
            <w14:solidFill>
              <w14:schemeClr w14:val="tx1"/>
            </w14:solidFill>
          </w14:textFill>
        </w:rPr>
        <w:t>在本招标项目招标公告发布的同一媒介发布评标结果公示</w:t>
      </w:r>
      <w:r>
        <w:rPr>
          <w:rFonts w:hint="eastAsia" w:ascii="宋体" w:hAnsi="宋体" w:cs="宋体"/>
          <w:color w:val="000000" w:themeColor="text1"/>
          <w:szCs w:val="21"/>
          <w14:textFill>
            <w14:solidFill>
              <w14:schemeClr w14:val="tx1"/>
            </w14:solidFill>
          </w14:textFill>
        </w:rPr>
        <w:t>，公示期不少于3日。</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6.4.2 投标人或者其他利害关系人对评标结果有异议的，应当在公示期间提出。招标人自收到异议之日起3日内作出答复。对招标人答复不满意或招标人拒不答复的，投标人可按照本章第8.5条的规定程序向有关行政监督部门投诉。</w:t>
      </w:r>
    </w:p>
    <w:p>
      <w:pPr>
        <w:pStyle w:val="4"/>
        <w:wordWrap w:val="0"/>
        <w:spacing w:line="360" w:lineRule="auto"/>
        <w:rPr>
          <w:rFonts w:ascii="宋体" w:hAnsi="宋体" w:eastAsia="宋体" w:cs="宋体"/>
          <w:color w:val="000000" w:themeColor="text1"/>
          <w14:textFill>
            <w14:solidFill>
              <w14:schemeClr w14:val="tx1"/>
            </w14:solidFill>
          </w14:textFill>
        </w:rPr>
      </w:pPr>
      <w:bookmarkStart w:id="114" w:name="_Toc27514"/>
      <w:r>
        <w:rPr>
          <w:rFonts w:hint="eastAsia" w:ascii="宋体" w:hAnsi="宋体" w:eastAsia="宋体" w:cs="宋体"/>
          <w:color w:val="000000" w:themeColor="text1"/>
          <w14:textFill>
            <w14:solidFill>
              <w14:schemeClr w14:val="tx1"/>
            </w14:solidFill>
          </w14:textFill>
        </w:rPr>
        <w:t>7 合同授予</w:t>
      </w:r>
      <w:bookmarkEnd w:id="111"/>
      <w:bookmarkEnd w:id="114"/>
    </w:p>
    <w:p>
      <w:pPr>
        <w:pStyle w:val="5"/>
        <w:wordWrap w:val="0"/>
        <w:rPr>
          <w:rFonts w:ascii="宋体" w:hAnsi="宋体" w:eastAsia="宋体" w:cs="宋体"/>
          <w:color w:val="000000" w:themeColor="text1"/>
          <w14:textFill>
            <w14:solidFill>
              <w14:schemeClr w14:val="tx1"/>
            </w14:solidFill>
          </w14:textFill>
        </w:rPr>
      </w:pPr>
      <w:bookmarkStart w:id="115" w:name="_Toc17591"/>
      <w:bookmarkStart w:id="116" w:name="_Toc389065185"/>
      <w:r>
        <w:rPr>
          <w:rFonts w:hint="eastAsia" w:ascii="宋体" w:hAnsi="宋体" w:eastAsia="宋体" w:cs="宋体"/>
          <w:color w:val="000000" w:themeColor="text1"/>
          <w14:textFill>
            <w14:solidFill>
              <w14:schemeClr w14:val="tx1"/>
            </w14:solidFill>
          </w14:textFill>
        </w:rPr>
        <w:t>7.1 定标方式</w:t>
      </w:r>
      <w:bookmarkEnd w:id="115"/>
      <w:bookmarkEnd w:id="116"/>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除“投标人须知前附表”规定评标委员会直接确定中标人外，招标人依据评标委员会推荐的中标候选人确定中标人，评标委员会推荐中标候选人的人数见“投标人须知前附表”。</w:t>
      </w:r>
    </w:p>
    <w:p>
      <w:pPr>
        <w:pStyle w:val="5"/>
        <w:wordWrap w:val="0"/>
        <w:rPr>
          <w:rFonts w:ascii="宋体" w:hAnsi="宋体" w:eastAsia="宋体" w:cs="宋体"/>
          <w:color w:val="000000" w:themeColor="text1"/>
          <w14:textFill>
            <w14:solidFill>
              <w14:schemeClr w14:val="tx1"/>
            </w14:solidFill>
          </w14:textFill>
        </w:rPr>
      </w:pPr>
      <w:bookmarkStart w:id="117" w:name="_Toc389065186"/>
      <w:bookmarkStart w:id="118" w:name="_Toc15920"/>
      <w:r>
        <w:rPr>
          <w:rFonts w:hint="eastAsia" w:ascii="宋体" w:hAnsi="宋体" w:eastAsia="宋体" w:cs="宋体"/>
          <w:color w:val="000000" w:themeColor="text1"/>
          <w14:textFill>
            <w14:solidFill>
              <w14:schemeClr w14:val="tx1"/>
            </w14:solidFill>
          </w14:textFill>
        </w:rPr>
        <w:t>7.2 中标通知</w:t>
      </w:r>
      <w:bookmarkEnd w:id="117"/>
      <w:r>
        <w:rPr>
          <w:rFonts w:hint="eastAsia" w:ascii="宋体" w:hAnsi="宋体" w:eastAsia="宋体" w:cs="宋体"/>
          <w:color w:val="000000" w:themeColor="text1"/>
          <w14:textFill>
            <w14:solidFill>
              <w14:schemeClr w14:val="tx1"/>
            </w14:solidFill>
          </w14:textFill>
        </w:rPr>
        <w:t>及中标结果公告</w:t>
      </w:r>
      <w:bookmarkEnd w:id="118"/>
    </w:p>
    <w:p>
      <w:pPr>
        <w:wordWrap w:val="0"/>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评标结果公示期满无异议或投诉的，招标人应在5日内按规定的格式以书面形式向中标人发出中标通知书。同时，按规定的格式在</w:t>
      </w:r>
      <w:r>
        <w:rPr>
          <w:rFonts w:hint="eastAsia"/>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电子招标投标交易平台</w:t>
      </w:r>
      <w:r>
        <w:rPr>
          <w:rFonts w:hint="eastAsia"/>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发出中标结果公告，将中标结果通知未中标的投标人。</w:t>
      </w:r>
    </w:p>
    <w:p>
      <w:pPr>
        <w:wordWrap w:val="0"/>
        <w:spacing w:line="360" w:lineRule="exact"/>
        <w:ind w:firstLine="422" w:firstLineChars="200"/>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本工程招标代理费按国家发改委【2011】534号文及苏价服[2014]383号文计取。</w:t>
      </w:r>
    </w:p>
    <w:p>
      <w:pPr>
        <w:wordWrap w:val="0"/>
        <w:spacing w:line="36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招标人和中标人须在中标结果公示（中标人确定后公示于江苏建设工程招标网和大丰公共资源电子交易平台）结束后3个工作日内</w:t>
      </w:r>
      <w:r>
        <w:rPr>
          <w:rFonts w:ascii="宋体" w:hAnsi="宋体"/>
          <w:b/>
          <w:color w:val="000000" w:themeColor="text1"/>
          <w:szCs w:val="21"/>
          <w14:textFill>
            <w14:solidFill>
              <w14:schemeClr w14:val="tx1"/>
            </w14:solidFill>
          </w14:textFill>
        </w:rPr>
        <w:t>按</w:t>
      </w:r>
      <w:r>
        <w:rPr>
          <w:rFonts w:hint="eastAsia" w:ascii="宋体" w:hAnsi="宋体"/>
          <w:b/>
          <w:color w:val="000000" w:themeColor="text1"/>
          <w:szCs w:val="21"/>
          <w14:textFill>
            <w14:solidFill>
              <w14:schemeClr w14:val="tx1"/>
            </w14:solidFill>
          </w14:textFill>
        </w:rPr>
        <w:t>苏价服［2017］177号</w:t>
      </w:r>
      <w:r>
        <w:rPr>
          <w:rFonts w:ascii="宋体" w:hAnsi="宋体"/>
          <w:b/>
          <w:color w:val="000000" w:themeColor="text1"/>
          <w:szCs w:val="21"/>
          <w14:textFill>
            <w14:solidFill>
              <w14:schemeClr w14:val="tx1"/>
            </w14:solidFill>
          </w14:textFill>
        </w:rPr>
        <w:t>文件规定</w:t>
      </w:r>
      <w:r>
        <w:rPr>
          <w:rFonts w:hint="eastAsia" w:ascii="宋体" w:hAnsi="宋体"/>
          <w:b/>
          <w:color w:val="000000" w:themeColor="text1"/>
          <w:szCs w:val="21"/>
          <w14:textFill>
            <w14:solidFill>
              <w14:schemeClr w14:val="tx1"/>
            </w14:solidFill>
          </w14:textFill>
        </w:rPr>
        <w:t>缴</w:t>
      </w:r>
      <w:r>
        <w:rPr>
          <w:rFonts w:ascii="宋体" w:hAnsi="宋体"/>
          <w:b/>
          <w:color w:val="000000" w:themeColor="text1"/>
          <w:szCs w:val="21"/>
          <w14:textFill>
            <w14:solidFill>
              <w14:schemeClr w14:val="tx1"/>
            </w14:solidFill>
          </w14:textFill>
        </w:rPr>
        <w:t>纳建设工程交易综合服务费</w:t>
      </w:r>
      <w:r>
        <w:rPr>
          <w:rFonts w:hint="eastAsia" w:ascii="宋体" w:hAnsi="宋体"/>
          <w:b/>
          <w:color w:val="000000" w:themeColor="text1"/>
          <w:szCs w:val="21"/>
          <w14:textFill>
            <w14:solidFill>
              <w14:schemeClr w14:val="tx1"/>
            </w14:solidFill>
          </w14:textFill>
        </w:rPr>
        <w:t>。</w:t>
      </w:r>
    </w:p>
    <w:p>
      <w:pPr>
        <w:wordWrap w:val="0"/>
        <w:spacing w:line="40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投标人投标报价时应将上述应由投标人缴纳的建设工程交易综合服务费用计入投标报价中，但不单列，自行考虑分摊至投标报价的综合单价、合价中。本工程由投标人缴纳的各项费用无论最终工程结算价与前期合同估算价误差多少，建设单位一律不予贴补给中标单位。</w:t>
      </w:r>
    </w:p>
    <w:p>
      <w:pPr>
        <w:wordWrap w:val="0"/>
        <w:spacing w:line="360" w:lineRule="exact"/>
        <w:ind w:firstLine="422" w:firstLineChars="20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中标人须在中标结果公示结束后3个工作日领取中标通知书，中标人如未能按照招标文件规定的要求缴纳建设工程交易综合服务费及领取中标通知书，招标人有权取消其中标资格，没收投标保证金，另行确定中标单位。</w:t>
      </w:r>
    </w:p>
    <w:p>
      <w:pPr>
        <w:pStyle w:val="5"/>
        <w:wordWrap w:val="0"/>
        <w:rPr>
          <w:rFonts w:ascii="宋体" w:hAnsi="宋体" w:eastAsia="宋体" w:cs="宋体"/>
          <w:color w:val="000000" w:themeColor="text1"/>
          <w14:textFill>
            <w14:solidFill>
              <w14:schemeClr w14:val="tx1"/>
            </w14:solidFill>
          </w14:textFill>
        </w:rPr>
      </w:pPr>
      <w:bookmarkStart w:id="119" w:name="_Toc389065187"/>
      <w:bookmarkStart w:id="120" w:name="_Toc8556"/>
      <w:r>
        <w:rPr>
          <w:rFonts w:hint="eastAsia" w:ascii="宋体" w:hAnsi="宋体" w:eastAsia="宋体" w:cs="宋体"/>
          <w:color w:val="000000" w:themeColor="text1"/>
          <w14:textFill>
            <w14:solidFill>
              <w14:schemeClr w14:val="tx1"/>
            </w14:solidFill>
          </w14:textFill>
        </w:rPr>
        <w:t>7.3 履约</w:t>
      </w:r>
      <w:bookmarkEnd w:id="119"/>
      <w:r>
        <w:rPr>
          <w:rFonts w:hint="eastAsia" w:ascii="宋体" w:hAnsi="宋体" w:eastAsia="宋体" w:cs="宋体"/>
          <w:color w:val="000000" w:themeColor="text1"/>
          <w14:textFill>
            <w14:solidFill>
              <w14:schemeClr w14:val="tx1"/>
            </w14:solidFill>
          </w14:textFill>
        </w:rPr>
        <w:t>保证金</w:t>
      </w:r>
      <w:bookmarkEnd w:id="120"/>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7.3.1 在签订合同前，中标人应按“投标人须知前附表”规定的金额、担保形式和招标文件第四章“合同条款及格式”规定的履约担保格式向招标人提交履约保证金。联合体中标的，其履约保证金由牵头人递交，并应符合“投标人须知前附表”规定的金额、担保形式和招标文件第四章“合同条款及格式”规定的履约担保格式要求。</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7.3.2 中标人不能按本章第7.3.1项要求提交履约保证金的，视为放弃中标，其投标保证金不予退还，给招标人造成的损失超过投标保证金数额的，中标人还应当对超过部分予以赔偿。</w:t>
      </w:r>
    </w:p>
    <w:p>
      <w:pPr>
        <w:pStyle w:val="5"/>
        <w:wordWrap w:val="0"/>
        <w:rPr>
          <w:rFonts w:ascii="宋体" w:hAnsi="宋体" w:eastAsia="宋体" w:cs="宋体"/>
          <w:color w:val="000000" w:themeColor="text1"/>
          <w14:textFill>
            <w14:solidFill>
              <w14:schemeClr w14:val="tx1"/>
            </w14:solidFill>
          </w14:textFill>
        </w:rPr>
      </w:pPr>
      <w:bookmarkStart w:id="121" w:name="_Toc389065188"/>
      <w:bookmarkStart w:id="122" w:name="_Toc11062"/>
      <w:r>
        <w:rPr>
          <w:rFonts w:hint="eastAsia" w:ascii="宋体" w:hAnsi="宋体" w:eastAsia="宋体" w:cs="宋体"/>
          <w:color w:val="000000" w:themeColor="text1"/>
          <w14:textFill>
            <w14:solidFill>
              <w14:schemeClr w14:val="tx1"/>
            </w14:solidFill>
          </w14:textFill>
        </w:rPr>
        <w:t>7.4 签订合同</w:t>
      </w:r>
      <w:bookmarkEnd w:id="121"/>
      <w:bookmarkEnd w:id="122"/>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7.4.1 招标人和中标人应当在投标有效期内以及中标通知书发出之日起</w:t>
      </w:r>
      <w:r>
        <w:rPr>
          <w:rFonts w:hint="eastAsia" w:ascii="宋体" w:hAnsi="宋体" w:cs="宋体"/>
          <w:color w:val="000000" w:themeColor="text1"/>
          <w:sz w:val="30"/>
          <w:szCs w:val="30"/>
          <w14:textFill>
            <w14:solidFill>
              <w14:schemeClr w14:val="tx1"/>
            </w14:solidFill>
          </w14:textFill>
        </w:rPr>
        <w:t>7</w:t>
      </w:r>
      <w:r>
        <w:rPr>
          <w:rFonts w:hint="eastAsia" w:ascii="宋体" w:hAnsi="宋体" w:cs="宋体"/>
          <w:color w:val="000000" w:themeColor="text1"/>
          <w:szCs w:val="21"/>
          <w14:textFill>
            <w14:solidFill>
              <w14:schemeClr w14:val="tx1"/>
            </w14:solidFill>
          </w14:textFill>
        </w:rPr>
        <w:t>天内，根据招标文件和中标人的投标文件订立书面合同。中标人无正当理由拒签合同的，招标人取消其中标资格，其投标保证金不予退还；给招标人造成的损失超过投标保证金数额的，中标人还应当对超过部分予以赔偿。对依法必须进行招标的项目的中标人，由有关行政监督部门责令改正。</w:t>
      </w:r>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7.4.2 排名第一的中标候选人（或者评标委员会依据招标人的授权直接确定的中标人）放弃中标，或因不可抗力提出不能履行合同，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p>
    <w:p>
      <w:pPr>
        <w:wordWrap w:val="0"/>
        <w:spacing w:line="360" w:lineRule="auto"/>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7.4.3 发出中标通知书后，招标人无正当理由拒签合同的，由有关行政监督部门给予警告，责令改正。同时招标人向中标人退还投标保证金；给中标人造成损失的，还应当赔偿损失。</w:t>
      </w:r>
      <w:bookmarkStart w:id="123" w:name="_Toc389065189"/>
    </w:p>
    <w:bookmarkEnd w:id="123"/>
    <w:p>
      <w:pPr>
        <w:pStyle w:val="4"/>
        <w:wordWrap w:val="0"/>
        <w:spacing w:line="360" w:lineRule="auto"/>
        <w:rPr>
          <w:rFonts w:ascii="宋体" w:hAnsi="宋体" w:eastAsia="宋体" w:cs="宋体"/>
          <w:color w:val="000000" w:themeColor="text1"/>
          <w14:textFill>
            <w14:solidFill>
              <w14:schemeClr w14:val="tx1"/>
            </w14:solidFill>
          </w14:textFill>
        </w:rPr>
      </w:pPr>
      <w:bookmarkStart w:id="124" w:name="_Toc389065192"/>
      <w:bookmarkStart w:id="125" w:name="_Toc19468"/>
      <w:r>
        <w:rPr>
          <w:rFonts w:hint="eastAsia" w:ascii="宋体" w:hAnsi="宋体" w:eastAsia="宋体" w:cs="宋体"/>
          <w:color w:val="000000" w:themeColor="text1"/>
          <w14:textFill>
            <w14:solidFill>
              <w14:schemeClr w14:val="tx1"/>
            </w14:solidFill>
          </w14:textFill>
        </w:rPr>
        <w:t>8 纪律和监督</w:t>
      </w:r>
      <w:bookmarkEnd w:id="124"/>
      <w:bookmarkEnd w:id="125"/>
    </w:p>
    <w:p>
      <w:pPr>
        <w:pStyle w:val="5"/>
        <w:wordWrap w:val="0"/>
        <w:rPr>
          <w:rFonts w:ascii="宋体" w:hAnsi="宋体" w:eastAsia="宋体" w:cs="宋体"/>
          <w:color w:val="000000" w:themeColor="text1"/>
          <w14:textFill>
            <w14:solidFill>
              <w14:schemeClr w14:val="tx1"/>
            </w14:solidFill>
          </w14:textFill>
        </w:rPr>
      </w:pPr>
      <w:bookmarkStart w:id="126" w:name="_Toc389065193"/>
      <w:bookmarkStart w:id="127" w:name="_Toc25819"/>
      <w:r>
        <w:rPr>
          <w:rFonts w:hint="eastAsia" w:ascii="宋体" w:hAnsi="宋体" w:eastAsia="宋体" w:cs="宋体"/>
          <w:color w:val="000000" w:themeColor="text1"/>
          <w14:textFill>
            <w14:solidFill>
              <w14:schemeClr w14:val="tx1"/>
            </w14:solidFill>
          </w14:textFill>
        </w:rPr>
        <w:t>8.1 对招标人的纪律要求</w:t>
      </w:r>
      <w:bookmarkEnd w:id="126"/>
      <w:bookmarkEnd w:id="127"/>
    </w:p>
    <w:p>
      <w:pPr>
        <w:wordWrap w:val="0"/>
        <w:spacing w:line="360" w:lineRule="auto"/>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招标人不得泄漏招标投标活动中应当保密的情况和资料，不得与投标人串通损害国家利益、社会公共利益或者他人合法权益。</w:t>
      </w:r>
    </w:p>
    <w:p>
      <w:pPr>
        <w:pStyle w:val="5"/>
        <w:wordWrap w:val="0"/>
        <w:rPr>
          <w:rFonts w:ascii="宋体" w:hAnsi="宋体" w:eastAsia="宋体" w:cs="宋体"/>
          <w:color w:val="000000" w:themeColor="text1"/>
          <w14:textFill>
            <w14:solidFill>
              <w14:schemeClr w14:val="tx1"/>
            </w14:solidFill>
          </w14:textFill>
        </w:rPr>
      </w:pPr>
      <w:bookmarkStart w:id="128" w:name="_Toc18088"/>
      <w:r>
        <w:rPr>
          <w:rFonts w:hint="eastAsia" w:ascii="宋体" w:hAnsi="宋体" w:eastAsia="宋体" w:cs="宋体"/>
          <w:color w:val="000000" w:themeColor="text1"/>
          <w14:textFill>
            <w14:solidFill>
              <w14:schemeClr w14:val="tx1"/>
            </w14:solidFill>
          </w14:textFill>
        </w:rPr>
        <w:t>8.2 对投标人的纪律要求</w:t>
      </w:r>
      <w:bookmarkEnd w:id="128"/>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5"/>
        <w:wordWrap w:val="0"/>
        <w:rPr>
          <w:rFonts w:ascii="宋体" w:hAnsi="宋体" w:eastAsia="宋体" w:cs="宋体"/>
          <w:color w:val="000000" w:themeColor="text1"/>
          <w14:textFill>
            <w14:solidFill>
              <w14:schemeClr w14:val="tx1"/>
            </w14:solidFill>
          </w14:textFill>
        </w:rPr>
      </w:pPr>
      <w:bookmarkStart w:id="129" w:name="_Toc513"/>
      <w:bookmarkStart w:id="130" w:name="_Toc389065194"/>
      <w:r>
        <w:rPr>
          <w:rFonts w:hint="eastAsia" w:ascii="宋体" w:hAnsi="宋体" w:eastAsia="宋体" w:cs="宋体"/>
          <w:color w:val="000000" w:themeColor="text1"/>
          <w14:textFill>
            <w14:solidFill>
              <w14:schemeClr w14:val="tx1"/>
            </w14:solidFill>
          </w14:textFill>
        </w:rPr>
        <w:t>8.3 对评标委员会成员的纪律要求</w:t>
      </w:r>
      <w:bookmarkEnd w:id="129"/>
      <w:bookmarkEnd w:id="130"/>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5"/>
        <w:wordWrap w:val="0"/>
        <w:rPr>
          <w:rFonts w:ascii="宋体" w:hAnsi="宋体" w:eastAsia="宋体" w:cs="宋体"/>
          <w:color w:val="000000" w:themeColor="text1"/>
          <w14:textFill>
            <w14:solidFill>
              <w14:schemeClr w14:val="tx1"/>
            </w14:solidFill>
          </w14:textFill>
        </w:rPr>
      </w:pPr>
      <w:bookmarkStart w:id="131" w:name="_Toc15717"/>
      <w:bookmarkStart w:id="132" w:name="_Toc389065195"/>
      <w:r>
        <w:rPr>
          <w:rFonts w:hint="eastAsia" w:ascii="宋体" w:hAnsi="宋体" w:eastAsia="宋体" w:cs="宋体"/>
          <w:color w:val="000000" w:themeColor="text1"/>
          <w14:textFill>
            <w14:solidFill>
              <w14:schemeClr w14:val="tx1"/>
            </w14:solidFill>
          </w14:textFill>
        </w:rPr>
        <w:t>8.4 对与评标活动有关的工作人员的纪律要求</w:t>
      </w:r>
      <w:bookmarkEnd w:id="131"/>
      <w:bookmarkEnd w:id="132"/>
    </w:p>
    <w:p>
      <w:pPr>
        <w:wordWrap w:val="0"/>
        <w:spacing w:line="360" w:lineRule="auto"/>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与</w:t>
      </w:r>
      <w:r>
        <w:rPr>
          <w:rFonts w:hint="eastAsia" w:ascii="宋体" w:hAnsi="宋体" w:cs="宋体"/>
          <w:color w:val="000000" w:themeColor="text1"/>
          <w:szCs w:val="21"/>
          <w14:textFill>
            <w14:solidFill>
              <w14:schemeClr w14:val="tx1"/>
            </w14:solidFill>
          </w14:textFill>
        </w:rPr>
        <w:t>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Start w:id="133" w:name="_Toc389065196"/>
    </w:p>
    <w:p>
      <w:pPr>
        <w:pStyle w:val="5"/>
        <w:wordWrap w:val="0"/>
        <w:rPr>
          <w:rFonts w:ascii="宋体" w:hAnsi="宋体" w:eastAsia="宋体" w:cs="宋体"/>
          <w:color w:val="000000" w:themeColor="text1"/>
          <w14:textFill>
            <w14:solidFill>
              <w14:schemeClr w14:val="tx1"/>
            </w14:solidFill>
          </w14:textFill>
        </w:rPr>
      </w:pPr>
      <w:bookmarkStart w:id="134" w:name="_Toc21467"/>
      <w:r>
        <w:rPr>
          <w:rFonts w:hint="eastAsia" w:ascii="宋体" w:hAnsi="宋体" w:eastAsia="宋体" w:cs="宋体"/>
          <w:color w:val="000000" w:themeColor="text1"/>
          <w14:textFill>
            <w14:solidFill>
              <w14:schemeClr w14:val="tx1"/>
            </w14:solidFill>
          </w14:textFill>
        </w:rPr>
        <w:t>8.5 异议与投诉</w:t>
      </w:r>
      <w:bookmarkEnd w:id="133"/>
      <w:bookmarkEnd w:id="134"/>
      <w:bookmarkStart w:id="135" w:name="_Toc389065197"/>
    </w:p>
    <w:p>
      <w:pPr>
        <w:wordWrap w:val="0"/>
        <w:spacing w:line="360" w:lineRule="auto"/>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8.5.1异议</w:t>
      </w:r>
    </w:p>
    <w:p>
      <w:pPr>
        <w:wordWrap w:val="0"/>
        <w:spacing w:line="360" w:lineRule="auto"/>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投标人或者其他利害关系人对招标文件有异议的，应当在投标截止时间10日前提出。招标人应当自收到异议之日起3日内作出答复；作出答复前，应当暂停招标投标活动。</w:t>
      </w:r>
    </w:p>
    <w:p>
      <w:pPr>
        <w:wordWrap w:val="0"/>
        <w:spacing w:line="360" w:lineRule="auto"/>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投标人对开标有异议的，应当在开标现场提出，招标人应当当场作出答复，并制作记录。</w:t>
      </w:r>
    </w:p>
    <w:p>
      <w:pPr>
        <w:wordWrap w:val="0"/>
        <w:spacing w:line="360" w:lineRule="auto"/>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投标人或者其他利害关系人对依法必须进行招标的项目的评标结果有异议的，应当在中标候选人公示期间提出。</w:t>
      </w:r>
    </w:p>
    <w:p>
      <w:pPr>
        <w:wordWrap w:val="0"/>
        <w:spacing w:line="360" w:lineRule="auto"/>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8.5.2投诉</w:t>
      </w:r>
    </w:p>
    <w:p>
      <w:pPr>
        <w:wordWrap w:val="0"/>
        <w:spacing w:line="360" w:lineRule="auto"/>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和其他利害关系人认为本次招标活动违反法律、法规和规章规定的，可以在知道或者应当知道之日起十日内向“投标人须知前附表”明确的招投标监督管理部门提出书面投诉。投诉应当有明确的请求和必要的证明材料。就第8.5.1项</w:t>
      </w:r>
      <w:r>
        <w:rPr>
          <w:rFonts w:hint="eastAsia" w:ascii="宋体" w:hAnsi="宋体" w:cs="宋体"/>
          <w:color w:val="000000" w:themeColor="text1"/>
          <w:szCs w:val="21"/>
          <w14:textFill>
            <w14:solidFill>
              <w14:schemeClr w14:val="tx1"/>
            </w14:solidFill>
          </w14:textFill>
        </w:rPr>
        <w:t>规定事项提出投诉的，</w:t>
      </w:r>
      <w:r>
        <w:rPr>
          <w:rFonts w:hint="eastAsia" w:ascii="宋体" w:hAnsi="宋体" w:cs="宋体"/>
          <w:color w:val="000000" w:themeColor="text1"/>
          <w14:textFill>
            <w14:solidFill>
              <w14:schemeClr w14:val="tx1"/>
            </w14:solidFill>
          </w14:textFill>
        </w:rPr>
        <w:t>应先向招标人提出异议。</w:t>
      </w:r>
    </w:p>
    <w:bookmarkEnd w:id="135"/>
    <w:p>
      <w:pPr>
        <w:pStyle w:val="4"/>
        <w:wordWrap w:val="0"/>
        <w:spacing w:line="360" w:lineRule="auto"/>
        <w:rPr>
          <w:rFonts w:hint="eastAsia" w:ascii="宋体" w:hAnsi="宋体" w:eastAsia="宋体" w:cs="宋体"/>
          <w:color w:val="000000" w:themeColor="text1"/>
          <w14:textFill>
            <w14:solidFill>
              <w14:schemeClr w14:val="tx1"/>
            </w14:solidFill>
          </w14:textFill>
        </w:rPr>
      </w:pPr>
      <w:bookmarkStart w:id="136" w:name="_Toc17348"/>
      <w:r>
        <w:rPr>
          <w:rFonts w:hint="eastAsia" w:ascii="宋体" w:hAnsi="宋体" w:eastAsia="宋体" w:cs="宋体"/>
          <w:color w:val="000000" w:themeColor="text1"/>
          <w14:textFill>
            <w14:solidFill>
              <w14:schemeClr w14:val="tx1"/>
            </w14:solidFill>
          </w14:textFill>
        </w:rPr>
        <w:t>9 解释权</w:t>
      </w:r>
      <w:bookmarkEnd w:id="136"/>
    </w:p>
    <w:p>
      <w:pPr>
        <w:wordWrap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p>
      <w:pPr>
        <w:pStyle w:val="4"/>
        <w:wordWrap w:val="0"/>
        <w:spacing w:line="360" w:lineRule="auto"/>
        <w:rPr>
          <w:rFonts w:hint="eastAsia" w:ascii="宋体" w:hAnsi="宋体" w:eastAsia="宋体" w:cs="宋体"/>
          <w:color w:val="000000" w:themeColor="text1"/>
          <w14:textFill>
            <w14:solidFill>
              <w14:schemeClr w14:val="tx1"/>
            </w14:solidFill>
          </w14:textFill>
        </w:rPr>
      </w:pPr>
      <w:bookmarkStart w:id="137" w:name="_Toc29336"/>
      <w:r>
        <w:rPr>
          <w:rFonts w:hint="eastAsia" w:ascii="宋体" w:hAnsi="宋体" w:eastAsia="宋体" w:cs="宋体"/>
          <w:color w:val="000000" w:themeColor="text1"/>
          <w14:textFill>
            <w14:solidFill>
              <w14:schemeClr w14:val="tx1"/>
            </w14:solidFill>
          </w14:textFill>
        </w:rPr>
        <w:t>10 招标人补充的其他内容</w:t>
      </w:r>
      <w:bookmarkEnd w:id="137"/>
    </w:p>
    <w:p>
      <w:pPr>
        <w:widowControl/>
        <w:wordWrap w:val="0"/>
        <w:spacing w:line="360" w:lineRule="auto"/>
        <w:ind w:firstLine="420" w:firstLineChars="20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见“投标人须知前附表”。</w:t>
      </w:r>
    </w:p>
    <w:p>
      <w:pPr>
        <w:pStyle w:val="3"/>
        <w:wordWrap w:val="0"/>
        <w:jc w:val="center"/>
        <w:rPr>
          <w:color w:val="000000" w:themeColor="text1"/>
          <w14:textFill>
            <w14:solidFill>
              <w14:schemeClr w14:val="tx1"/>
            </w14:solidFill>
          </w14:textFill>
        </w:rPr>
      </w:pPr>
      <w:r>
        <w:rPr>
          <w:rStyle w:val="49"/>
          <w:color w:val="000000" w:themeColor="text1"/>
          <w14:textFill>
            <w14:solidFill>
              <w14:schemeClr w14:val="tx1"/>
            </w14:solidFill>
          </w14:textFill>
        </w:rPr>
        <w:br w:type="page"/>
      </w:r>
      <w:bookmarkStart w:id="138" w:name="_Toc24866"/>
      <w:r>
        <w:rPr>
          <w:rFonts w:hint="eastAsia"/>
          <w:color w:val="000000" w:themeColor="text1"/>
          <w14:textFill>
            <w14:solidFill>
              <w14:schemeClr w14:val="tx1"/>
            </w14:solidFill>
          </w14:textFill>
        </w:rPr>
        <w:t>第三章  评标办法</w:t>
      </w:r>
      <w:bookmarkEnd w:id="0"/>
      <w:bookmarkEnd w:id="138"/>
    </w:p>
    <w:p>
      <w:pPr>
        <w:keepNext/>
        <w:keepLines/>
        <w:wordWrap w:val="0"/>
        <w:spacing w:before="60" w:after="60" w:line="412" w:lineRule="auto"/>
        <w:outlineLvl w:val="1"/>
        <w:rPr>
          <w:rFonts w:ascii="Arial" w:hAnsi="Arial" w:eastAsia="黑体"/>
          <w:b/>
          <w:bCs/>
          <w:color w:val="000000" w:themeColor="text1"/>
          <w:sz w:val="30"/>
          <w:szCs w:val="30"/>
          <w14:textFill>
            <w14:solidFill>
              <w14:schemeClr w14:val="tx1"/>
            </w14:solidFill>
          </w14:textFill>
        </w:rPr>
      </w:pPr>
      <w:r>
        <w:rPr>
          <w:rFonts w:hint="eastAsia" w:ascii="黑体" w:hAnsi="黑体" w:eastAsia="黑体"/>
          <w:b/>
          <w:bCs/>
          <w:color w:val="000000" w:themeColor="text1"/>
          <w:sz w:val="30"/>
          <w:szCs w:val="30"/>
          <w14:textFill>
            <w14:solidFill>
              <w14:schemeClr w14:val="tx1"/>
            </w14:solidFill>
          </w14:textFill>
        </w:rPr>
        <w:t>评标办法前附表</w:t>
      </w:r>
    </w:p>
    <w:p>
      <w:pPr>
        <w:wordWrap w:val="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w:t>
      </w:r>
    </w:p>
    <w:tbl>
      <w:tblPr>
        <w:tblStyle w:val="43"/>
        <w:tblW w:w="8324" w:type="dxa"/>
        <w:tblInd w:w="108" w:type="dxa"/>
        <w:tblLayout w:type="fixed"/>
        <w:tblCellMar>
          <w:top w:w="0" w:type="dxa"/>
          <w:left w:w="0" w:type="dxa"/>
          <w:bottom w:w="0" w:type="dxa"/>
          <w:right w:w="0" w:type="dxa"/>
        </w:tblCellMar>
      </w:tblPr>
      <w:tblGrid>
        <w:gridCol w:w="674"/>
        <w:gridCol w:w="1888"/>
        <w:gridCol w:w="2271"/>
        <w:gridCol w:w="3491"/>
      </w:tblGrid>
      <w:tr>
        <w:tblPrEx>
          <w:tblCellMar>
            <w:top w:w="0" w:type="dxa"/>
            <w:left w:w="0" w:type="dxa"/>
            <w:bottom w:w="0" w:type="dxa"/>
            <w:right w:w="0" w:type="dxa"/>
          </w:tblCellMar>
        </w:tblPrEx>
        <w:tc>
          <w:tcPr>
            <w:tcW w:w="8324" w:type="dxa"/>
            <w:gridSpan w:val="4"/>
            <w:tcBorders>
              <w:top w:val="inset" w:color="auto" w:sz="6" w:space="0"/>
              <w:left w:val="inset" w:color="auto" w:sz="6" w:space="0"/>
              <w:bottom w:val="inset" w:color="auto" w:sz="6" w:space="0"/>
              <w:right w:val="inset" w:color="auto" w:sz="6" w:space="0"/>
            </w:tcBorders>
            <w:vAlign w:val="center"/>
          </w:tcPr>
          <w:p>
            <w:pPr>
              <w:wordWrap w:val="0"/>
              <w:spacing w:line="400" w:lineRule="exact"/>
              <w:jc w:val="center"/>
              <w:rPr>
                <w:color w:val="000000" w:themeColor="text1"/>
                <w:szCs w:val="21"/>
                <w14:textFill>
                  <w14:solidFill>
                    <w14:schemeClr w14:val="tx1"/>
                  </w14:solidFill>
                </w14:textFill>
              </w:rPr>
            </w:pPr>
            <w:r>
              <w:rPr>
                <w:color w:val="000000" w:themeColor="text1"/>
                <w:kern w:val="0"/>
                <w:sz w:val="24"/>
                <w14:textFill>
                  <w14:solidFill>
                    <w14:schemeClr w14:val="tx1"/>
                  </w14:solidFill>
                </w14:textFill>
              </w:rPr>
              <w:t>评标入围</w:t>
            </w:r>
          </w:p>
        </w:tc>
      </w:tr>
      <w:tr>
        <w:tblPrEx>
          <w:tblCellMar>
            <w:top w:w="0" w:type="dxa"/>
            <w:left w:w="0" w:type="dxa"/>
            <w:bottom w:w="0" w:type="dxa"/>
            <w:right w:w="0" w:type="dxa"/>
          </w:tblCellMar>
        </w:tblPrEx>
        <w:trPr>
          <w:trHeight w:val="568" w:hRule="atLeast"/>
        </w:trPr>
        <w:tc>
          <w:tcPr>
            <w:tcW w:w="674" w:type="dxa"/>
            <w:tcBorders>
              <w:top w:val="inset" w:color="auto" w:sz="6" w:space="0"/>
              <w:left w:val="inset" w:color="auto" w:sz="6" w:space="0"/>
              <w:bottom w:val="inset" w:color="auto" w:sz="6" w:space="0"/>
              <w:right w:val="single" w:color="auto" w:sz="4" w:space="0"/>
            </w:tcBorders>
            <w:vAlign w:val="center"/>
          </w:tcPr>
          <w:p>
            <w:pPr>
              <w:wordWrap w:val="0"/>
              <w:spacing w:line="400" w:lineRule="exact"/>
              <w:jc w:val="center"/>
              <w:rPr>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条款号</w:t>
            </w:r>
          </w:p>
        </w:tc>
        <w:tc>
          <w:tcPr>
            <w:tcW w:w="1888" w:type="dxa"/>
            <w:tcBorders>
              <w:top w:val="inset" w:color="auto" w:sz="6" w:space="0"/>
              <w:left w:val="nil"/>
              <w:bottom w:val="inset" w:color="auto" w:sz="6" w:space="0"/>
              <w:right w:val="single" w:color="auto" w:sz="4" w:space="0"/>
            </w:tcBorders>
            <w:vAlign w:val="center"/>
          </w:tcPr>
          <w:p>
            <w:pPr>
              <w:wordWrap w:val="0"/>
              <w:spacing w:line="400" w:lineRule="exact"/>
              <w:jc w:val="center"/>
              <w:rPr>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评审因素</w:t>
            </w:r>
          </w:p>
        </w:tc>
        <w:tc>
          <w:tcPr>
            <w:tcW w:w="5762" w:type="dxa"/>
            <w:gridSpan w:val="2"/>
            <w:tcBorders>
              <w:top w:val="inset" w:color="auto" w:sz="6" w:space="0"/>
              <w:left w:val="nil"/>
              <w:bottom w:val="inset" w:color="auto" w:sz="6" w:space="0"/>
              <w:right w:val="inset" w:color="auto" w:sz="6" w:space="0"/>
            </w:tcBorders>
            <w:vAlign w:val="center"/>
          </w:tcPr>
          <w:p>
            <w:pPr>
              <w:wordWrap w:val="0"/>
              <w:spacing w:line="400" w:lineRule="exact"/>
              <w:jc w:val="center"/>
              <w:rPr>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评审标准</w:t>
            </w:r>
          </w:p>
        </w:tc>
      </w:tr>
      <w:tr>
        <w:tblPrEx>
          <w:tblCellMar>
            <w:top w:w="0" w:type="dxa"/>
            <w:left w:w="0" w:type="dxa"/>
            <w:bottom w:w="0" w:type="dxa"/>
            <w:right w:w="0" w:type="dxa"/>
          </w:tblCellMar>
        </w:tblPrEx>
        <w:tc>
          <w:tcPr>
            <w:tcW w:w="674" w:type="dxa"/>
            <w:tcBorders>
              <w:top w:val="inset" w:color="auto" w:sz="6" w:space="0"/>
              <w:left w:val="inset" w:color="auto" w:sz="6" w:space="0"/>
              <w:bottom w:val="inset" w:color="auto" w:sz="6" w:space="0"/>
              <w:right w:val="inset" w:color="auto" w:sz="6" w:space="0"/>
            </w:tcBorders>
            <w:vAlign w:val="center"/>
          </w:tcPr>
          <w:p>
            <w:pPr>
              <w:wordWrap w:val="0"/>
              <w:spacing w:line="4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2.1</w:t>
            </w:r>
          </w:p>
        </w:tc>
        <w:tc>
          <w:tcPr>
            <w:tcW w:w="1888" w:type="dxa"/>
            <w:tcBorders>
              <w:top w:val="inset" w:color="auto" w:sz="6" w:space="0"/>
              <w:left w:val="nil"/>
              <w:bottom w:val="inset" w:color="auto" w:sz="6" w:space="0"/>
              <w:right w:val="inset" w:color="auto" w:sz="6" w:space="0"/>
            </w:tcBorders>
            <w:vAlign w:val="center"/>
          </w:tcPr>
          <w:p>
            <w:pPr>
              <w:wordWrap w:val="0"/>
              <w:autoSpaceDE w:val="0"/>
              <w:autoSpaceDN w:val="0"/>
              <w:adjustRightInd w:val="0"/>
              <w:spacing w:before="73" w:line="400" w:lineRule="exact"/>
              <w:ind w:right="-2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评标入围条件和方法</w:t>
            </w:r>
          </w:p>
        </w:tc>
        <w:tc>
          <w:tcPr>
            <w:tcW w:w="5762" w:type="dxa"/>
            <w:gridSpan w:val="2"/>
            <w:tcBorders>
              <w:top w:val="inset" w:color="auto" w:sz="6" w:space="0"/>
              <w:left w:val="nil"/>
              <w:bottom w:val="inset" w:color="auto" w:sz="6" w:space="0"/>
              <w:right w:val="inset" w:color="auto" w:sz="6" w:space="0"/>
            </w:tcBorders>
            <w:vAlign w:val="center"/>
          </w:tcPr>
          <w:p>
            <w:pPr>
              <w:wordWrap w:val="0"/>
              <w:spacing w:line="4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选择</w:t>
            </w:r>
            <w:r>
              <w:rPr>
                <w:rFonts w:hint="eastAsia"/>
                <w:color w:val="000000" w:themeColor="text1"/>
                <w:szCs w:val="21"/>
                <w14:textFill>
                  <w14:solidFill>
                    <w14:schemeClr w14:val="tx1"/>
                  </w14:solidFill>
                </w14:textFill>
              </w:rPr>
              <w:t>设计文件</w:t>
            </w:r>
            <w:r>
              <w:rPr>
                <w:rFonts w:hint="eastAsia"/>
                <w:color w:val="000000" w:themeColor="text1"/>
                <w:szCs w:val="21"/>
                <w14:textFill>
                  <w14:solidFill>
                    <w14:schemeClr w14:val="tx1"/>
                  </w14:solidFill>
                </w14:textFill>
              </w:rPr>
              <w:t>得分排前几名的投标人（具体数量：投标人超过12 个的，取前7名；投标人为7-11 个的，取前5 名；投标人为5 个及以下的，取前3名）</w:t>
            </w:r>
          </w:p>
        </w:tc>
      </w:tr>
      <w:tr>
        <w:tblPrEx>
          <w:tblCellMar>
            <w:top w:w="0" w:type="dxa"/>
            <w:left w:w="0" w:type="dxa"/>
            <w:bottom w:w="0" w:type="dxa"/>
            <w:right w:w="0" w:type="dxa"/>
          </w:tblCellMar>
        </w:tblPrEx>
        <w:tc>
          <w:tcPr>
            <w:tcW w:w="8324" w:type="dxa"/>
            <w:gridSpan w:val="4"/>
            <w:tcBorders>
              <w:top w:val="inset" w:color="auto" w:sz="6" w:space="0"/>
              <w:left w:val="inset" w:color="auto" w:sz="6" w:space="0"/>
              <w:bottom w:val="inset" w:color="auto" w:sz="6" w:space="0"/>
              <w:right w:val="inset" w:color="auto" w:sz="6" w:space="0"/>
            </w:tcBorders>
            <w:vAlign w:val="center"/>
          </w:tcPr>
          <w:p>
            <w:pPr>
              <w:wordWrap w:val="0"/>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初步评审</w:t>
            </w:r>
          </w:p>
        </w:tc>
      </w:tr>
      <w:tr>
        <w:tblPrEx>
          <w:tblCellMar>
            <w:top w:w="0" w:type="dxa"/>
            <w:left w:w="0" w:type="dxa"/>
            <w:bottom w:w="0" w:type="dxa"/>
            <w:right w:w="0" w:type="dxa"/>
          </w:tblCellMar>
        </w:tblPrEx>
        <w:tc>
          <w:tcPr>
            <w:tcW w:w="2562" w:type="dxa"/>
            <w:gridSpan w:val="2"/>
            <w:tcBorders>
              <w:top w:val="inset" w:color="auto" w:sz="6" w:space="0"/>
              <w:left w:val="inset" w:color="auto" w:sz="6" w:space="0"/>
              <w:bottom w:val="inset" w:color="auto" w:sz="6" w:space="0"/>
              <w:right w:val="inset" w:color="auto" w:sz="6" w:space="0"/>
            </w:tcBorders>
            <w:vAlign w:val="center"/>
          </w:tcPr>
          <w:p>
            <w:pPr>
              <w:wordWrap w:val="0"/>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条款号</w:t>
            </w:r>
          </w:p>
        </w:tc>
        <w:tc>
          <w:tcPr>
            <w:tcW w:w="2271" w:type="dxa"/>
            <w:tcBorders>
              <w:top w:val="inset" w:color="auto" w:sz="6" w:space="0"/>
              <w:left w:val="nil"/>
              <w:bottom w:val="inset" w:color="auto" w:sz="6" w:space="0"/>
              <w:right w:val="inset" w:color="auto" w:sz="6" w:space="0"/>
            </w:tcBorders>
            <w:vAlign w:val="center"/>
          </w:tcPr>
          <w:p>
            <w:pPr>
              <w:wordWrap w:val="0"/>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评审因素</w:t>
            </w:r>
          </w:p>
        </w:tc>
        <w:tc>
          <w:tcPr>
            <w:tcW w:w="3491" w:type="dxa"/>
            <w:tcBorders>
              <w:top w:val="inset" w:color="auto" w:sz="6" w:space="0"/>
              <w:left w:val="nil"/>
              <w:bottom w:val="inset" w:color="auto" w:sz="6" w:space="0"/>
              <w:right w:val="inset" w:color="auto" w:sz="6" w:space="0"/>
            </w:tcBorders>
            <w:vAlign w:val="center"/>
          </w:tcPr>
          <w:p>
            <w:pPr>
              <w:wordWrap w:val="0"/>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评审标准</w:t>
            </w:r>
          </w:p>
        </w:tc>
      </w:tr>
      <w:tr>
        <w:tblPrEx>
          <w:tblCellMar>
            <w:top w:w="0" w:type="dxa"/>
            <w:left w:w="0" w:type="dxa"/>
            <w:bottom w:w="0" w:type="dxa"/>
            <w:right w:w="0" w:type="dxa"/>
          </w:tblCellMar>
        </w:tblPrEx>
        <w:trPr>
          <w:trHeight w:val="373" w:hRule="atLeast"/>
        </w:trPr>
        <w:tc>
          <w:tcPr>
            <w:tcW w:w="674" w:type="dxa"/>
            <w:vMerge w:val="restart"/>
            <w:tcBorders>
              <w:top w:val="inset" w:color="auto" w:sz="6" w:space="0"/>
              <w:left w:val="inset" w:color="auto" w:sz="6" w:space="0"/>
              <w:bottom w:val="inset" w:color="auto" w:sz="6" w:space="0"/>
              <w:right w:val="inset" w:color="auto" w:sz="6" w:space="0"/>
            </w:tcBorders>
            <w:vAlign w:val="center"/>
          </w:tcPr>
          <w:p>
            <w:pPr>
              <w:wordWrap w:val="0"/>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.1</w:t>
            </w:r>
          </w:p>
        </w:tc>
        <w:tc>
          <w:tcPr>
            <w:tcW w:w="1888" w:type="dxa"/>
            <w:vMerge w:val="restart"/>
            <w:tcBorders>
              <w:top w:val="inset" w:color="auto" w:sz="6" w:space="0"/>
              <w:left w:val="nil"/>
              <w:bottom w:val="inset" w:color="auto" w:sz="6" w:space="0"/>
              <w:right w:val="inset" w:color="auto" w:sz="6" w:space="0"/>
            </w:tcBorders>
            <w:vAlign w:val="center"/>
          </w:tcPr>
          <w:p>
            <w:pPr>
              <w:wordWrap w:val="0"/>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形式评审标准</w:t>
            </w:r>
          </w:p>
        </w:tc>
        <w:tc>
          <w:tcPr>
            <w:tcW w:w="2271" w:type="dxa"/>
            <w:tcBorders>
              <w:top w:val="inset" w:color="auto" w:sz="6" w:space="0"/>
              <w:left w:val="nil"/>
              <w:bottom w:val="inset" w:color="auto" w:sz="6" w:space="0"/>
              <w:right w:val="inset" w:color="auto" w:sz="6" w:space="0"/>
            </w:tcBorders>
            <w:vAlign w:val="center"/>
          </w:tcPr>
          <w:p>
            <w:pPr>
              <w:wordWrap w:val="0"/>
              <w:spacing w:line="4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投标人名称</w:t>
            </w:r>
          </w:p>
        </w:tc>
        <w:tc>
          <w:tcPr>
            <w:tcW w:w="3491" w:type="dxa"/>
            <w:tcBorders>
              <w:top w:val="inset" w:color="auto" w:sz="6" w:space="0"/>
              <w:left w:val="nil"/>
              <w:bottom w:val="inset" w:color="auto" w:sz="6" w:space="0"/>
              <w:right w:val="inset" w:color="auto" w:sz="6" w:space="0"/>
            </w:tcBorders>
            <w:vAlign w:val="center"/>
          </w:tcPr>
          <w:p>
            <w:pPr>
              <w:wordWrap w:val="0"/>
              <w:spacing w:line="4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与营业执照、资质证书一致；</w:t>
            </w:r>
          </w:p>
        </w:tc>
      </w:tr>
      <w:tr>
        <w:tblPrEx>
          <w:tblCellMar>
            <w:top w:w="0" w:type="dxa"/>
            <w:left w:w="0" w:type="dxa"/>
            <w:bottom w:w="0" w:type="dxa"/>
            <w:right w:w="0" w:type="dxa"/>
          </w:tblCellMar>
        </w:tblPrEx>
        <w:tc>
          <w:tcPr>
            <w:tcW w:w="674" w:type="dxa"/>
            <w:vMerge w:val="continue"/>
            <w:tcBorders>
              <w:top w:val="inset" w:color="auto" w:sz="6" w:space="0"/>
              <w:left w:val="inset" w:color="auto" w:sz="6" w:space="0"/>
              <w:bottom w:val="inset" w:color="auto" w:sz="6" w:space="0"/>
              <w:right w:val="inset" w:color="auto" w:sz="6" w:space="0"/>
            </w:tcBorders>
            <w:vAlign w:val="center"/>
          </w:tcPr>
          <w:p>
            <w:pPr>
              <w:widowControl/>
              <w:wordWrap w:val="0"/>
              <w:jc w:val="left"/>
              <w:rPr>
                <w:color w:val="000000" w:themeColor="text1"/>
                <w:szCs w:val="21"/>
                <w14:textFill>
                  <w14:solidFill>
                    <w14:schemeClr w14:val="tx1"/>
                  </w14:solidFill>
                </w14:textFill>
              </w:rPr>
            </w:pPr>
          </w:p>
        </w:tc>
        <w:tc>
          <w:tcPr>
            <w:tcW w:w="1888" w:type="dxa"/>
            <w:vMerge w:val="continue"/>
            <w:tcBorders>
              <w:top w:val="inset" w:color="auto" w:sz="6" w:space="0"/>
              <w:left w:val="nil"/>
              <w:bottom w:val="inset" w:color="auto" w:sz="6" w:space="0"/>
              <w:right w:val="inset" w:color="auto" w:sz="6" w:space="0"/>
            </w:tcBorders>
            <w:vAlign w:val="center"/>
          </w:tcPr>
          <w:p>
            <w:pPr>
              <w:widowControl/>
              <w:wordWrap w:val="0"/>
              <w:jc w:val="left"/>
              <w:rPr>
                <w:color w:val="000000" w:themeColor="text1"/>
                <w:szCs w:val="21"/>
                <w14:textFill>
                  <w14:solidFill>
                    <w14:schemeClr w14:val="tx1"/>
                  </w14:solidFill>
                </w14:textFill>
              </w:rPr>
            </w:pPr>
          </w:p>
        </w:tc>
        <w:tc>
          <w:tcPr>
            <w:tcW w:w="2271" w:type="dxa"/>
            <w:tcBorders>
              <w:top w:val="inset" w:color="auto" w:sz="6" w:space="0"/>
              <w:left w:val="nil"/>
              <w:bottom w:val="inset" w:color="auto" w:sz="6" w:space="0"/>
              <w:right w:val="inset" w:color="auto" w:sz="6" w:space="0"/>
            </w:tcBorders>
            <w:vAlign w:val="center"/>
          </w:tcPr>
          <w:p>
            <w:pPr>
              <w:wordWrap w:val="0"/>
              <w:spacing w:line="4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投标函签字盖章</w:t>
            </w:r>
          </w:p>
        </w:tc>
        <w:tc>
          <w:tcPr>
            <w:tcW w:w="3491" w:type="dxa"/>
            <w:tcBorders>
              <w:top w:val="inset" w:color="auto" w:sz="6" w:space="0"/>
              <w:left w:val="nil"/>
              <w:bottom w:val="inset" w:color="auto" w:sz="6" w:space="0"/>
              <w:right w:val="inset" w:color="auto" w:sz="6" w:space="0"/>
            </w:tcBorders>
            <w:vAlign w:val="center"/>
          </w:tcPr>
          <w:p>
            <w:pPr>
              <w:wordWrap w:val="0"/>
              <w:spacing w:line="4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有法定代表人的签章并加盖法人印章</w:t>
            </w:r>
          </w:p>
        </w:tc>
      </w:tr>
      <w:tr>
        <w:tblPrEx>
          <w:tblCellMar>
            <w:top w:w="0" w:type="dxa"/>
            <w:left w:w="0" w:type="dxa"/>
            <w:bottom w:w="0" w:type="dxa"/>
            <w:right w:w="0" w:type="dxa"/>
          </w:tblCellMar>
        </w:tblPrEx>
        <w:trPr>
          <w:trHeight w:val="561" w:hRule="atLeast"/>
        </w:trPr>
        <w:tc>
          <w:tcPr>
            <w:tcW w:w="674" w:type="dxa"/>
            <w:vMerge w:val="continue"/>
            <w:tcBorders>
              <w:top w:val="inset" w:color="auto" w:sz="6" w:space="0"/>
              <w:left w:val="inset" w:color="auto" w:sz="6" w:space="0"/>
              <w:bottom w:val="inset" w:color="auto" w:sz="6" w:space="0"/>
              <w:right w:val="inset" w:color="auto" w:sz="6" w:space="0"/>
            </w:tcBorders>
            <w:vAlign w:val="center"/>
          </w:tcPr>
          <w:p>
            <w:pPr>
              <w:widowControl/>
              <w:wordWrap w:val="0"/>
              <w:jc w:val="left"/>
              <w:rPr>
                <w:color w:val="000000" w:themeColor="text1"/>
                <w:szCs w:val="21"/>
                <w14:textFill>
                  <w14:solidFill>
                    <w14:schemeClr w14:val="tx1"/>
                  </w14:solidFill>
                </w14:textFill>
              </w:rPr>
            </w:pPr>
          </w:p>
        </w:tc>
        <w:tc>
          <w:tcPr>
            <w:tcW w:w="1888" w:type="dxa"/>
            <w:vMerge w:val="continue"/>
            <w:tcBorders>
              <w:top w:val="inset" w:color="auto" w:sz="6" w:space="0"/>
              <w:left w:val="nil"/>
              <w:bottom w:val="inset" w:color="auto" w:sz="6" w:space="0"/>
              <w:right w:val="inset" w:color="auto" w:sz="6" w:space="0"/>
            </w:tcBorders>
            <w:vAlign w:val="center"/>
          </w:tcPr>
          <w:p>
            <w:pPr>
              <w:widowControl/>
              <w:wordWrap w:val="0"/>
              <w:jc w:val="left"/>
              <w:rPr>
                <w:color w:val="000000" w:themeColor="text1"/>
                <w:szCs w:val="21"/>
                <w14:textFill>
                  <w14:solidFill>
                    <w14:schemeClr w14:val="tx1"/>
                  </w14:solidFill>
                </w14:textFill>
              </w:rPr>
            </w:pPr>
          </w:p>
        </w:tc>
        <w:tc>
          <w:tcPr>
            <w:tcW w:w="2271" w:type="dxa"/>
            <w:tcBorders>
              <w:top w:val="inset" w:color="auto" w:sz="6" w:space="0"/>
              <w:left w:val="nil"/>
              <w:bottom w:val="inset" w:color="auto" w:sz="6" w:space="0"/>
              <w:right w:val="inset" w:color="auto" w:sz="6" w:space="0"/>
            </w:tcBorders>
            <w:vAlign w:val="center"/>
          </w:tcPr>
          <w:p>
            <w:pPr>
              <w:wordWrap w:val="0"/>
              <w:spacing w:line="4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报价唯一</w:t>
            </w:r>
          </w:p>
        </w:tc>
        <w:tc>
          <w:tcPr>
            <w:tcW w:w="3491" w:type="dxa"/>
            <w:tcBorders>
              <w:top w:val="inset" w:color="auto" w:sz="6" w:space="0"/>
              <w:left w:val="nil"/>
              <w:bottom w:val="inset" w:color="auto" w:sz="6" w:space="0"/>
              <w:right w:val="inset" w:color="auto" w:sz="6" w:space="0"/>
            </w:tcBorders>
            <w:vAlign w:val="center"/>
          </w:tcPr>
          <w:p>
            <w:pPr>
              <w:wordWrap w:val="0"/>
              <w:spacing w:line="4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只能有一个有效报价</w:t>
            </w:r>
          </w:p>
        </w:tc>
      </w:tr>
      <w:tr>
        <w:tblPrEx>
          <w:tblCellMar>
            <w:top w:w="0" w:type="dxa"/>
            <w:left w:w="0" w:type="dxa"/>
            <w:bottom w:w="0" w:type="dxa"/>
            <w:right w:w="0" w:type="dxa"/>
          </w:tblCellMar>
        </w:tblPrEx>
        <w:trPr>
          <w:trHeight w:val="403" w:hRule="atLeast"/>
        </w:trPr>
        <w:tc>
          <w:tcPr>
            <w:tcW w:w="674" w:type="dxa"/>
            <w:vMerge w:val="restart"/>
            <w:tcBorders>
              <w:top w:val="inset" w:color="auto" w:sz="6" w:space="0"/>
              <w:left w:val="inset" w:color="auto" w:sz="6" w:space="0"/>
              <w:bottom w:val="inset" w:color="auto" w:sz="6" w:space="0"/>
              <w:right w:val="inset" w:color="auto" w:sz="6" w:space="0"/>
            </w:tcBorders>
            <w:vAlign w:val="center"/>
          </w:tcPr>
          <w:p>
            <w:pPr>
              <w:wordWrap w:val="0"/>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.2</w:t>
            </w:r>
          </w:p>
        </w:tc>
        <w:tc>
          <w:tcPr>
            <w:tcW w:w="1888" w:type="dxa"/>
            <w:vMerge w:val="restart"/>
            <w:tcBorders>
              <w:top w:val="inset" w:color="auto" w:sz="6" w:space="0"/>
              <w:left w:val="nil"/>
              <w:bottom w:val="inset" w:color="auto" w:sz="6" w:space="0"/>
              <w:right w:val="inset" w:color="auto" w:sz="6" w:space="0"/>
            </w:tcBorders>
            <w:vAlign w:val="center"/>
          </w:tcPr>
          <w:p>
            <w:pPr>
              <w:wordWrap w:val="0"/>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资格评审标准</w:t>
            </w:r>
          </w:p>
        </w:tc>
        <w:tc>
          <w:tcPr>
            <w:tcW w:w="2271" w:type="dxa"/>
            <w:tcBorders>
              <w:top w:val="inset" w:color="auto" w:sz="6" w:space="0"/>
              <w:left w:val="nil"/>
              <w:right w:val="inset" w:color="auto" w:sz="6" w:space="0"/>
            </w:tcBorders>
            <w:vAlign w:val="center"/>
          </w:tcPr>
          <w:p>
            <w:pPr>
              <w:wordWrap w:val="0"/>
              <w:spacing w:line="4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营业执照</w:t>
            </w:r>
          </w:p>
        </w:tc>
        <w:tc>
          <w:tcPr>
            <w:tcW w:w="3491" w:type="dxa"/>
            <w:tcBorders>
              <w:top w:val="inset" w:color="auto" w:sz="6" w:space="0"/>
              <w:left w:val="nil"/>
              <w:right w:val="inset" w:color="auto" w:sz="6" w:space="0"/>
            </w:tcBorders>
            <w:vAlign w:val="center"/>
          </w:tcPr>
          <w:p>
            <w:pPr>
              <w:wordWrap w:val="0"/>
              <w:spacing w:line="4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具备有效的营业执照</w:t>
            </w:r>
          </w:p>
        </w:tc>
      </w:tr>
      <w:tr>
        <w:tblPrEx>
          <w:tblCellMar>
            <w:top w:w="0" w:type="dxa"/>
            <w:left w:w="0" w:type="dxa"/>
            <w:bottom w:w="0" w:type="dxa"/>
            <w:right w:w="0" w:type="dxa"/>
          </w:tblCellMar>
        </w:tblPrEx>
        <w:trPr>
          <w:trHeight w:val="546" w:hRule="atLeast"/>
        </w:trPr>
        <w:tc>
          <w:tcPr>
            <w:tcW w:w="674" w:type="dxa"/>
            <w:vMerge w:val="continue"/>
            <w:tcBorders>
              <w:top w:val="inset" w:color="auto" w:sz="6" w:space="0"/>
              <w:left w:val="inset" w:color="auto" w:sz="6" w:space="0"/>
              <w:bottom w:val="inset" w:color="auto" w:sz="6" w:space="0"/>
              <w:right w:val="inset" w:color="auto" w:sz="6" w:space="0"/>
            </w:tcBorders>
            <w:vAlign w:val="center"/>
          </w:tcPr>
          <w:p>
            <w:pPr>
              <w:widowControl/>
              <w:wordWrap w:val="0"/>
              <w:jc w:val="left"/>
              <w:rPr>
                <w:color w:val="000000" w:themeColor="text1"/>
                <w:szCs w:val="21"/>
                <w14:textFill>
                  <w14:solidFill>
                    <w14:schemeClr w14:val="tx1"/>
                  </w14:solidFill>
                </w14:textFill>
              </w:rPr>
            </w:pPr>
          </w:p>
        </w:tc>
        <w:tc>
          <w:tcPr>
            <w:tcW w:w="1888" w:type="dxa"/>
            <w:vMerge w:val="continue"/>
            <w:tcBorders>
              <w:top w:val="inset" w:color="auto" w:sz="6" w:space="0"/>
              <w:left w:val="nil"/>
              <w:bottom w:val="inset" w:color="auto" w:sz="6" w:space="0"/>
              <w:right w:val="inset" w:color="auto" w:sz="6" w:space="0"/>
            </w:tcBorders>
            <w:vAlign w:val="center"/>
          </w:tcPr>
          <w:p>
            <w:pPr>
              <w:widowControl/>
              <w:wordWrap w:val="0"/>
              <w:jc w:val="left"/>
              <w:rPr>
                <w:color w:val="000000" w:themeColor="text1"/>
                <w:szCs w:val="21"/>
                <w14:textFill>
                  <w14:solidFill>
                    <w14:schemeClr w14:val="tx1"/>
                  </w14:solidFill>
                </w14:textFill>
              </w:rPr>
            </w:pPr>
          </w:p>
        </w:tc>
        <w:tc>
          <w:tcPr>
            <w:tcW w:w="2271" w:type="dxa"/>
            <w:tcBorders>
              <w:top w:val="inset" w:color="auto" w:sz="6" w:space="0"/>
              <w:left w:val="nil"/>
              <w:bottom w:val="inset" w:color="auto" w:sz="6" w:space="0"/>
              <w:right w:val="inset" w:color="auto" w:sz="6" w:space="0"/>
            </w:tcBorders>
            <w:vAlign w:val="center"/>
          </w:tcPr>
          <w:p>
            <w:pPr>
              <w:wordWrap w:val="0"/>
              <w:spacing w:line="4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资质证书</w:t>
            </w:r>
          </w:p>
        </w:tc>
        <w:tc>
          <w:tcPr>
            <w:tcW w:w="3491" w:type="dxa"/>
            <w:tcBorders>
              <w:top w:val="inset" w:color="auto" w:sz="6" w:space="0"/>
              <w:left w:val="nil"/>
              <w:bottom w:val="inset" w:color="auto" w:sz="6" w:space="0"/>
              <w:right w:val="inset" w:color="auto" w:sz="6" w:space="0"/>
            </w:tcBorders>
            <w:vAlign w:val="center"/>
          </w:tcPr>
          <w:p>
            <w:pPr>
              <w:wordWrap w:val="0"/>
              <w:spacing w:line="4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具备有效的资质证书</w:t>
            </w:r>
          </w:p>
        </w:tc>
      </w:tr>
      <w:tr>
        <w:tblPrEx>
          <w:tblCellMar>
            <w:top w:w="0" w:type="dxa"/>
            <w:left w:w="0" w:type="dxa"/>
            <w:bottom w:w="0" w:type="dxa"/>
            <w:right w:w="0" w:type="dxa"/>
          </w:tblCellMar>
        </w:tblPrEx>
        <w:trPr>
          <w:trHeight w:val="569" w:hRule="atLeast"/>
        </w:trPr>
        <w:tc>
          <w:tcPr>
            <w:tcW w:w="674" w:type="dxa"/>
            <w:vMerge w:val="continue"/>
            <w:tcBorders>
              <w:top w:val="inset" w:color="auto" w:sz="6" w:space="0"/>
              <w:left w:val="inset" w:color="auto" w:sz="6" w:space="0"/>
              <w:bottom w:val="inset" w:color="auto" w:sz="6" w:space="0"/>
              <w:right w:val="inset" w:color="auto" w:sz="6" w:space="0"/>
            </w:tcBorders>
            <w:vAlign w:val="center"/>
          </w:tcPr>
          <w:p>
            <w:pPr>
              <w:widowControl/>
              <w:wordWrap w:val="0"/>
              <w:jc w:val="left"/>
              <w:rPr>
                <w:color w:val="000000" w:themeColor="text1"/>
                <w:szCs w:val="21"/>
                <w14:textFill>
                  <w14:solidFill>
                    <w14:schemeClr w14:val="tx1"/>
                  </w14:solidFill>
                </w14:textFill>
              </w:rPr>
            </w:pPr>
          </w:p>
        </w:tc>
        <w:tc>
          <w:tcPr>
            <w:tcW w:w="1888" w:type="dxa"/>
            <w:vMerge w:val="continue"/>
            <w:tcBorders>
              <w:top w:val="inset" w:color="auto" w:sz="6" w:space="0"/>
              <w:left w:val="nil"/>
              <w:bottom w:val="inset" w:color="auto" w:sz="6" w:space="0"/>
              <w:right w:val="inset" w:color="auto" w:sz="6" w:space="0"/>
            </w:tcBorders>
            <w:vAlign w:val="center"/>
          </w:tcPr>
          <w:p>
            <w:pPr>
              <w:widowControl/>
              <w:wordWrap w:val="0"/>
              <w:jc w:val="left"/>
              <w:rPr>
                <w:color w:val="000000" w:themeColor="text1"/>
                <w:szCs w:val="21"/>
                <w14:textFill>
                  <w14:solidFill>
                    <w14:schemeClr w14:val="tx1"/>
                  </w14:solidFill>
                </w14:textFill>
              </w:rPr>
            </w:pPr>
          </w:p>
        </w:tc>
        <w:tc>
          <w:tcPr>
            <w:tcW w:w="2271" w:type="dxa"/>
            <w:tcBorders>
              <w:top w:val="inset" w:color="auto" w:sz="6" w:space="0"/>
              <w:left w:val="nil"/>
              <w:bottom w:val="inset" w:color="auto" w:sz="6" w:space="0"/>
              <w:right w:val="inset" w:color="auto" w:sz="6" w:space="0"/>
            </w:tcBorders>
            <w:vAlign w:val="center"/>
          </w:tcPr>
          <w:p>
            <w:pPr>
              <w:wordWrap w:val="0"/>
              <w:spacing w:line="4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资质等级</w:t>
            </w:r>
          </w:p>
        </w:tc>
        <w:tc>
          <w:tcPr>
            <w:tcW w:w="3491" w:type="dxa"/>
            <w:tcBorders>
              <w:top w:val="inset" w:color="auto" w:sz="6" w:space="0"/>
              <w:left w:val="nil"/>
              <w:bottom w:val="inset" w:color="auto" w:sz="6" w:space="0"/>
              <w:right w:val="inset" w:color="auto" w:sz="6" w:space="0"/>
            </w:tcBorders>
            <w:vAlign w:val="center"/>
          </w:tcPr>
          <w:p>
            <w:pPr>
              <w:wordWrap w:val="0"/>
              <w:spacing w:line="4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符合第二章“</w:t>
            </w:r>
            <w:r>
              <w:rPr>
                <w:rFonts w:ascii="宋体" w:hAnsi="宋体"/>
                <w:color w:val="000000" w:themeColor="text1"/>
                <w:szCs w:val="21"/>
                <w14:textFill>
                  <w14:solidFill>
                    <w14:schemeClr w14:val="tx1"/>
                  </w14:solidFill>
                </w14:textFill>
              </w:rPr>
              <w:t>投标人须知</w:t>
            </w:r>
            <w:r>
              <w:rPr>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第</w:t>
            </w:r>
            <w:r>
              <w:rPr>
                <w:color w:val="000000" w:themeColor="text1"/>
                <w:szCs w:val="21"/>
                <w14:textFill>
                  <w14:solidFill>
                    <w14:schemeClr w14:val="tx1"/>
                  </w14:solidFill>
                </w14:textFill>
              </w:rPr>
              <w:t>1.4.1</w:t>
            </w:r>
            <w:r>
              <w:rPr>
                <w:rFonts w:ascii="宋体" w:hAnsi="宋体"/>
                <w:color w:val="000000" w:themeColor="text1"/>
                <w:szCs w:val="21"/>
                <w14:textFill>
                  <w14:solidFill>
                    <w14:schemeClr w14:val="tx1"/>
                  </w14:solidFill>
                </w14:textFill>
              </w:rPr>
              <w:t>项规定</w:t>
            </w:r>
          </w:p>
        </w:tc>
      </w:tr>
      <w:tr>
        <w:tblPrEx>
          <w:tblCellMar>
            <w:top w:w="0" w:type="dxa"/>
            <w:left w:w="0" w:type="dxa"/>
            <w:bottom w:w="0" w:type="dxa"/>
            <w:right w:w="0" w:type="dxa"/>
          </w:tblCellMar>
        </w:tblPrEx>
        <w:trPr>
          <w:trHeight w:val="548" w:hRule="atLeast"/>
        </w:trPr>
        <w:tc>
          <w:tcPr>
            <w:tcW w:w="674" w:type="dxa"/>
            <w:vMerge w:val="continue"/>
            <w:tcBorders>
              <w:top w:val="inset" w:color="auto" w:sz="6" w:space="0"/>
              <w:left w:val="inset" w:color="auto" w:sz="6" w:space="0"/>
              <w:bottom w:val="inset" w:color="auto" w:sz="6" w:space="0"/>
              <w:right w:val="inset" w:color="auto" w:sz="6" w:space="0"/>
            </w:tcBorders>
            <w:vAlign w:val="center"/>
          </w:tcPr>
          <w:p>
            <w:pPr>
              <w:widowControl/>
              <w:wordWrap w:val="0"/>
              <w:jc w:val="left"/>
              <w:rPr>
                <w:color w:val="000000" w:themeColor="text1"/>
                <w:szCs w:val="21"/>
                <w14:textFill>
                  <w14:solidFill>
                    <w14:schemeClr w14:val="tx1"/>
                  </w14:solidFill>
                </w14:textFill>
              </w:rPr>
            </w:pPr>
          </w:p>
        </w:tc>
        <w:tc>
          <w:tcPr>
            <w:tcW w:w="1888" w:type="dxa"/>
            <w:vMerge w:val="continue"/>
            <w:tcBorders>
              <w:top w:val="inset" w:color="auto" w:sz="6" w:space="0"/>
              <w:left w:val="nil"/>
              <w:bottom w:val="inset" w:color="auto" w:sz="6" w:space="0"/>
              <w:right w:val="inset" w:color="auto" w:sz="6" w:space="0"/>
            </w:tcBorders>
            <w:vAlign w:val="center"/>
          </w:tcPr>
          <w:p>
            <w:pPr>
              <w:widowControl/>
              <w:wordWrap w:val="0"/>
              <w:jc w:val="left"/>
              <w:rPr>
                <w:color w:val="000000" w:themeColor="text1"/>
                <w:szCs w:val="21"/>
                <w14:textFill>
                  <w14:solidFill>
                    <w14:schemeClr w14:val="tx1"/>
                  </w14:solidFill>
                </w14:textFill>
              </w:rPr>
            </w:pPr>
          </w:p>
        </w:tc>
        <w:tc>
          <w:tcPr>
            <w:tcW w:w="2271" w:type="dxa"/>
            <w:tcBorders>
              <w:top w:val="inset" w:color="auto" w:sz="6" w:space="0"/>
              <w:left w:val="nil"/>
              <w:bottom w:val="inset" w:color="auto" w:sz="6" w:space="0"/>
              <w:right w:val="inset" w:color="auto" w:sz="6" w:space="0"/>
            </w:tcBorders>
            <w:vAlign w:val="center"/>
          </w:tcPr>
          <w:p>
            <w:pPr>
              <w:wordWrap w:val="0"/>
              <w:spacing w:line="4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财务要求</w:t>
            </w:r>
          </w:p>
        </w:tc>
        <w:tc>
          <w:tcPr>
            <w:tcW w:w="3491" w:type="dxa"/>
            <w:tcBorders>
              <w:top w:val="inset" w:color="auto" w:sz="6" w:space="0"/>
              <w:left w:val="nil"/>
              <w:bottom w:val="inset" w:color="auto" w:sz="6" w:space="0"/>
              <w:right w:val="inset" w:color="auto" w:sz="6" w:space="0"/>
            </w:tcBorders>
            <w:vAlign w:val="center"/>
          </w:tcPr>
          <w:p>
            <w:pPr>
              <w:wordWrap w:val="0"/>
              <w:spacing w:line="4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符合第二章“</w:t>
            </w:r>
            <w:r>
              <w:rPr>
                <w:rFonts w:ascii="宋体" w:hAnsi="宋体"/>
                <w:color w:val="000000" w:themeColor="text1"/>
                <w:szCs w:val="21"/>
                <w14:textFill>
                  <w14:solidFill>
                    <w14:schemeClr w14:val="tx1"/>
                  </w14:solidFill>
                </w14:textFill>
              </w:rPr>
              <w:t>投标人须知</w:t>
            </w:r>
            <w:r>
              <w:rPr>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第</w:t>
            </w:r>
            <w:r>
              <w:rPr>
                <w:color w:val="000000" w:themeColor="text1"/>
                <w:szCs w:val="21"/>
                <w14:textFill>
                  <w14:solidFill>
                    <w14:schemeClr w14:val="tx1"/>
                  </w14:solidFill>
                </w14:textFill>
              </w:rPr>
              <w:t>1.4.1</w:t>
            </w:r>
            <w:r>
              <w:rPr>
                <w:rFonts w:ascii="宋体" w:hAnsi="宋体"/>
                <w:color w:val="000000" w:themeColor="text1"/>
                <w:szCs w:val="21"/>
                <w14:textFill>
                  <w14:solidFill>
                    <w14:schemeClr w14:val="tx1"/>
                  </w14:solidFill>
                </w14:textFill>
              </w:rPr>
              <w:t>项规定</w:t>
            </w:r>
          </w:p>
        </w:tc>
      </w:tr>
      <w:tr>
        <w:tblPrEx>
          <w:tblCellMar>
            <w:top w:w="0" w:type="dxa"/>
            <w:left w:w="0" w:type="dxa"/>
            <w:bottom w:w="0" w:type="dxa"/>
            <w:right w:w="0" w:type="dxa"/>
          </w:tblCellMar>
        </w:tblPrEx>
        <w:trPr>
          <w:trHeight w:val="541" w:hRule="atLeast"/>
        </w:trPr>
        <w:tc>
          <w:tcPr>
            <w:tcW w:w="674" w:type="dxa"/>
            <w:vMerge w:val="continue"/>
            <w:tcBorders>
              <w:top w:val="inset" w:color="auto" w:sz="6" w:space="0"/>
              <w:left w:val="inset" w:color="auto" w:sz="6" w:space="0"/>
              <w:bottom w:val="inset" w:color="auto" w:sz="6" w:space="0"/>
              <w:right w:val="inset" w:color="auto" w:sz="6" w:space="0"/>
            </w:tcBorders>
            <w:vAlign w:val="center"/>
          </w:tcPr>
          <w:p>
            <w:pPr>
              <w:widowControl/>
              <w:wordWrap w:val="0"/>
              <w:jc w:val="left"/>
              <w:rPr>
                <w:color w:val="000000" w:themeColor="text1"/>
                <w:szCs w:val="21"/>
                <w14:textFill>
                  <w14:solidFill>
                    <w14:schemeClr w14:val="tx1"/>
                  </w14:solidFill>
                </w14:textFill>
              </w:rPr>
            </w:pPr>
          </w:p>
        </w:tc>
        <w:tc>
          <w:tcPr>
            <w:tcW w:w="1888" w:type="dxa"/>
            <w:vMerge w:val="continue"/>
            <w:tcBorders>
              <w:top w:val="inset" w:color="auto" w:sz="6" w:space="0"/>
              <w:left w:val="nil"/>
              <w:bottom w:val="inset" w:color="auto" w:sz="6" w:space="0"/>
              <w:right w:val="inset" w:color="auto" w:sz="6" w:space="0"/>
            </w:tcBorders>
            <w:vAlign w:val="center"/>
          </w:tcPr>
          <w:p>
            <w:pPr>
              <w:widowControl/>
              <w:wordWrap w:val="0"/>
              <w:jc w:val="left"/>
              <w:rPr>
                <w:color w:val="000000" w:themeColor="text1"/>
                <w:szCs w:val="21"/>
                <w14:textFill>
                  <w14:solidFill>
                    <w14:schemeClr w14:val="tx1"/>
                  </w14:solidFill>
                </w14:textFill>
              </w:rPr>
            </w:pPr>
          </w:p>
        </w:tc>
        <w:tc>
          <w:tcPr>
            <w:tcW w:w="2271" w:type="dxa"/>
            <w:tcBorders>
              <w:top w:val="inset" w:color="auto" w:sz="6" w:space="0"/>
              <w:left w:val="nil"/>
              <w:bottom w:val="inset" w:color="auto" w:sz="6" w:space="0"/>
              <w:right w:val="inset" w:color="auto" w:sz="6" w:space="0"/>
            </w:tcBorders>
            <w:vAlign w:val="center"/>
          </w:tcPr>
          <w:p>
            <w:pPr>
              <w:wordWrap w:val="0"/>
              <w:spacing w:line="4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业绩要求</w:t>
            </w:r>
          </w:p>
        </w:tc>
        <w:tc>
          <w:tcPr>
            <w:tcW w:w="3491" w:type="dxa"/>
            <w:tcBorders>
              <w:top w:val="inset" w:color="auto" w:sz="6" w:space="0"/>
              <w:left w:val="nil"/>
              <w:bottom w:val="inset" w:color="auto" w:sz="6" w:space="0"/>
              <w:right w:val="inset" w:color="auto" w:sz="6" w:space="0"/>
            </w:tcBorders>
            <w:vAlign w:val="center"/>
          </w:tcPr>
          <w:p>
            <w:pPr>
              <w:wordWrap w:val="0"/>
              <w:spacing w:line="4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符合第二章“</w:t>
            </w:r>
            <w:r>
              <w:rPr>
                <w:rFonts w:ascii="宋体" w:hAnsi="宋体"/>
                <w:color w:val="000000" w:themeColor="text1"/>
                <w:szCs w:val="21"/>
                <w14:textFill>
                  <w14:solidFill>
                    <w14:schemeClr w14:val="tx1"/>
                  </w14:solidFill>
                </w14:textFill>
              </w:rPr>
              <w:t>投标人须知</w:t>
            </w:r>
            <w:r>
              <w:rPr>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第</w:t>
            </w:r>
            <w:r>
              <w:rPr>
                <w:color w:val="000000" w:themeColor="text1"/>
                <w:szCs w:val="21"/>
                <w14:textFill>
                  <w14:solidFill>
                    <w14:schemeClr w14:val="tx1"/>
                  </w14:solidFill>
                </w14:textFill>
              </w:rPr>
              <w:t>1.4.1</w:t>
            </w:r>
            <w:r>
              <w:rPr>
                <w:rFonts w:ascii="宋体" w:hAnsi="宋体"/>
                <w:color w:val="000000" w:themeColor="text1"/>
                <w:szCs w:val="21"/>
                <w14:textFill>
                  <w14:solidFill>
                    <w14:schemeClr w14:val="tx1"/>
                  </w14:solidFill>
                </w14:textFill>
              </w:rPr>
              <w:t>项规定</w:t>
            </w:r>
          </w:p>
        </w:tc>
      </w:tr>
      <w:tr>
        <w:tblPrEx>
          <w:tblCellMar>
            <w:top w:w="0" w:type="dxa"/>
            <w:left w:w="0" w:type="dxa"/>
            <w:bottom w:w="0" w:type="dxa"/>
            <w:right w:w="0" w:type="dxa"/>
          </w:tblCellMar>
        </w:tblPrEx>
        <w:trPr>
          <w:trHeight w:val="549" w:hRule="atLeast"/>
        </w:trPr>
        <w:tc>
          <w:tcPr>
            <w:tcW w:w="674" w:type="dxa"/>
            <w:vMerge w:val="continue"/>
            <w:tcBorders>
              <w:top w:val="inset" w:color="auto" w:sz="6" w:space="0"/>
              <w:left w:val="inset" w:color="auto" w:sz="6" w:space="0"/>
              <w:bottom w:val="inset" w:color="auto" w:sz="6" w:space="0"/>
              <w:right w:val="inset" w:color="auto" w:sz="6" w:space="0"/>
            </w:tcBorders>
            <w:vAlign w:val="center"/>
          </w:tcPr>
          <w:p>
            <w:pPr>
              <w:widowControl/>
              <w:wordWrap w:val="0"/>
              <w:jc w:val="left"/>
              <w:rPr>
                <w:color w:val="000000" w:themeColor="text1"/>
                <w:szCs w:val="21"/>
                <w14:textFill>
                  <w14:solidFill>
                    <w14:schemeClr w14:val="tx1"/>
                  </w14:solidFill>
                </w14:textFill>
              </w:rPr>
            </w:pPr>
          </w:p>
        </w:tc>
        <w:tc>
          <w:tcPr>
            <w:tcW w:w="1888" w:type="dxa"/>
            <w:vMerge w:val="continue"/>
            <w:tcBorders>
              <w:top w:val="inset" w:color="auto" w:sz="6" w:space="0"/>
              <w:left w:val="nil"/>
              <w:bottom w:val="inset" w:color="auto" w:sz="6" w:space="0"/>
              <w:right w:val="inset" w:color="auto" w:sz="6" w:space="0"/>
            </w:tcBorders>
            <w:vAlign w:val="center"/>
          </w:tcPr>
          <w:p>
            <w:pPr>
              <w:widowControl/>
              <w:wordWrap w:val="0"/>
              <w:jc w:val="left"/>
              <w:rPr>
                <w:color w:val="000000" w:themeColor="text1"/>
                <w:szCs w:val="21"/>
                <w14:textFill>
                  <w14:solidFill>
                    <w14:schemeClr w14:val="tx1"/>
                  </w14:solidFill>
                </w14:textFill>
              </w:rPr>
            </w:pPr>
          </w:p>
        </w:tc>
        <w:tc>
          <w:tcPr>
            <w:tcW w:w="2271" w:type="dxa"/>
            <w:tcBorders>
              <w:top w:val="inset" w:color="auto" w:sz="6" w:space="0"/>
              <w:left w:val="nil"/>
              <w:bottom w:val="inset" w:color="auto" w:sz="6" w:space="0"/>
              <w:right w:val="inset" w:color="auto" w:sz="6" w:space="0"/>
            </w:tcBorders>
            <w:vAlign w:val="center"/>
          </w:tcPr>
          <w:p>
            <w:pPr>
              <w:wordWrap w:val="0"/>
              <w:spacing w:line="4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拟派项目负责人要求</w:t>
            </w:r>
          </w:p>
        </w:tc>
        <w:tc>
          <w:tcPr>
            <w:tcW w:w="3491" w:type="dxa"/>
            <w:tcBorders>
              <w:top w:val="inset" w:color="auto" w:sz="6" w:space="0"/>
              <w:left w:val="nil"/>
              <w:bottom w:val="inset" w:color="auto" w:sz="6" w:space="0"/>
              <w:right w:val="inset" w:color="auto" w:sz="6" w:space="0"/>
            </w:tcBorders>
            <w:vAlign w:val="center"/>
          </w:tcPr>
          <w:p>
            <w:pPr>
              <w:wordWrap w:val="0"/>
              <w:spacing w:line="4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符合第二章“</w:t>
            </w:r>
            <w:r>
              <w:rPr>
                <w:rFonts w:ascii="宋体" w:hAnsi="宋体"/>
                <w:color w:val="000000" w:themeColor="text1"/>
                <w:szCs w:val="21"/>
                <w14:textFill>
                  <w14:solidFill>
                    <w14:schemeClr w14:val="tx1"/>
                  </w14:solidFill>
                </w14:textFill>
              </w:rPr>
              <w:t>投标人须知</w:t>
            </w:r>
            <w:r>
              <w:rPr>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第</w:t>
            </w:r>
            <w:r>
              <w:rPr>
                <w:color w:val="000000" w:themeColor="text1"/>
                <w:szCs w:val="21"/>
                <w14:textFill>
                  <w14:solidFill>
                    <w14:schemeClr w14:val="tx1"/>
                  </w14:solidFill>
                </w14:textFill>
              </w:rPr>
              <w:t>1.4.1</w:t>
            </w:r>
            <w:r>
              <w:rPr>
                <w:rFonts w:ascii="宋体" w:hAnsi="宋体"/>
                <w:color w:val="000000" w:themeColor="text1"/>
                <w:szCs w:val="21"/>
                <w14:textFill>
                  <w14:solidFill>
                    <w14:schemeClr w14:val="tx1"/>
                  </w14:solidFill>
                </w14:textFill>
              </w:rPr>
              <w:t>项规定</w:t>
            </w:r>
          </w:p>
        </w:tc>
      </w:tr>
      <w:tr>
        <w:tblPrEx>
          <w:tblCellMar>
            <w:top w:w="0" w:type="dxa"/>
            <w:left w:w="0" w:type="dxa"/>
            <w:bottom w:w="0" w:type="dxa"/>
            <w:right w:w="0" w:type="dxa"/>
          </w:tblCellMar>
        </w:tblPrEx>
        <w:tc>
          <w:tcPr>
            <w:tcW w:w="674" w:type="dxa"/>
            <w:vMerge w:val="continue"/>
            <w:tcBorders>
              <w:top w:val="inset" w:color="auto" w:sz="6" w:space="0"/>
              <w:left w:val="inset" w:color="auto" w:sz="6" w:space="0"/>
              <w:bottom w:val="inset" w:color="auto" w:sz="6" w:space="0"/>
              <w:right w:val="inset" w:color="auto" w:sz="6" w:space="0"/>
            </w:tcBorders>
            <w:vAlign w:val="center"/>
          </w:tcPr>
          <w:p>
            <w:pPr>
              <w:widowControl/>
              <w:wordWrap w:val="0"/>
              <w:jc w:val="left"/>
              <w:rPr>
                <w:color w:val="000000" w:themeColor="text1"/>
                <w:szCs w:val="21"/>
                <w14:textFill>
                  <w14:solidFill>
                    <w14:schemeClr w14:val="tx1"/>
                  </w14:solidFill>
                </w14:textFill>
              </w:rPr>
            </w:pPr>
          </w:p>
        </w:tc>
        <w:tc>
          <w:tcPr>
            <w:tcW w:w="1888" w:type="dxa"/>
            <w:vMerge w:val="continue"/>
            <w:tcBorders>
              <w:top w:val="inset" w:color="auto" w:sz="6" w:space="0"/>
              <w:left w:val="nil"/>
              <w:bottom w:val="inset" w:color="auto" w:sz="6" w:space="0"/>
              <w:right w:val="inset" w:color="auto" w:sz="6" w:space="0"/>
            </w:tcBorders>
            <w:vAlign w:val="center"/>
          </w:tcPr>
          <w:p>
            <w:pPr>
              <w:widowControl/>
              <w:wordWrap w:val="0"/>
              <w:jc w:val="left"/>
              <w:rPr>
                <w:color w:val="000000" w:themeColor="text1"/>
                <w:szCs w:val="21"/>
                <w14:textFill>
                  <w14:solidFill>
                    <w14:schemeClr w14:val="tx1"/>
                  </w14:solidFill>
                </w14:textFill>
              </w:rPr>
            </w:pPr>
          </w:p>
        </w:tc>
        <w:tc>
          <w:tcPr>
            <w:tcW w:w="2271" w:type="dxa"/>
            <w:tcBorders>
              <w:top w:val="inset" w:color="auto" w:sz="6" w:space="0"/>
              <w:left w:val="nil"/>
              <w:bottom w:val="inset" w:color="auto" w:sz="6" w:space="0"/>
              <w:right w:val="inset" w:color="auto" w:sz="6" w:space="0"/>
            </w:tcBorders>
            <w:vAlign w:val="center"/>
          </w:tcPr>
          <w:p>
            <w:pPr>
              <w:wordWrap w:val="0"/>
              <w:spacing w:line="4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其他要求</w:t>
            </w:r>
          </w:p>
        </w:tc>
        <w:tc>
          <w:tcPr>
            <w:tcW w:w="3491" w:type="dxa"/>
            <w:tcBorders>
              <w:top w:val="inset" w:color="auto" w:sz="6" w:space="0"/>
              <w:left w:val="nil"/>
              <w:bottom w:val="inset" w:color="auto" w:sz="6" w:space="0"/>
              <w:right w:val="inset" w:color="auto" w:sz="6" w:space="0"/>
            </w:tcBorders>
            <w:vAlign w:val="center"/>
          </w:tcPr>
          <w:p>
            <w:pPr>
              <w:wordWrap w:val="0"/>
              <w:spacing w:line="4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符合第二章“</w:t>
            </w:r>
            <w:r>
              <w:rPr>
                <w:rFonts w:ascii="宋体" w:hAnsi="宋体"/>
                <w:color w:val="000000" w:themeColor="text1"/>
                <w:szCs w:val="21"/>
                <w14:textFill>
                  <w14:solidFill>
                    <w14:schemeClr w14:val="tx1"/>
                  </w14:solidFill>
                </w14:textFill>
              </w:rPr>
              <w:t>投标人须知</w:t>
            </w:r>
            <w:r>
              <w:rPr>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第</w:t>
            </w:r>
            <w:r>
              <w:rPr>
                <w:color w:val="000000" w:themeColor="text1"/>
                <w:szCs w:val="21"/>
                <w14:textFill>
                  <w14:solidFill>
                    <w14:schemeClr w14:val="tx1"/>
                  </w14:solidFill>
                </w14:textFill>
              </w:rPr>
              <w:t>1.4.1</w:t>
            </w:r>
            <w:r>
              <w:rPr>
                <w:rFonts w:hint="eastAsia"/>
                <w:color w:val="000000" w:themeColor="text1"/>
                <w:szCs w:val="21"/>
                <w14:textFill>
                  <w14:solidFill>
                    <w14:schemeClr w14:val="tx1"/>
                  </w14:solidFill>
                </w14:textFill>
              </w:rPr>
              <w:t>项</w:t>
            </w:r>
            <w:r>
              <w:rPr>
                <w:color w:val="000000" w:themeColor="text1"/>
                <w:szCs w:val="21"/>
                <w14:textFill>
                  <w14:solidFill>
                    <w14:schemeClr w14:val="tx1"/>
                  </w14:solidFill>
                </w14:textFill>
              </w:rPr>
              <w:t>规定</w:t>
            </w:r>
            <w:r>
              <w:rPr>
                <w:rFonts w:hint="eastAsia"/>
                <w:color w:val="000000" w:themeColor="text1"/>
                <w:szCs w:val="21"/>
                <w14:textFill>
                  <w14:solidFill>
                    <w14:schemeClr w14:val="tx1"/>
                  </w14:solidFill>
                </w14:textFill>
              </w:rPr>
              <w:t>的</w:t>
            </w:r>
            <w:r>
              <w:rPr>
                <w:color w:val="000000" w:themeColor="text1"/>
                <w:szCs w:val="21"/>
                <w14:textFill>
                  <w14:solidFill>
                    <w14:schemeClr w14:val="tx1"/>
                  </w14:solidFill>
                </w14:textFill>
              </w:rPr>
              <w:t>其他要求</w:t>
            </w:r>
          </w:p>
        </w:tc>
      </w:tr>
      <w:tr>
        <w:tblPrEx>
          <w:tblCellMar>
            <w:top w:w="0" w:type="dxa"/>
            <w:left w:w="0" w:type="dxa"/>
            <w:bottom w:w="0" w:type="dxa"/>
            <w:right w:w="0" w:type="dxa"/>
          </w:tblCellMar>
        </w:tblPrEx>
        <w:trPr>
          <w:trHeight w:val="583" w:hRule="atLeast"/>
        </w:trPr>
        <w:tc>
          <w:tcPr>
            <w:tcW w:w="674" w:type="dxa"/>
            <w:vMerge w:val="restart"/>
            <w:tcBorders>
              <w:top w:val="inset" w:color="auto" w:sz="6" w:space="0"/>
              <w:left w:val="inset" w:color="auto" w:sz="6" w:space="0"/>
              <w:bottom w:val="inset" w:color="auto" w:sz="6" w:space="0"/>
              <w:right w:val="inset" w:color="auto" w:sz="6" w:space="0"/>
            </w:tcBorders>
            <w:vAlign w:val="center"/>
          </w:tcPr>
          <w:p>
            <w:pPr>
              <w:wordWrap w:val="0"/>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.3</w:t>
            </w:r>
          </w:p>
        </w:tc>
        <w:tc>
          <w:tcPr>
            <w:tcW w:w="1888" w:type="dxa"/>
            <w:vMerge w:val="restart"/>
            <w:tcBorders>
              <w:top w:val="inset" w:color="auto" w:sz="6" w:space="0"/>
              <w:left w:val="inset" w:color="auto" w:sz="6" w:space="0"/>
              <w:bottom w:val="inset" w:color="auto" w:sz="6" w:space="0"/>
              <w:right w:val="inset" w:color="auto" w:sz="6" w:space="0"/>
            </w:tcBorders>
            <w:vAlign w:val="center"/>
          </w:tcPr>
          <w:p>
            <w:pPr>
              <w:wordWrap w:val="0"/>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响应性评审标准</w:t>
            </w:r>
          </w:p>
        </w:tc>
        <w:tc>
          <w:tcPr>
            <w:tcW w:w="2271" w:type="dxa"/>
            <w:tcBorders>
              <w:top w:val="inset" w:color="auto" w:sz="6" w:space="0"/>
              <w:left w:val="inset" w:color="auto" w:sz="6" w:space="0"/>
              <w:bottom w:val="inset" w:color="auto" w:sz="6" w:space="0"/>
              <w:right w:val="inset" w:color="auto" w:sz="6" w:space="0"/>
            </w:tcBorders>
            <w:vAlign w:val="center"/>
          </w:tcPr>
          <w:p>
            <w:pPr>
              <w:wordWrap w:val="0"/>
              <w:spacing w:line="4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投标内容</w:t>
            </w:r>
          </w:p>
        </w:tc>
        <w:tc>
          <w:tcPr>
            <w:tcW w:w="3491" w:type="dxa"/>
            <w:tcBorders>
              <w:top w:val="inset" w:color="auto" w:sz="6" w:space="0"/>
              <w:left w:val="nil"/>
              <w:bottom w:val="inset" w:color="auto" w:sz="6" w:space="0"/>
              <w:right w:val="inset" w:color="auto" w:sz="6" w:space="0"/>
            </w:tcBorders>
            <w:vAlign w:val="center"/>
          </w:tcPr>
          <w:p>
            <w:pPr>
              <w:wordWrap w:val="0"/>
              <w:spacing w:line="4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符合第二章“</w:t>
            </w:r>
            <w:r>
              <w:rPr>
                <w:rFonts w:ascii="宋体" w:hAnsi="宋体"/>
                <w:color w:val="000000" w:themeColor="text1"/>
                <w:szCs w:val="21"/>
                <w14:textFill>
                  <w14:solidFill>
                    <w14:schemeClr w14:val="tx1"/>
                  </w14:solidFill>
                </w14:textFill>
              </w:rPr>
              <w:t>投标人须知</w:t>
            </w:r>
            <w:r>
              <w:rPr>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第</w:t>
            </w:r>
            <w:r>
              <w:rPr>
                <w:color w:val="000000" w:themeColor="text1"/>
                <w:szCs w:val="21"/>
                <w14:textFill>
                  <w14:solidFill>
                    <w14:schemeClr w14:val="tx1"/>
                  </w14:solidFill>
                </w14:textFill>
              </w:rPr>
              <w:t>1.3.1</w:t>
            </w:r>
            <w:r>
              <w:rPr>
                <w:rFonts w:ascii="宋体" w:hAnsi="宋体"/>
                <w:color w:val="000000" w:themeColor="text1"/>
                <w:szCs w:val="21"/>
                <w14:textFill>
                  <w14:solidFill>
                    <w14:schemeClr w14:val="tx1"/>
                  </w14:solidFill>
                </w14:textFill>
              </w:rPr>
              <w:t>项规定</w:t>
            </w:r>
          </w:p>
        </w:tc>
      </w:tr>
      <w:tr>
        <w:tblPrEx>
          <w:tblCellMar>
            <w:top w:w="0" w:type="dxa"/>
            <w:left w:w="0" w:type="dxa"/>
            <w:bottom w:w="0" w:type="dxa"/>
            <w:right w:w="0" w:type="dxa"/>
          </w:tblCellMar>
        </w:tblPrEx>
        <w:tc>
          <w:tcPr>
            <w:tcW w:w="674" w:type="dxa"/>
            <w:vMerge w:val="continue"/>
            <w:tcBorders>
              <w:top w:val="inset" w:color="auto" w:sz="6" w:space="0"/>
              <w:left w:val="inset" w:color="auto" w:sz="6" w:space="0"/>
              <w:bottom w:val="inset" w:color="auto" w:sz="6" w:space="0"/>
              <w:right w:val="inset" w:color="auto" w:sz="6" w:space="0"/>
            </w:tcBorders>
            <w:vAlign w:val="center"/>
          </w:tcPr>
          <w:p>
            <w:pPr>
              <w:widowControl/>
              <w:wordWrap w:val="0"/>
              <w:jc w:val="left"/>
              <w:rPr>
                <w:color w:val="000000" w:themeColor="text1"/>
                <w:szCs w:val="21"/>
                <w14:textFill>
                  <w14:solidFill>
                    <w14:schemeClr w14:val="tx1"/>
                  </w14:solidFill>
                </w14:textFill>
              </w:rPr>
            </w:pPr>
          </w:p>
        </w:tc>
        <w:tc>
          <w:tcPr>
            <w:tcW w:w="1888" w:type="dxa"/>
            <w:vMerge w:val="continue"/>
            <w:tcBorders>
              <w:top w:val="inset" w:color="auto" w:sz="6" w:space="0"/>
              <w:left w:val="inset" w:color="auto" w:sz="6" w:space="0"/>
              <w:bottom w:val="inset" w:color="auto" w:sz="6" w:space="0"/>
              <w:right w:val="inset" w:color="auto" w:sz="6" w:space="0"/>
            </w:tcBorders>
            <w:vAlign w:val="center"/>
          </w:tcPr>
          <w:p>
            <w:pPr>
              <w:widowControl/>
              <w:wordWrap w:val="0"/>
              <w:jc w:val="left"/>
              <w:rPr>
                <w:color w:val="000000" w:themeColor="text1"/>
                <w:szCs w:val="21"/>
                <w14:textFill>
                  <w14:solidFill>
                    <w14:schemeClr w14:val="tx1"/>
                  </w14:solidFill>
                </w14:textFill>
              </w:rPr>
            </w:pPr>
          </w:p>
        </w:tc>
        <w:tc>
          <w:tcPr>
            <w:tcW w:w="2271" w:type="dxa"/>
            <w:tcBorders>
              <w:top w:val="inset" w:color="auto" w:sz="6" w:space="0"/>
              <w:left w:val="inset" w:color="auto" w:sz="6" w:space="0"/>
              <w:bottom w:val="inset" w:color="auto" w:sz="6" w:space="0"/>
              <w:right w:val="inset" w:color="auto" w:sz="6" w:space="0"/>
            </w:tcBorders>
            <w:vAlign w:val="center"/>
          </w:tcPr>
          <w:p>
            <w:pPr>
              <w:wordWrap w:val="0"/>
              <w:spacing w:line="4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工期</w:t>
            </w:r>
          </w:p>
        </w:tc>
        <w:tc>
          <w:tcPr>
            <w:tcW w:w="3491" w:type="dxa"/>
            <w:tcBorders>
              <w:top w:val="inset" w:color="auto" w:sz="6" w:space="0"/>
              <w:left w:val="nil"/>
              <w:bottom w:val="inset" w:color="auto" w:sz="6" w:space="0"/>
              <w:right w:val="inset" w:color="auto" w:sz="6" w:space="0"/>
            </w:tcBorders>
            <w:vAlign w:val="center"/>
          </w:tcPr>
          <w:p>
            <w:pPr>
              <w:wordWrap w:val="0"/>
              <w:spacing w:line="4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投标函中载明的工期符合第二章“</w:t>
            </w:r>
            <w:r>
              <w:rPr>
                <w:rFonts w:ascii="宋体" w:hAnsi="宋体"/>
                <w:color w:val="000000" w:themeColor="text1"/>
                <w:szCs w:val="21"/>
                <w14:textFill>
                  <w14:solidFill>
                    <w14:schemeClr w14:val="tx1"/>
                  </w14:solidFill>
                </w14:textFill>
              </w:rPr>
              <w:t>投标人须知</w:t>
            </w:r>
            <w:r>
              <w:rPr>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第</w:t>
            </w:r>
            <w:r>
              <w:rPr>
                <w:color w:val="000000" w:themeColor="text1"/>
                <w:szCs w:val="21"/>
                <w14:textFill>
                  <w14:solidFill>
                    <w14:schemeClr w14:val="tx1"/>
                  </w14:solidFill>
                </w14:textFill>
              </w:rPr>
              <w:t>1.3.2</w:t>
            </w:r>
            <w:r>
              <w:rPr>
                <w:rFonts w:ascii="宋体" w:hAnsi="宋体"/>
                <w:color w:val="000000" w:themeColor="text1"/>
                <w:szCs w:val="21"/>
                <w14:textFill>
                  <w14:solidFill>
                    <w14:schemeClr w14:val="tx1"/>
                  </w14:solidFill>
                </w14:textFill>
              </w:rPr>
              <w:t>项规定</w:t>
            </w:r>
          </w:p>
        </w:tc>
      </w:tr>
      <w:tr>
        <w:tblPrEx>
          <w:tblCellMar>
            <w:top w:w="0" w:type="dxa"/>
            <w:left w:w="0" w:type="dxa"/>
            <w:bottom w:w="0" w:type="dxa"/>
            <w:right w:w="0" w:type="dxa"/>
          </w:tblCellMar>
        </w:tblPrEx>
        <w:tc>
          <w:tcPr>
            <w:tcW w:w="674" w:type="dxa"/>
            <w:vMerge w:val="continue"/>
            <w:tcBorders>
              <w:top w:val="inset" w:color="auto" w:sz="6" w:space="0"/>
              <w:left w:val="inset" w:color="auto" w:sz="6" w:space="0"/>
              <w:bottom w:val="inset" w:color="auto" w:sz="6" w:space="0"/>
              <w:right w:val="inset" w:color="auto" w:sz="6" w:space="0"/>
            </w:tcBorders>
            <w:vAlign w:val="center"/>
          </w:tcPr>
          <w:p>
            <w:pPr>
              <w:widowControl/>
              <w:wordWrap w:val="0"/>
              <w:jc w:val="left"/>
              <w:rPr>
                <w:color w:val="000000" w:themeColor="text1"/>
                <w:szCs w:val="21"/>
                <w14:textFill>
                  <w14:solidFill>
                    <w14:schemeClr w14:val="tx1"/>
                  </w14:solidFill>
                </w14:textFill>
              </w:rPr>
            </w:pPr>
          </w:p>
        </w:tc>
        <w:tc>
          <w:tcPr>
            <w:tcW w:w="1888" w:type="dxa"/>
            <w:vMerge w:val="continue"/>
            <w:tcBorders>
              <w:top w:val="inset" w:color="auto" w:sz="6" w:space="0"/>
              <w:left w:val="inset" w:color="auto" w:sz="6" w:space="0"/>
              <w:bottom w:val="inset" w:color="auto" w:sz="6" w:space="0"/>
              <w:right w:val="inset" w:color="auto" w:sz="6" w:space="0"/>
            </w:tcBorders>
            <w:vAlign w:val="center"/>
          </w:tcPr>
          <w:p>
            <w:pPr>
              <w:widowControl/>
              <w:wordWrap w:val="0"/>
              <w:jc w:val="left"/>
              <w:rPr>
                <w:color w:val="000000" w:themeColor="text1"/>
                <w:szCs w:val="21"/>
                <w14:textFill>
                  <w14:solidFill>
                    <w14:schemeClr w14:val="tx1"/>
                  </w14:solidFill>
                </w14:textFill>
              </w:rPr>
            </w:pPr>
          </w:p>
        </w:tc>
        <w:tc>
          <w:tcPr>
            <w:tcW w:w="2271" w:type="dxa"/>
            <w:tcBorders>
              <w:top w:val="inset" w:color="auto" w:sz="6" w:space="0"/>
              <w:left w:val="inset" w:color="auto" w:sz="6" w:space="0"/>
              <w:bottom w:val="inset" w:color="auto" w:sz="6" w:space="0"/>
              <w:right w:val="inset" w:color="auto" w:sz="6" w:space="0"/>
            </w:tcBorders>
            <w:vAlign w:val="center"/>
          </w:tcPr>
          <w:p>
            <w:pPr>
              <w:wordWrap w:val="0"/>
              <w:spacing w:line="4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工程质量</w:t>
            </w:r>
          </w:p>
        </w:tc>
        <w:tc>
          <w:tcPr>
            <w:tcW w:w="3491" w:type="dxa"/>
            <w:tcBorders>
              <w:top w:val="inset" w:color="auto" w:sz="6" w:space="0"/>
              <w:left w:val="nil"/>
              <w:bottom w:val="inset" w:color="auto" w:sz="6" w:space="0"/>
              <w:right w:val="inset" w:color="auto" w:sz="6" w:space="0"/>
            </w:tcBorders>
            <w:vAlign w:val="center"/>
          </w:tcPr>
          <w:p>
            <w:pPr>
              <w:wordWrap w:val="0"/>
              <w:spacing w:line="4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投标函中载明的质量符合第二章“</w:t>
            </w:r>
            <w:r>
              <w:rPr>
                <w:rFonts w:ascii="宋体" w:hAnsi="宋体"/>
                <w:color w:val="000000" w:themeColor="text1"/>
                <w:szCs w:val="21"/>
                <w14:textFill>
                  <w14:solidFill>
                    <w14:schemeClr w14:val="tx1"/>
                  </w14:solidFill>
                </w14:textFill>
              </w:rPr>
              <w:t>投标人须知</w:t>
            </w:r>
            <w:r>
              <w:rPr>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第</w:t>
            </w:r>
            <w:r>
              <w:rPr>
                <w:color w:val="000000" w:themeColor="text1"/>
                <w:szCs w:val="21"/>
                <w14:textFill>
                  <w14:solidFill>
                    <w14:schemeClr w14:val="tx1"/>
                  </w14:solidFill>
                </w14:textFill>
              </w:rPr>
              <w:t>1.3.3</w:t>
            </w:r>
            <w:r>
              <w:rPr>
                <w:rFonts w:ascii="宋体" w:hAnsi="宋体"/>
                <w:color w:val="000000" w:themeColor="text1"/>
                <w:szCs w:val="21"/>
                <w14:textFill>
                  <w14:solidFill>
                    <w14:schemeClr w14:val="tx1"/>
                  </w14:solidFill>
                </w14:textFill>
              </w:rPr>
              <w:t>项规定</w:t>
            </w:r>
          </w:p>
        </w:tc>
      </w:tr>
      <w:tr>
        <w:tblPrEx>
          <w:tblCellMar>
            <w:top w:w="0" w:type="dxa"/>
            <w:left w:w="0" w:type="dxa"/>
            <w:bottom w:w="0" w:type="dxa"/>
            <w:right w:w="0" w:type="dxa"/>
          </w:tblCellMar>
        </w:tblPrEx>
        <w:tc>
          <w:tcPr>
            <w:tcW w:w="674" w:type="dxa"/>
            <w:vMerge w:val="continue"/>
            <w:tcBorders>
              <w:top w:val="inset" w:color="auto" w:sz="6" w:space="0"/>
              <w:left w:val="inset" w:color="auto" w:sz="6" w:space="0"/>
              <w:bottom w:val="inset" w:color="auto" w:sz="6" w:space="0"/>
              <w:right w:val="inset" w:color="auto" w:sz="6" w:space="0"/>
            </w:tcBorders>
            <w:vAlign w:val="center"/>
          </w:tcPr>
          <w:p>
            <w:pPr>
              <w:widowControl/>
              <w:wordWrap w:val="0"/>
              <w:jc w:val="left"/>
              <w:rPr>
                <w:color w:val="000000" w:themeColor="text1"/>
                <w:szCs w:val="21"/>
                <w14:textFill>
                  <w14:solidFill>
                    <w14:schemeClr w14:val="tx1"/>
                  </w14:solidFill>
                </w14:textFill>
              </w:rPr>
            </w:pPr>
          </w:p>
        </w:tc>
        <w:tc>
          <w:tcPr>
            <w:tcW w:w="1888" w:type="dxa"/>
            <w:vMerge w:val="continue"/>
            <w:tcBorders>
              <w:top w:val="inset" w:color="auto" w:sz="6" w:space="0"/>
              <w:left w:val="inset" w:color="auto" w:sz="6" w:space="0"/>
              <w:bottom w:val="inset" w:color="auto" w:sz="6" w:space="0"/>
              <w:right w:val="inset" w:color="auto" w:sz="6" w:space="0"/>
            </w:tcBorders>
            <w:vAlign w:val="center"/>
          </w:tcPr>
          <w:p>
            <w:pPr>
              <w:widowControl/>
              <w:wordWrap w:val="0"/>
              <w:jc w:val="left"/>
              <w:rPr>
                <w:color w:val="000000" w:themeColor="text1"/>
                <w:szCs w:val="21"/>
                <w14:textFill>
                  <w14:solidFill>
                    <w14:schemeClr w14:val="tx1"/>
                  </w14:solidFill>
                </w14:textFill>
              </w:rPr>
            </w:pPr>
          </w:p>
        </w:tc>
        <w:tc>
          <w:tcPr>
            <w:tcW w:w="2271" w:type="dxa"/>
            <w:tcBorders>
              <w:top w:val="inset" w:color="auto" w:sz="6" w:space="0"/>
              <w:left w:val="inset" w:color="auto" w:sz="6" w:space="0"/>
              <w:bottom w:val="inset" w:color="auto" w:sz="6" w:space="0"/>
              <w:right w:val="inset" w:color="auto" w:sz="6" w:space="0"/>
            </w:tcBorders>
            <w:vAlign w:val="center"/>
          </w:tcPr>
          <w:p>
            <w:pPr>
              <w:wordWrap w:val="0"/>
              <w:spacing w:line="4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投标有效期</w:t>
            </w:r>
          </w:p>
        </w:tc>
        <w:tc>
          <w:tcPr>
            <w:tcW w:w="3491" w:type="dxa"/>
            <w:tcBorders>
              <w:top w:val="inset" w:color="auto" w:sz="6" w:space="0"/>
              <w:left w:val="nil"/>
              <w:bottom w:val="inset" w:color="auto" w:sz="6" w:space="0"/>
              <w:right w:val="inset" w:color="auto" w:sz="6" w:space="0"/>
            </w:tcBorders>
            <w:vAlign w:val="center"/>
          </w:tcPr>
          <w:p>
            <w:pPr>
              <w:wordWrap w:val="0"/>
              <w:spacing w:line="4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投标函附录中承诺的投标有效期符合第二章“</w:t>
            </w:r>
            <w:r>
              <w:rPr>
                <w:rFonts w:ascii="宋体" w:hAnsi="宋体"/>
                <w:color w:val="000000" w:themeColor="text1"/>
                <w:szCs w:val="21"/>
                <w14:textFill>
                  <w14:solidFill>
                    <w14:schemeClr w14:val="tx1"/>
                  </w14:solidFill>
                </w14:textFill>
              </w:rPr>
              <w:t>投标人须知</w:t>
            </w:r>
            <w:r>
              <w:rPr>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第</w:t>
            </w:r>
            <w:r>
              <w:rPr>
                <w:color w:val="000000" w:themeColor="text1"/>
                <w:szCs w:val="21"/>
                <w14:textFill>
                  <w14:solidFill>
                    <w14:schemeClr w14:val="tx1"/>
                  </w14:solidFill>
                </w14:textFill>
              </w:rPr>
              <w:t>3.3.1</w:t>
            </w:r>
            <w:r>
              <w:rPr>
                <w:rFonts w:ascii="宋体" w:hAnsi="宋体"/>
                <w:color w:val="000000" w:themeColor="text1"/>
                <w:szCs w:val="21"/>
                <w14:textFill>
                  <w14:solidFill>
                    <w14:schemeClr w14:val="tx1"/>
                  </w14:solidFill>
                </w14:textFill>
              </w:rPr>
              <w:t>项规定</w:t>
            </w:r>
          </w:p>
        </w:tc>
      </w:tr>
      <w:tr>
        <w:tblPrEx>
          <w:tblCellMar>
            <w:top w:w="0" w:type="dxa"/>
            <w:left w:w="0" w:type="dxa"/>
            <w:bottom w:w="0" w:type="dxa"/>
            <w:right w:w="0" w:type="dxa"/>
          </w:tblCellMar>
        </w:tblPrEx>
        <w:tc>
          <w:tcPr>
            <w:tcW w:w="674" w:type="dxa"/>
            <w:vMerge w:val="continue"/>
            <w:tcBorders>
              <w:top w:val="inset" w:color="auto" w:sz="6" w:space="0"/>
              <w:left w:val="inset" w:color="auto" w:sz="6" w:space="0"/>
              <w:bottom w:val="inset" w:color="auto" w:sz="6" w:space="0"/>
              <w:right w:val="inset" w:color="auto" w:sz="6" w:space="0"/>
            </w:tcBorders>
            <w:vAlign w:val="center"/>
          </w:tcPr>
          <w:p>
            <w:pPr>
              <w:widowControl/>
              <w:wordWrap w:val="0"/>
              <w:jc w:val="left"/>
              <w:rPr>
                <w:color w:val="000000" w:themeColor="text1"/>
                <w:szCs w:val="21"/>
                <w14:textFill>
                  <w14:solidFill>
                    <w14:schemeClr w14:val="tx1"/>
                  </w14:solidFill>
                </w14:textFill>
              </w:rPr>
            </w:pPr>
          </w:p>
        </w:tc>
        <w:tc>
          <w:tcPr>
            <w:tcW w:w="1888" w:type="dxa"/>
            <w:vMerge w:val="continue"/>
            <w:tcBorders>
              <w:top w:val="inset" w:color="auto" w:sz="6" w:space="0"/>
              <w:left w:val="inset" w:color="auto" w:sz="6" w:space="0"/>
              <w:bottom w:val="inset" w:color="auto" w:sz="6" w:space="0"/>
              <w:right w:val="inset" w:color="auto" w:sz="6" w:space="0"/>
            </w:tcBorders>
            <w:vAlign w:val="center"/>
          </w:tcPr>
          <w:p>
            <w:pPr>
              <w:widowControl/>
              <w:wordWrap w:val="0"/>
              <w:jc w:val="left"/>
              <w:rPr>
                <w:color w:val="000000" w:themeColor="text1"/>
                <w:szCs w:val="21"/>
                <w14:textFill>
                  <w14:solidFill>
                    <w14:schemeClr w14:val="tx1"/>
                  </w14:solidFill>
                </w14:textFill>
              </w:rPr>
            </w:pPr>
          </w:p>
        </w:tc>
        <w:tc>
          <w:tcPr>
            <w:tcW w:w="2271" w:type="dxa"/>
            <w:tcBorders>
              <w:top w:val="inset" w:color="auto" w:sz="6" w:space="0"/>
              <w:left w:val="inset" w:color="auto" w:sz="6" w:space="0"/>
              <w:bottom w:val="inset" w:color="auto" w:sz="6" w:space="0"/>
              <w:right w:val="inset" w:color="auto" w:sz="6" w:space="0"/>
            </w:tcBorders>
            <w:vAlign w:val="center"/>
          </w:tcPr>
          <w:p>
            <w:pPr>
              <w:wordWrap w:val="0"/>
              <w:spacing w:line="4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投标保证金</w:t>
            </w:r>
          </w:p>
        </w:tc>
        <w:tc>
          <w:tcPr>
            <w:tcW w:w="3491" w:type="dxa"/>
            <w:tcBorders>
              <w:top w:val="inset" w:color="auto" w:sz="6" w:space="0"/>
              <w:left w:val="nil"/>
              <w:bottom w:val="inset" w:color="auto" w:sz="6" w:space="0"/>
              <w:right w:val="inset" w:color="auto" w:sz="6" w:space="0"/>
            </w:tcBorders>
            <w:vAlign w:val="center"/>
          </w:tcPr>
          <w:p>
            <w:pPr>
              <w:wordWrap w:val="0"/>
              <w:spacing w:line="4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符合第二章“</w:t>
            </w:r>
            <w:r>
              <w:rPr>
                <w:rFonts w:ascii="宋体" w:hAnsi="宋体"/>
                <w:color w:val="000000" w:themeColor="text1"/>
                <w:szCs w:val="21"/>
                <w14:textFill>
                  <w14:solidFill>
                    <w14:schemeClr w14:val="tx1"/>
                  </w14:solidFill>
                </w14:textFill>
              </w:rPr>
              <w:t>投标人须知</w:t>
            </w:r>
            <w:r>
              <w:rPr>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第</w:t>
            </w:r>
            <w:r>
              <w:rPr>
                <w:color w:val="000000" w:themeColor="text1"/>
                <w:szCs w:val="21"/>
                <w14:textFill>
                  <w14:solidFill>
                    <w14:schemeClr w14:val="tx1"/>
                  </w14:solidFill>
                </w14:textFill>
              </w:rPr>
              <w:t>3.4.1</w:t>
            </w:r>
            <w:r>
              <w:rPr>
                <w:rFonts w:ascii="宋体" w:hAnsi="宋体"/>
                <w:color w:val="000000" w:themeColor="text1"/>
                <w:szCs w:val="21"/>
                <w14:textFill>
                  <w14:solidFill>
                    <w14:schemeClr w14:val="tx1"/>
                  </w14:solidFill>
                </w14:textFill>
              </w:rPr>
              <w:t>项规定；</w:t>
            </w:r>
          </w:p>
        </w:tc>
      </w:tr>
      <w:tr>
        <w:tblPrEx>
          <w:tblCellMar>
            <w:top w:w="0" w:type="dxa"/>
            <w:left w:w="0" w:type="dxa"/>
            <w:bottom w:w="0" w:type="dxa"/>
            <w:right w:w="0" w:type="dxa"/>
          </w:tblCellMar>
        </w:tblPrEx>
        <w:trPr>
          <w:trHeight w:val="492" w:hRule="atLeast"/>
        </w:trPr>
        <w:tc>
          <w:tcPr>
            <w:tcW w:w="674" w:type="dxa"/>
            <w:vMerge w:val="continue"/>
            <w:tcBorders>
              <w:top w:val="inset" w:color="auto" w:sz="6" w:space="0"/>
              <w:left w:val="inset" w:color="auto" w:sz="6" w:space="0"/>
              <w:bottom w:val="inset" w:color="auto" w:sz="6" w:space="0"/>
              <w:right w:val="inset" w:color="auto" w:sz="6" w:space="0"/>
            </w:tcBorders>
            <w:vAlign w:val="center"/>
          </w:tcPr>
          <w:p>
            <w:pPr>
              <w:widowControl/>
              <w:wordWrap w:val="0"/>
              <w:jc w:val="left"/>
              <w:rPr>
                <w:color w:val="000000" w:themeColor="text1"/>
                <w:szCs w:val="21"/>
                <w14:textFill>
                  <w14:solidFill>
                    <w14:schemeClr w14:val="tx1"/>
                  </w14:solidFill>
                </w14:textFill>
              </w:rPr>
            </w:pPr>
          </w:p>
        </w:tc>
        <w:tc>
          <w:tcPr>
            <w:tcW w:w="1888" w:type="dxa"/>
            <w:vMerge w:val="continue"/>
            <w:tcBorders>
              <w:top w:val="inset" w:color="auto" w:sz="6" w:space="0"/>
              <w:left w:val="inset" w:color="auto" w:sz="6" w:space="0"/>
              <w:bottom w:val="inset" w:color="auto" w:sz="6" w:space="0"/>
              <w:right w:val="inset" w:color="auto" w:sz="6" w:space="0"/>
            </w:tcBorders>
            <w:vAlign w:val="center"/>
          </w:tcPr>
          <w:p>
            <w:pPr>
              <w:widowControl/>
              <w:wordWrap w:val="0"/>
              <w:jc w:val="left"/>
              <w:rPr>
                <w:color w:val="000000" w:themeColor="text1"/>
                <w:szCs w:val="21"/>
                <w14:textFill>
                  <w14:solidFill>
                    <w14:schemeClr w14:val="tx1"/>
                  </w14:solidFill>
                </w14:textFill>
              </w:rPr>
            </w:pPr>
          </w:p>
        </w:tc>
        <w:tc>
          <w:tcPr>
            <w:tcW w:w="2271" w:type="dxa"/>
            <w:tcBorders>
              <w:top w:val="inset" w:color="auto" w:sz="6" w:space="0"/>
              <w:left w:val="inset" w:color="auto" w:sz="6" w:space="0"/>
              <w:bottom w:val="inset" w:color="auto" w:sz="6" w:space="0"/>
              <w:right w:val="inset" w:color="auto" w:sz="6" w:space="0"/>
            </w:tcBorders>
            <w:vAlign w:val="center"/>
          </w:tcPr>
          <w:p>
            <w:pPr>
              <w:wordWrap w:val="0"/>
              <w:spacing w:line="40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其他要求：</w:t>
            </w:r>
          </w:p>
        </w:tc>
        <w:tc>
          <w:tcPr>
            <w:tcW w:w="3491" w:type="dxa"/>
            <w:tcBorders>
              <w:top w:val="inset" w:color="auto" w:sz="6" w:space="0"/>
              <w:left w:val="nil"/>
              <w:bottom w:val="inset" w:color="auto" w:sz="6" w:space="0"/>
              <w:right w:val="inset" w:color="auto" w:sz="6" w:space="0"/>
            </w:tcBorders>
            <w:vAlign w:val="center"/>
          </w:tcPr>
          <w:p>
            <w:pPr>
              <w:wordWrap w:val="0"/>
              <w:spacing w:line="40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无评标办法第3.3.6</w:t>
            </w:r>
            <w:r>
              <w:rPr>
                <w:rFonts w:hint="eastAsia" w:ascii="宋体" w:hAnsi="宋体"/>
                <w:color w:val="000000" w:themeColor="text1"/>
                <w:szCs w:val="21"/>
                <w14:textFill>
                  <w14:solidFill>
                    <w14:schemeClr w14:val="tx1"/>
                  </w14:solidFill>
                </w14:textFill>
              </w:rPr>
              <w:t>条所列情形</w:t>
            </w:r>
          </w:p>
        </w:tc>
      </w:tr>
    </w:tbl>
    <w:p>
      <w:pPr>
        <w:wordWrap w:val="0"/>
        <w:rPr>
          <w:color w:val="000000" w:themeColor="text1"/>
          <w:szCs w:val="21"/>
          <w14:textFill>
            <w14:solidFill>
              <w14:schemeClr w14:val="tx1"/>
            </w14:solidFill>
          </w14:textFill>
        </w:rPr>
      </w:pPr>
    </w:p>
    <w:p>
      <w:pPr>
        <w:keepNext/>
        <w:keepLines/>
        <w:wordWrap w:val="0"/>
        <w:spacing w:before="60" w:after="60" w:line="412" w:lineRule="auto"/>
        <w:outlineLvl w:val="1"/>
        <w:rPr>
          <w:rFonts w:ascii="黑体" w:hAnsi="黑体" w:eastAsia="黑体"/>
          <w:b/>
          <w:bCs/>
          <w:color w:val="000000" w:themeColor="text1"/>
          <w:sz w:val="30"/>
          <w:szCs w:val="30"/>
          <w14:textFill>
            <w14:solidFill>
              <w14:schemeClr w14:val="tx1"/>
            </w14:solidFill>
          </w14:textFill>
        </w:rPr>
      </w:pPr>
      <w:r>
        <w:rPr>
          <w:rFonts w:hint="eastAsia" w:ascii="黑体" w:hAnsi="黑体" w:eastAsia="黑体"/>
          <w:b/>
          <w:bCs/>
          <w:color w:val="000000" w:themeColor="text1"/>
          <w:sz w:val="30"/>
          <w:szCs w:val="30"/>
          <w14:textFill>
            <w14:solidFill>
              <w14:schemeClr w14:val="tx1"/>
            </w14:solidFill>
          </w14:textFill>
        </w:rPr>
        <w:t>评标办法</w:t>
      </w:r>
    </w:p>
    <w:tbl>
      <w:tblPr>
        <w:tblStyle w:val="43"/>
        <w:tblW w:w="9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1192"/>
        <w:gridCol w:w="2181"/>
        <w:gridCol w:w="5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4157" w:type="dxa"/>
            <w:gridSpan w:val="3"/>
            <w:vAlign w:val="center"/>
          </w:tcPr>
          <w:p>
            <w:pPr>
              <w:wordWrap w:val="0"/>
              <w:spacing w:line="24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分值构成</w:t>
            </w:r>
          </w:p>
          <w:p>
            <w:pPr>
              <w:wordWrap w:val="0"/>
              <w:spacing w:line="24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总分</w:t>
            </w:r>
            <w:r>
              <w:rPr>
                <w:color w:val="000000" w:themeColor="text1"/>
                <w:szCs w:val="21"/>
                <w14:textFill>
                  <w14:solidFill>
                    <w14:schemeClr w14:val="tx1"/>
                  </w14:solidFill>
                </w14:textFill>
              </w:rPr>
              <w:t>100</w:t>
            </w:r>
            <w:r>
              <w:rPr>
                <w:rFonts w:ascii="宋体" w:hAnsi="宋体"/>
                <w:color w:val="000000" w:themeColor="text1"/>
                <w:szCs w:val="21"/>
                <w14:textFill>
                  <w14:solidFill>
                    <w14:schemeClr w14:val="tx1"/>
                  </w14:solidFill>
                </w14:textFill>
              </w:rPr>
              <w:t>分</w:t>
            </w:r>
            <w:r>
              <w:rPr>
                <w:color w:val="000000" w:themeColor="text1"/>
                <w:szCs w:val="21"/>
                <w14:textFill>
                  <w14:solidFill>
                    <w14:schemeClr w14:val="tx1"/>
                  </w14:solidFill>
                </w14:textFill>
              </w:rPr>
              <w:t>)</w:t>
            </w:r>
          </w:p>
        </w:tc>
        <w:tc>
          <w:tcPr>
            <w:tcW w:w="5122" w:type="dxa"/>
            <w:vAlign w:val="center"/>
          </w:tcPr>
          <w:p>
            <w:pPr>
              <w:numPr>
                <w:ilvl w:val="0"/>
                <w:numId w:val="3"/>
              </w:numPr>
              <w:wordWrap w:val="0"/>
              <w:spacing w:line="240" w:lineRule="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初步设计文件</w:t>
            </w:r>
            <w:r>
              <w:rPr>
                <w:rFonts w:hint="eastAsia"/>
                <w:color w:val="000000" w:themeColor="text1"/>
                <w:szCs w:val="21"/>
                <w:lang w:eastAsia="zh-CN"/>
                <w14:textFill>
                  <w14:solidFill>
                    <w14:schemeClr w14:val="tx1"/>
                  </w14:solidFill>
                </w14:textFill>
              </w:rPr>
              <w:t>：</w:t>
            </w:r>
            <w:r>
              <w:rPr>
                <w:rFonts w:hint="eastAsia"/>
                <w:color w:val="000000" w:themeColor="text1"/>
                <w:szCs w:val="21"/>
                <w:u w:val="single"/>
                <w:lang w:val="en-US" w:eastAsia="zh-CN"/>
                <w14:textFill>
                  <w14:solidFill>
                    <w14:schemeClr w14:val="tx1"/>
                  </w14:solidFill>
                </w14:textFill>
              </w:rPr>
              <w:t>30</w:t>
            </w:r>
            <w:r>
              <w:rPr>
                <w:rFonts w:hint="eastAsia"/>
                <w:color w:val="000000" w:themeColor="text1"/>
                <w:szCs w:val="21"/>
                <w14:textFill>
                  <w14:solidFill>
                    <w14:schemeClr w14:val="tx1"/>
                  </w14:solidFill>
                </w14:textFill>
              </w:rPr>
              <w:t>分</w:t>
            </w:r>
          </w:p>
          <w:p>
            <w:pPr>
              <w:rPr>
                <w:rFonts w:hint="default" w:eastAsia="宋体"/>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2</w:t>
            </w:r>
            <w:r>
              <w:rPr>
                <w:rFonts w:hint="eastAsia"/>
                <w:color w:val="000000" w:themeColor="text1"/>
                <w:lang w:eastAsia="zh-CN"/>
                <w14:textFill>
                  <w14:solidFill>
                    <w14:schemeClr w14:val="tx1"/>
                  </w14:solidFill>
                </w14:textFill>
              </w:rPr>
              <w:t>）施工组织设计</w:t>
            </w:r>
            <w:r>
              <w:rPr>
                <w:rFonts w:hint="eastAsia"/>
                <w:color w:val="000000" w:themeColor="text1"/>
                <w:u w:val="none"/>
                <w:lang w:val="en-US" w:eastAsia="zh-CN"/>
                <w14:textFill>
                  <w14:solidFill>
                    <w14:schemeClr w14:val="tx1"/>
                  </w14:solidFill>
                </w14:textFill>
              </w:rPr>
              <w:t>：</w:t>
            </w:r>
            <w:r>
              <w:rPr>
                <w:rFonts w:hint="eastAsia"/>
                <w:color w:val="000000" w:themeColor="text1"/>
                <w:u w:val="single"/>
                <w:lang w:val="en-US" w:eastAsia="zh-CN"/>
                <w14:textFill>
                  <w14:solidFill>
                    <w14:schemeClr w14:val="tx1"/>
                  </w14:solidFill>
                </w14:textFill>
              </w:rPr>
              <w:t>18</w:t>
            </w:r>
            <w:r>
              <w:rPr>
                <w:rFonts w:hint="eastAsia"/>
                <w:color w:val="000000" w:themeColor="text1"/>
                <w:lang w:val="en-US" w:eastAsia="zh-CN"/>
                <w14:textFill>
                  <w14:solidFill>
                    <w14:schemeClr w14:val="tx1"/>
                  </w14:solidFill>
                </w14:textFill>
              </w:rPr>
              <w:t>分</w:t>
            </w:r>
          </w:p>
          <w:p>
            <w:pPr>
              <w:wordWrap w:val="0"/>
              <w:spacing w:line="24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rFonts w:hint="eastAsia"/>
                <w:color w:val="000000" w:themeColor="text1"/>
                <w:szCs w:val="21"/>
                <w:lang w:val="en-US" w:eastAsia="zh-CN"/>
                <w14:textFill>
                  <w14:solidFill>
                    <w14:schemeClr w14:val="tx1"/>
                  </w14:solidFill>
                </w14:textFill>
              </w:rPr>
              <w:t>3</w:t>
            </w:r>
            <w:r>
              <w:rPr>
                <w:rFonts w:hint="eastAsia"/>
                <w:color w:val="000000" w:themeColor="text1"/>
                <w:szCs w:val="21"/>
                <w14:textFill>
                  <w14:solidFill>
                    <w14:schemeClr w14:val="tx1"/>
                  </w14:solidFill>
                </w14:textFill>
              </w:rPr>
              <w:t>）企业资信、工程业绩：</w:t>
            </w:r>
            <w:r>
              <w:rPr>
                <w:rFonts w:hint="eastAsia"/>
                <w:color w:val="000000" w:themeColor="text1"/>
                <w:szCs w:val="21"/>
                <w:u w:val="single"/>
                <w:lang w:val="en-US" w:eastAsia="zh-CN"/>
                <w14:textFill>
                  <w14:solidFill>
                    <w14:schemeClr w14:val="tx1"/>
                  </w14:solidFill>
                </w14:textFill>
              </w:rPr>
              <w:t>2</w:t>
            </w:r>
            <w:r>
              <w:rPr>
                <w:rFonts w:hint="eastAsia"/>
                <w:color w:val="000000" w:themeColor="text1"/>
                <w:szCs w:val="21"/>
                <w14:textFill>
                  <w14:solidFill>
                    <w14:schemeClr w14:val="tx1"/>
                  </w14:solidFill>
                </w14:textFill>
              </w:rPr>
              <w:t>分</w:t>
            </w:r>
          </w:p>
          <w:p>
            <w:pPr>
              <w:wordWrap w:val="0"/>
              <w:spacing w:line="24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rFonts w:hint="eastAsia"/>
                <w:color w:val="000000" w:themeColor="text1"/>
                <w:szCs w:val="21"/>
                <w:lang w:val="en-US" w:eastAsia="zh-CN"/>
                <w14:textFill>
                  <w14:solidFill>
                    <w14:schemeClr w14:val="tx1"/>
                  </w14:solidFill>
                </w14:textFill>
              </w:rPr>
              <w:t>4</w:t>
            </w:r>
            <w:r>
              <w:rPr>
                <w:rFonts w:hint="eastAsia"/>
                <w:color w:val="000000" w:themeColor="text1"/>
                <w:szCs w:val="21"/>
                <w14:textFill>
                  <w14:solidFill>
                    <w14:schemeClr w14:val="tx1"/>
                  </w14:solidFill>
                </w14:textFill>
              </w:rPr>
              <w:t>）工程总承包报价：</w:t>
            </w:r>
            <w:r>
              <w:rPr>
                <w:rFonts w:hint="eastAsia"/>
                <w:color w:val="000000" w:themeColor="text1"/>
                <w:szCs w:val="21"/>
                <w:u w:val="single"/>
                <w:lang w:val="en-US" w:eastAsia="zh-CN"/>
                <w14:textFill>
                  <w14:solidFill>
                    <w14:schemeClr w14:val="tx1"/>
                  </w14:solidFill>
                </w14:textFill>
              </w:rPr>
              <w:t>50</w:t>
            </w:r>
            <w:r>
              <w:rPr>
                <w:rFonts w:hint="eastAsia"/>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784" w:type="dxa"/>
            <w:vAlign w:val="center"/>
          </w:tcPr>
          <w:p>
            <w:pPr>
              <w:wordWrap w:val="0"/>
              <w:spacing w:line="24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序号</w:t>
            </w:r>
          </w:p>
        </w:tc>
        <w:tc>
          <w:tcPr>
            <w:tcW w:w="1192" w:type="dxa"/>
            <w:vAlign w:val="center"/>
          </w:tcPr>
          <w:p>
            <w:pPr>
              <w:wordWrap w:val="0"/>
              <w:spacing w:line="24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评分项</w:t>
            </w:r>
          </w:p>
        </w:tc>
        <w:tc>
          <w:tcPr>
            <w:tcW w:w="2181" w:type="dxa"/>
            <w:vAlign w:val="center"/>
          </w:tcPr>
          <w:p>
            <w:pPr>
              <w:wordWrap w:val="0"/>
              <w:spacing w:line="24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评分因素（偏差率）</w:t>
            </w:r>
          </w:p>
        </w:tc>
        <w:tc>
          <w:tcPr>
            <w:tcW w:w="5122" w:type="dxa"/>
            <w:vAlign w:val="center"/>
          </w:tcPr>
          <w:p>
            <w:pPr>
              <w:wordWrap w:val="0"/>
              <w:spacing w:line="240" w:lineRule="auto"/>
              <w:jc w:val="center"/>
              <w:rPr>
                <w:color w:val="000000" w:themeColor="text1"/>
                <w:szCs w:val="21"/>
                <w14:textFill>
                  <w14:solidFill>
                    <w14:schemeClr w14:val="tx1"/>
                  </w14:solidFill>
                </w14:textFill>
              </w:rPr>
            </w:pPr>
            <w:r>
              <w:rPr>
                <w:b/>
                <w:bCs/>
                <w:color w:val="000000" w:themeColor="text1"/>
                <w:szCs w:val="21"/>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784" w:type="dxa"/>
            <w:vMerge w:val="restart"/>
            <w:vAlign w:val="center"/>
          </w:tcPr>
          <w:p>
            <w:pPr>
              <w:wordWrap w:val="0"/>
              <w:spacing w:line="24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1192" w:type="dxa"/>
            <w:vMerge w:val="restart"/>
            <w:vAlign w:val="center"/>
          </w:tcPr>
          <w:p>
            <w:pPr>
              <w:wordWrap w:val="0"/>
              <w:spacing w:line="240" w:lineRule="auto"/>
              <w:jc w:val="cente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初步设计文件（</w:t>
            </w:r>
            <w:r>
              <w:rPr>
                <w:rFonts w:hint="eastAsia"/>
                <w:color w:val="000000" w:themeColor="text1"/>
                <w:szCs w:val="21"/>
                <w:lang w:val="en-US" w:eastAsia="zh-CN"/>
                <w14:textFill>
                  <w14:solidFill>
                    <w14:schemeClr w14:val="tx1"/>
                  </w14:solidFill>
                </w14:textFill>
              </w:rPr>
              <w:t>30</w:t>
            </w:r>
            <w:r>
              <w:rPr>
                <w:rFonts w:hint="eastAsia"/>
                <w:color w:val="000000" w:themeColor="text1"/>
                <w:szCs w:val="21"/>
                <w14:textFill>
                  <w14:solidFill>
                    <w14:schemeClr w14:val="tx1"/>
                  </w14:solidFill>
                </w14:textFill>
              </w:rPr>
              <w:t>分</w:t>
            </w:r>
            <w:r>
              <w:rPr>
                <w:rFonts w:hint="eastAsia" w:ascii="宋体" w:hAnsi="宋体"/>
                <w:color w:val="000000" w:themeColor="text1"/>
                <w:szCs w:val="21"/>
                <w14:textFill>
                  <w14:solidFill>
                    <w14:schemeClr w14:val="tx1"/>
                  </w14:solidFill>
                </w14:textFill>
              </w:rPr>
              <w:t>）</w:t>
            </w:r>
          </w:p>
        </w:tc>
        <w:tc>
          <w:tcPr>
            <w:tcW w:w="2181" w:type="dxa"/>
            <w:vAlign w:val="center"/>
          </w:tcPr>
          <w:p>
            <w:pPr>
              <w:wordWrap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．设计说明书（</w:t>
            </w:r>
            <w:r>
              <w:rPr>
                <w:rFonts w:hint="eastAsia"/>
                <w:color w:val="000000" w:themeColor="text1"/>
                <w:szCs w:val="21"/>
                <w:lang w:val="en-US" w:eastAsia="zh-CN"/>
                <w14:textFill>
                  <w14:solidFill>
                    <w14:schemeClr w14:val="tx1"/>
                  </w14:solidFill>
                </w14:textFill>
              </w:rPr>
              <w:t>2-8</w:t>
            </w:r>
            <w:r>
              <w:rPr>
                <w:rFonts w:hint="eastAsia" w:ascii="宋体" w:hAnsi="宋体"/>
                <w:color w:val="000000" w:themeColor="text1"/>
                <w:szCs w:val="21"/>
                <w14:textFill>
                  <w14:solidFill>
                    <w14:schemeClr w14:val="tx1"/>
                  </w14:solidFill>
                </w14:textFill>
              </w:rPr>
              <w:t>分）</w:t>
            </w:r>
          </w:p>
        </w:tc>
        <w:tc>
          <w:tcPr>
            <w:tcW w:w="5122" w:type="dxa"/>
            <w:vAlign w:val="center"/>
          </w:tcPr>
          <w:p>
            <w:pPr>
              <w:wordWrap w:val="0"/>
              <w:spacing w:line="24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设计说明能对项目的设计方案解读准确，构思新颖，项目设计的各项主要技术经济指标满足招标人功能需求、国家规范标准及地方规划要求。对提供材料的内容进行评分。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784" w:type="dxa"/>
            <w:vMerge w:val="continue"/>
            <w:vAlign w:val="center"/>
          </w:tcPr>
          <w:p>
            <w:pPr>
              <w:widowControl/>
              <w:wordWrap w:val="0"/>
              <w:jc w:val="center"/>
              <w:rPr>
                <w:color w:val="000000" w:themeColor="text1"/>
                <w:szCs w:val="21"/>
                <w14:textFill>
                  <w14:solidFill>
                    <w14:schemeClr w14:val="tx1"/>
                  </w14:solidFill>
                </w14:textFill>
              </w:rPr>
            </w:pPr>
          </w:p>
        </w:tc>
        <w:tc>
          <w:tcPr>
            <w:tcW w:w="1192" w:type="dxa"/>
            <w:vMerge w:val="continue"/>
            <w:vAlign w:val="center"/>
          </w:tcPr>
          <w:p>
            <w:pPr>
              <w:widowControl/>
              <w:wordWrap w:val="0"/>
              <w:jc w:val="left"/>
              <w:rPr>
                <w:color w:val="000000" w:themeColor="text1"/>
                <w:szCs w:val="21"/>
                <w14:textFill>
                  <w14:solidFill>
                    <w14:schemeClr w14:val="tx1"/>
                  </w14:solidFill>
                </w14:textFill>
              </w:rPr>
            </w:pPr>
          </w:p>
        </w:tc>
        <w:tc>
          <w:tcPr>
            <w:tcW w:w="2181" w:type="dxa"/>
            <w:vAlign w:val="center"/>
          </w:tcPr>
          <w:p>
            <w:pPr>
              <w:wordWrap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．使用功能（</w:t>
            </w:r>
            <w:r>
              <w:rPr>
                <w:rFonts w:hint="eastAsia"/>
                <w:color w:val="000000" w:themeColor="text1"/>
                <w:szCs w:val="21"/>
                <w:lang w:val="en-US" w:eastAsia="zh-CN"/>
                <w14:textFill>
                  <w14:solidFill>
                    <w14:schemeClr w14:val="tx1"/>
                  </w14:solidFill>
                </w14:textFill>
              </w:rPr>
              <w:t>2-10</w:t>
            </w:r>
            <w:r>
              <w:rPr>
                <w:rFonts w:hint="eastAsia" w:ascii="宋体" w:hAnsi="宋体"/>
                <w:color w:val="000000" w:themeColor="text1"/>
                <w:szCs w:val="21"/>
                <w14:textFill>
                  <w14:solidFill>
                    <w14:schemeClr w14:val="tx1"/>
                  </w14:solidFill>
                </w14:textFill>
              </w:rPr>
              <w:t>分）</w:t>
            </w:r>
          </w:p>
        </w:tc>
        <w:tc>
          <w:tcPr>
            <w:tcW w:w="5122" w:type="dxa"/>
            <w:vAlign w:val="center"/>
          </w:tcPr>
          <w:p>
            <w:pPr>
              <w:wordWrap w:val="0"/>
              <w:spacing w:line="240" w:lineRule="auto"/>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项目功能要求，对项目的设计思路把握准确，设计合理，功能分区是否明确，交通组织是否合理</w:t>
            </w:r>
            <w:r>
              <w:rPr>
                <w:rFonts w:hint="eastAsia"/>
                <w:color w:val="000000" w:themeColor="text1"/>
                <w:szCs w:val="21"/>
                <w14:textFill>
                  <w14:solidFill>
                    <w14:schemeClr w14:val="tx1"/>
                  </w14:solidFill>
                </w14:textFill>
              </w:rPr>
              <w:t>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784" w:type="dxa"/>
            <w:vMerge w:val="continue"/>
            <w:vAlign w:val="center"/>
          </w:tcPr>
          <w:p>
            <w:pPr>
              <w:widowControl/>
              <w:wordWrap w:val="0"/>
              <w:jc w:val="center"/>
              <w:rPr>
                <w:color w:val="000000" w:themeColor="text1"/>
                <w:szCs w:val="21"/>
                <w14:textFill>
                  <w14:solidFill>
                    <w14:schemeClr w14:val="tx1"/>
                  </w14:solidFill>
                </w14:textFill>
              </w:rPr>
            </w:pPr>
          </w:p>
        </w:tc>
        <w:tc>
          <w:tcPr>
            <w:tcW w:w="1192" w:type="dxa"/>
            <w:vMerge w:val="continue"/>
            <w:vAlign w:val="center"/>
          </w:tcPr>
          <w:p>
            <w:pPr>
              <w:widowControl/>
              <w:wordWrap w:val="0"/>
              <w:jc w:val="left"/>
              <w:rPr>
                <w:color w:val="000000" w:themeColor="text1"/>
                <w:szCs w:val="21"/>
                <w14:textFill>
                  <w14:solidFill>
                    <w14:schemeClr w14:val="tx1"/>
                  </w14:solidFill>
                </w14:textFill>
              </w:rPr>
            </w:pPr>
          </w:p>
        </w:tc>
        <w:tc>
          <w:tcPr>
            <w:tcW w:w="2181" w:type="dxa"/>
            <w:vAlign w:val="center"/>
          </w:tcPr>
          <w:p>
            <w:pPr>
              <w:wordWrap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．设计深度（</w:t>
            </w:r>
            <w:r>
              <w:rPr>
                <w:rFonts w:hint="eastAsia"/>
                <w:color w:val="000000" w:themeColor="text1"/>
                <w:szCs w:val="21"/>
                <w:lang w:val="en-US" w:eastAsia="zh-CN"/>
                <w14:textFill>
                  <w14:solidFill>
                    <w14:schemeClr w14:val="tx1"/>
                  </w14:solidFill>
                </w14:textFill>
              </w:rPr>
              <w:t>2-10</w:t>
            </w:r>
            <w:r>
              <w:rPr>
                <w:rFonts w:hint="eastAsia"/>
                <w:color w:val="000000" w:themeColor="text1"/>
                <w:szCs w:val="21"/>
                <w14:textFill>
                  <w14:solidFill>
                    <w14:schemeClr w14:val="tx1"/>
                  </w14:solidFill>
                </w14:textFill>
              </w:rPr>
              <w:t>分）</w:t>
            </w:r>
          </w:p>
        </w:tc>
        <w:tc>
          <w:tcPr>
            <w:tcW w:w="5122" w:type="dxa"/>
            <w:vAlign w:val="center"/>
          </w:tcPr>
          <w:p>
            <w:pPr>
              <w:wordWrap w:val="0"/>
              <w:spacing w:line="24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根据各投标人的成果文件进行横向对比。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4" w:type="dxa"/>
            <w:vMerge w:val="continue"/>
            <w:vAlign w:val="center"/>
          </w:tcPr>
          <w:p>
            <w:pPr>
              <w:widowControl/>
              <w:wordWrap w:val="0"/>
              <w:jc w:val="center"/>
              <w:rPr>
                <w:color w:val="000000" w:themeColor="text1"/>
                <w:szCs w:val="21"/>
                <w14:textFill>
                  <w14:solidFill>
                    <w14:schemeClr w14:val="tx1"/>
                  </w14:solidFill>
                </w14:textFill>
              </w:rPr>
            </w:pPr>
          </w:p>
        </w:tc>
        <w:tc>
          <w:tcPr>
            <w:tcW w:w="1192" w:type="dxa"/>
            <w:vMerge w:val="continue"/>
            <w:vAlign w:val="center"/>
          </w:tcPr>
          <w:p>
            <w:pPr>
              <w:widowControl/>
              <w:wordWrap w:val="0"/>
              <w:jc w:val="left"/>
              <w:rPr>
                <w:color w:val="000000" w:themeColor="text1"/>
                <w:szCs w:val="21"/>
                <w14:textFill>
                  <w14:solidFill>
                    <w14:schemeClr w14:val="tx1"/>
                  </w14:solidFill>
                </w14:textFill>
              </w:rPr>
            </w:pPr>
          </w:p>
        </w:tc>
        <w:tc>
          <w:tcPr>
            <w:tcW w:w="2181" w:type="dxa"/>
            <w:vAlign w:val="center"/>
          </w:tcPr>
          <w:p>
            <w:pPr>
              <w:wordWrap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r>
              <w:rPr>
                <w:rFonts w:hint="eastAsia"/>
                <w:color w:val="000000" w:themeColor="text1"/>
                <w:szCs w:val="21"/>
                <w14:textFill>
                  <w14:solidFill>
                    <w14:schemeClr w14:val="tx1"/>
                  </w14:solidFill>
                </w14:textFill>
              </w:rPr>
              <w:t>．设计服务承诺（</w:t>
            </w:r>
            <w:r>
              <w:rPr>
                <w:color w:val="000000" w:themeColor="text1"/>
                <w:szCs w:val="21"/>
                <w14:textFill>
                  <w14:solidFill>
                    <w14:schemeClr w14:val="tx1"/>
                  </w14:solidFill>
                </w14:textFill>
              </w:rPr>
              <w:t>0-</w:t>
            </w:r>
            <w:r>
              <w:rPr>
                <w:rFonts w:hint="eastAsia"/>
                <w:color w:val="000000" w:themeColor="text1"/>
                <w:szCs w:val="21"/>
                <w:lang w:val="en-US" w:eastAsia="zh-CN"/>
                <w14:textFill>
                  <w14:solidFill>
                    <w14:schemeClr w14:val="tx1"/>
                  </w14:solidFill>
                </w14:textFill>
              </w:rPr>
              <w:t>2</w:t>
            </w:r>
            <w:r>
              <w:rPr>
                <w:rFonts w:hint="eastAsia"/>
                <w:color w:val="000000" w:themeColor="text1"/>
                <w:szCs w:val="21"/>
                <w14:textFill>
                  <w14:solidFill>
                    <w14:schemeClr w14:val="tx1"/>
                  </w14:solidFill>
                </w14:textFill>
              </w:rPr>
              <w:t>分）</w:t>
            </w:r>
          </w:p>
        </w:tc>
        <w:tc>
          <w:tcPr>
            <w:tcW w:w="5122" w:type="dxa"/>
            <w:vAlign w:val="center"/>
          </w:tcPr>
          <w:p>
            <w:pPr>
              <w:wordWrap w:val="0"/>
              <w:spacing w:line="24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设计质量和进度的保证措施，施工现场配合到位等服务承诺。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784" w:type="dxa"/>
            <w:vAlign w:val="center"/>
          </w:tcPr>
          <w:p>
            <w:pPr>
              <w:widowControl/>
              <w:wordWrap w:val="0"/>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2</w:t>
            </w:r>
          </w:p>
        </w:tc>
        <w:tc>
          <w:tcPr>
            <w:tcW w:w="1192" w:type="dxa"/>
            <w:vAlign w:val="center"/>
          </w:tcPr>
          <w:p>
            <w:pPr>
              <w:widowControl/>
              <w:wordWrap w:val="0"/>
              <w:jc w:val="left"/>
              <w:rPr>
                <w:rFonts w:hint="eastAsia" w:eastAsia="宋体"/>
                <w:color w:val="000000" w:themeColor="text1"/>
                <w:szCs w:val="21"/>
                <w:lang w:eastAsia="zh-CN"/>
                <w14:textFill>
                  <w14:solidFill>
                    <w14:schemeClr w14:val="tx1"/>
                  </w14:solidFill>
                </w14:textFill>
              </w:rPr>
            </w:pPr>
            <w:r>
              <w:rPr>
                <w:rFonts w:hint="eastAsia"/>
                <w:color w:val="000000" w:themeColor="text1"/>
                <w:szCs w:val="21"/>
                <w14:textFill>
                  <w14:solidFill>
                    <w14:schemeClr w14:val="tx1"/>
                  </w14:solidFill>
                </w14:textFill>
              </w:rPr>
              <w:t>施工组织设计</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18分</w:t>
            </w:r>
            <w:r>
              <w:rPr>
                <w:rFonts w:hint="eastAsia"/>
                <w:color w:val="000000" w:themeColor="text1"/>
                <w:szCs w:val="21"/>
                <w:lang w:eastAsia="zh-CN"/>
                <w14:textFill>
                  <w14:solidFill>
                    <w14:schemeClr w14:val="tx1"/>
                  </w14:solidFill>
                </w14:textFill>
              </w:rPr>
              <w:t>）</w:t>
            </w:r>
          </w:p>
        </w:tc>
        <w:tc>
          <w:tcPr>
            <w:tcW w:w="2181" w:type="dxa"/>
            <w:vAlign w:val="center"/>
          </w:tcPr>
          <w:p>
            <w:pPr>
              <w:wordWrap w:val="0"/>
              <w:jc w:val="left"/>
              <w:rPr>
                <w:rFonts w:hint="eastAsia" w:eastAsia="宋体"/>
                <w:color w:val="000000" w:themeColor="text1"/>
                <w:szCs w:val="21"/>
                <w:lang w:eastAsia="zh-CN"/>
                <w14:textFill>
                  <w14:solidFill>
                    <w14:schemeClr w14:val="tx1"/>
                  </w14:solidFill>
                </w14:textFill>
              </w:rPr>
            </w:pPr>
            <w:r>
              <w:rPr>
                <w:rFonts w:hint="eastAsia"/>
                <w:color w:val="000000" w:themeColor="text1"/>
                <w:szCs w:val="21"/>
                <w14:textFill>
                  <w14:solidFill>
                    <w14:schemeClr w14:val="tx1"/>
                  </w14:solidFill>
                </w14:textFill>
              </w:rPr>
              <w:t>施工组织设计</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0-18分</w:t>
            </w:r>
            <w:r>
              <w:rPr>
                <w:rFonts w:hint="eastAsia"/>
                <w:color w:val="000000" w:themeColor="text1"/>
                <w:szCs w:val="21"/>
                <w:lang w:eastAsia="zh-CN"/>
                <w14:textFill>
                  <w14:solidFill>
                    <w14:schemeClr w14:val="tx1"/>
                  </w14:solidFill>
                </w14:textFill>
              </w:rPr>
              <w:t>）</w:t>
            </w:r>
          </w:p>
        </w:tc>
        <w:tc>
          <w:tcPr>
            <w:tcW w:w="5122" w:type="dxa"/>
            <w:vAlign w:val="center"/>
          </w:tcPr>
          <w:p>
            <w:pPr>
              <w:wordWrap w:val="0"/>
              <w:spacing w:line="240" w:lineRule="auto"/>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包括但不限于：</w:t>
            </w:r>
          </w:p>
          <w:p>
            <w:pPr>
              <w:wordWrap w:val="0"/>
              <w:spacing w:line="240" w:lineRule="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施工组织总体设想、方案针对性 </w:t>
            </w:r>
          </w:p>
          <w:p>
            <w:pPr>
              <w:wordWrap w:val="0"/>
              <w:spacing w:line="240" w:lineRule="auto"/>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14:textFill>
                  <w14:solidFill>
                    <w14:schemeClr w14:val="tx1"/>
                  </w14:solidFill>
                </w14:textFill>
              </w:rPr>
              <w:t>施工方案与技术措施</w:t>
            </w:r>
            <w:r>
              <w:rPr>
                <w:rFonts w:hint="eastAsia"/>
                <w:color w:val="000000" w:themeColor="text1"/>
                <w:szCs w:val="21"/>
                <w:lang w:eastAsia="zh-CN"/>
                <w14:textFill>
                  <w14:solidFill>
                    <w14:schemeClr w14:val="tx1"/>
                  </w14:solidFill>
                </w14:textFill>
              </w:rPr>
              <w:t>、</w:t>
            </w:r>
            <w:r>
              <w:rPr>
                <w:rFonts w:hint="eastAsia"/>
                <w:color w:val="000000" w:themeColor="text1"/>
                <w:szCs w:val="21"/>
                <w14:textFill>
                  <w14:solidFill>
                    <w14:schemeClr w14:val="tx1"/>
                  </w14:solidFill>
                </w14:textFill>
              </w:rPr>
              <w:t>质量管理体系与措施</w:t>
            </w:r>
            <w:r>
              <w:rPr>
                <w:rFonts w:hint="eastAsia"/>
                <w:color w:val="000000" w:themeColor="text1"/>
                <w:szCs w:val="21"/>
                <w:lang w:eastAsia="zh-CN"/>
                <w14:textFill>
                  <w14:solidFill>
                    <w14:schemeClr w14:val="tx1"/>
                  </w14:solidFill>
                </w14:textFill>
              </w:rPr>
              <w:t>、</w:t>
            </w:r>
            <w:r>
              <w:rPr>
                <w:rFonts w:hint="eastAsia"/>
                <w:color w:val="000000" w:themeColor="text1"/>
                <w:szCs w:val="21"/>
                <w14:textFill>
                  <w14:solidFill>
                    <w14:schemeClr w14:val="tx1"/>
                  </w14:solidFill>
                </w14:textFill>
              </w:rPr>
              <w:t xml:space="preserve">安全管理体系与措施 </w:t>
            </w:r>
            <w:r>
              <w:rPr>
                <w:rFonts w:hint="eastAsia"/>
                <w:color w:val="000000" w:themeColor="text1"/>
                <w:szCs w:val="21"/>
                <w:lang w:eastAsia="zh-CN"/>
                <w14:textFill>
                  <w14:solidFill>
                    <w14:schemeClr w14:val="tx1"/>
                  </w14:solidFill>
                </w14:textFill>
              </w:rPr>
              <w:t>、</w:t>
            </w:r>
            <w:r>
              <w:rPr>
                <w:rFonts w:hint="eastAsia"/>
                <w:color w:val="000000" w:themeColor="text1"/>
                <w:szCs w:val="21"/>
                <w14:textFill>
                  <w14:solidFill>
                    <w14:schemeClr w14:val="tx1"/>
                  </w14:solidFill>
                </w14:textFill>
              </w:rPr>
              <w:t>环保管理体系与措施</w:t>
            </w:r>
            <w:r>
              <w:rPr>
                <w:rFonts w:hint="eastAsia"/>
                <w:color w:val="000000" w:themeColor="text1"/>
                <w:szCs w:val="21"/>
                <w:lang w:eastAsia="zh-CN"/>
                <w14:textFill>
                  <w14:solidFill>
                    <w14:schemeClr w14:val="tx1"/>
                  </w14:solidFill>
                </w14:textFill>
              </w:rPr>
              <w:t>、</w:t>
            </w:r>
            <w:r>
              <w:rPr>
                <w:rFonts w:hint="eastAsia"/>
                <w:color w:val="000000" w:themeColor="text1"/>
                <w:szCs w:val="21"/>
                <w14:textFill>
                  <w14:solidFill>
                    <w14:schemeClr w14:val="tx1"/>
                  </w14:solidFill>
                </w14:textFill>
              </w:rPr>
              <w:t>工程进度计划与措施</w:t>
            </w:r>
            <w:r>
              <w:rPr>
                <w:rFonts w:hint="eastAsia"/>
                <w:color w:val="000000" w:themeColor="text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784" w:type="dxa"/>
            <w:vAlign w:val="center"/>
          </w:tcPr>
          <w:p>
            <w:pPr>
              <w:wordWrap w:val="0"/>
              <w:spacing w:line="24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1192" w:type="dxa"/>
            <w:vAlign w:val="center"/>
          </w:tcPr>
          <w:p>
            <w:pPr>
              <w:wordWrap w:val="0"/>
              <w:spacing w:line="24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企业资信、工程业绩（</w:t>
            </w:r>
            <w:r>
              <w:rPr>
                <w:rFonts w:hint="eastAsia"/>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分）</w:t>
            </w:r>
          </w:p>
        </w:tc>
        <w:tc>
          <w:tcPr>
            <w:tcW w:w="2181" w:type="dxa"/>
            <w:vAlign w:val="center"/>
          </w:tcPr>
          <w:p>
            <w:pPr>
              <w:wordWrap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业绩</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2分</w:t>
            </w:r>
            <w:r>
              <w:rPr>
                <w:rFonts w:hint="eastAsia"/>
                <w:color w:val="000000" w:themeColor="text1"/>
                <w:lang w:eastAsia="zh-CN"/>
                <w14:textFill>
                  <w14:solidFill>
                    <w14:schemeClr w14:val="tx1"/>
                  </w14:solidFill>
                </w14:textFill>
              </w:rPr>
              <w:t>）</w:t>
            </w:r>
          </w:p>
        </w:tc>
        <w:tc>
          <w:tcPr>
            <w:tcW w:w="5122" w:type="dxa"/>
            <w:vAlign w:val="center"/>
          </w:tcPr>
          <w:p>
            <w:pPr>
              <w:wordWrap w:val="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类似工程业绩</w:t>
            </w:r>
            <w:r>
              <w:rPr>
                <w:rFonts w:hint="eastAsia"/>
                <w:color w:val="000000" w:themeColor="text1"/>
                <w:lang w:eastAsia="zh-CN"/>
                <w14:textFill>
                  <w14:solidFill>
                    <w14:schemeClr w14:val="tx1"/>
                  </w14:solidFill>
                </w14:textFill>
              </w:rPr>
              <w:t>，一个得</w:t>
            </w:r>
            <w:r>
              <w:rPr>
                <w:rFonts w:hint="eastAsia"/>
                <w:color w:val="000000" w:themeColor="text1"/>
                <w:lang w:val="en-US" w:eastAsia="zh-CN"/>
                <w14:textFill>
                  <w14:solidFill>
                    <w14:schemeClr w14:val="tx1"/>
                  </w14:solidFill>
                </w14:textFill>
              </w:rPr>
              <w:t>1分，最高2分。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8" w:hRule="atLeast"/>
          <w:jc w:val="center"/>
        </w:trPr>
        <w:tc>
          <w:tcPr>
            <w:tcW w:w="784" w:type="dxa"/>
            <w:vAlign w:val="center"/>
          </w:tcPr>
          <w:p>
            <w:pPr>
              <w:wordWrap w:val="0"/>
              <w:spacing w:line="24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1192" w:type="dxa"/>
            <w:vAlign w:val="center"/>
          </w:tcPr>
          <w:p>
            <w:pPr>
              <w:wordWrap w:val="0"/>
              <w:spacing w:line="24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工程总承包报价（</w:t>
            </w:r>
            <w:r>
              <w:rPr>
                <w:rFonts w:hint="eastAsia"/>
                <w:color w:val="000000" w:themeColor="text1"/>
                <w:szCs w:val="21"/>
                <w:lang w:val="en-US" w:eastAsia="zh-CN"/>
                <w14:textFill>
                  <w14:solidFill>
                    <w14:schemeClr w14:val="tx1"/>
                  </w14:solidFill>
                </w14:textFill>
              </w:rPr>
              <w:t>50</w:t>
            </w:r>
            <w:r>
              <w:rPr>
                <w:rFonts w:hint="eastAsia" w:ascii="宋体" w:hAnsi="宋体"/>
                <w:color w:val="000000" w:themeColor="text1"/>
                <w:szCs w:val="21"/>
                <w14:textFill>
                  <w14:solidFill>
                    <w14:schemeClr w14:val="tx1"/>
                  </w14:solidFill>
                </w14:textFill>
              </w:rPr>
              <w:t>分）</w:t>
            </w:r>
          </w:p>
        </w:tc>
        <w:tc>
          <w:tcPr>
            <w:tcW w:w="2181" w:type="dxa"/>
            <w:vAlign w:val="center"/>
          </w:tcPr>
          <w:p>
            <w:pPr>
              <w:wordWrap w:val="0"/>
              <w:spacing w:line="24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报价打分方法（</w:t>
            </w:r>
            <w:r>
              <w:rPr>
                <w:rFonts w:hint="eastAsia"/>
                <w:color w:val="000000" w:themeColor="text1"/>
                <w:szCs w:val="21"/>
                <w:lang w:val="en-US" w:eastAsia="zh-CN"/>
                <w14:textFill>
                  <w14:solidFill>
                    <w14:schemeClr w14:val="tx1"/>
                  </w14:solidFill>
                </w14:textFill>
              </w:rPr>
              <w:t>50</w:t>
            </w:r>
            <w:r>
              <w:rPr>
                <w:rFonts w:hint="eastAsia" w:ascii="宋体" w:hAnsi="宋体"/>
                <w:color w:val="000000" w:themeColor="text1"/>
                <w:szCs w:val="21"/>
                <w14:textFill>
                  <w14:solidFill>
                    <w14:schemeClr w14:val="tx1"/>
                  </w14:solidFill>
                </w14:textFill>
              </w:rPr>
              <w:t>分）</w:t>
            </w:r>
          </w:p>
        </w:tc>
        <w:tc>
          <w:tcPr>
            <w:tcW w:w="5122" w:type="dxa"/>
            <w:vAlign w:val="center"/>
          </w:tcPr>
          <w:p>
            <w:pPr>
              <w:wordWrap w:val="0"/>
              <w:spacing w:line="24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一、有效报价</w:t>
            </w:r>
          </w:p>
          <w:p>
            <w:pPr>
              <w:wordWrap w:val="0"/>
              <w:spacing w:line="24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）投标人的报价符合招标文件及招标文件补充文件的要求；</w:t>
            </w:r>
          </w:p>
          <w:p>
            <w:pPr>
              <w:wordWrap w:val="0"/>
              <w:spacing w:line="24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）投标人的投标报价不高于最高投标限价；</w:t>
            </w:r>
          </w:p>
          <w:p>
            <w:pPr>
              <w:wordWrap w:val="0"/>
              <w:spacing w:line="24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）投标人的投标报价经评审不低于企业成本价；</w:t>
            </w:r>
          </w:p>
          <w:p>
            <w:pPr>
              <w:wordWrap w:val="0"/>
              <w:spacing w:line="24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4</w:t>
            </w:r>
            <w:r>
              <w:rPr>
                <w:rFonts w:hint="eastAsia"/>
                <w:color w:val="000000" w:themeColor="text1"/>
                <w:szCs w:val="21"/>
                <w14:textFill>
                  <w14:solidFill>
                    <w14:schemeClr w14:val="tx1"/>
                  </w14:solidFill>
                </w14:textFill>
              </w:rPr>
              <w:t>）在各阶段评审中未被定为无效投标文件或废标的。</w:t>
            </w:r>
          </w:p>
          <w:p>
            <w:pPr>
              <w:wordWrap w:val="0"/>
              <w:spacing w:line="24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不符合上述要求的，作为无效投标报价不参与评标。</w:t>
            </w:r>
          </w:p>
          <w:p>
            <w:pPr>
              <w:wordWrap w:val="0"/>
              <w:spacing w:line="24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二、报价分计算</w:t>
            </w:r>
          </w:p>
          <w:p>
            <w:pPr>
              <w:wordWrap w:val="0"/>
              <w:spacing w:line="24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以有效投标文件的评标价算术平均值为</w:t>
            </w:r>
            <w:r>
              <w:rPr>
                <w:color w:val="000000" w:themeColor="text1"/>
                <w:szCs w:val="21"/>
                <w14:textFill>
                  <w14:solidFill>
                    <w14:schemeClr w14:val="tx1"/>
                  </w14:solidFill>
                </w14:textFill>
              </w:rPr>
              <w:t>A</w:t>
            </w:r>
            <w:r>
              <w:rPr>
                <w:rFonts w:hint="eastAsia"/>
                <w:color w:val="000000" w:themeColor="text1"/>
                <w:szCs w:val="21"/>
                <w14:textFill>
                  <w14:solidFill>
                    <w14:schemeClr w14:val="tx1"/>
                  </w14:solidFill>
                </w14:textFill>
              </w:rPr>
              <w:t>（若有效投标文件≥</w:t>
            </w:r>
            <w:r>
              <w:rPr>
                <w:color w:val="000000" w:themeColor="text1"/>
                <w:szCs w:val="21"/>
                <w14:textFill>
                  <w14:solidFill>
                    <w14:schemeClr w14:val="tx1"/>
                  </w14:solidFill>
                </w14:textFill>
              </w:rPr>
              <w:t>7</w:t>
            </w:r>
            <w:r>
              <w:rPr>
                <w:rFonts w:hint="eastAsia"/>
                <w:color w:val="000000" w:themeColor="text1"/>
                <w:szCs w:val="21"/>
                <w14:textFill>
                  <w14:solidFill>
                    <w14:schemeClr w14:val="tx1"/>
                  </w14:solidFill>
                </w14:textFill>
              </w:rPr>
              <w:t>家时，去掉其中的一个最高价和一个最低价后取算术平均值为</w:t>
            </w:r>
            <w:r>
              <w:rPr>
                <w:color w:val="000000" w:themeColor="text1"/>
                <w:szCs w:val="21"/>
                <w14:textFill>
                  <w14:solidFill>
                    <w14:schemeClr w14:val="tx1"/>
                  </w14:solidFill>
                </w14:textFill>
              </w:rPr>
              <w:t>A</w:t>
            </w:r>
            <w:r>
              <w:rPr>
                <w:rFonts w:hint="eastAsia"/>
                <w:color w:val="000000" w:themeColor="text1"/>
                <w:szCs w:val="21"/>
                <w14:textFill>
                  <w14:solidFill>
                    <w14:schemeClr w14:val="tx1"/>
                  </w14:solidFill>
                </w14:textFill>
              </w:rPr>
              <w:t>；若有效投标文件≥</w:t>
            </w:r>
            <w:r>
              <w:rPr>
                <w:color w:val="000000" w:themeColor="text1"/>
                <w:szCs w:val="21"/>
                <w14:textFill>
                  <w14:solidFill>
                    <w14:schemeClr w14:val="tx1"/>
                  </w14:solidFill>
                </w14:textFill>
              </w:rPr>
              <w:t>10</w:t>
            </w:r>
            <w:r>
              <w:rPr>
                <w:rFonts w:hint="eastAsia"/>
                <w:color w:val="000000" w:themeColor="text1"/>
                <w:szCs w:val="21"/>
                <w14:textFill>
                  <w14:solidFill>
                    <w14:schemeClr w14:val="tx1"/>
                  </w14:solidFill>
                </w14:textFill>
              </w:rPr>
              <w:t>家时，去掉其中的二个最高价和二个最低价后取算术平均值为</w:t>
            </w:r>
            <w:r>
              <w:rPr>
                <w:color w:val="000000" w:themeColor="text1"/>
                <w:szCs w:val="21"/>
                <w14:textFill>
                  <w14:solidFill>
                    <w14:schemeClr w14:val="tx1"/>
                  </w14:solidFill>
                </w14:textFill>
              </w:rPr>
              <w:t>A</w:t>
            </w:r>
            <w:r>
              <w:rPr>
                <w:rFonts w:hint="eastAsia"/>
                <w:color w:val="000000" w:themeColor="text1"/>
                <w:szCs w:val="21"/>
                <w14:textFill>
                  <w14:solidFill>
                    <w14:schemeClr w14:val="tx1"/>
                  </w14:solidFill>
                </w14:textFill>
              </w:rPr>
              <w:t>）。</w:t>
            </w:r>
          </w:p>
          <w:p>
            <w:pPr>
              <w:wordWrap w:val="0"/>
              <w:spacing w:line="24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评标基准价</w:t>
            </w:r>
            <w:r>
              <w:rPr>
                <w:color w:val="000000" w:themeColor="text1"/>
                <w:szCs w:val="21"/>
                <w14:textFill>
                  <w14:solidFill>
                    <w14:schemeClr w14:val="tx1"/>
                  </w14:solidFill>
                </w14:textFill>
              </w:rPr>
              <w:t>=A</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K</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K</w:t>
            </w:r>
            <w:r>
              <w:rPr>
                <w:rFonts w:hint="eastAsia"/>
                <w:color w:val="000000" w:themeColor="text1"/>
                <w:szCs w:val="21"/>
                <w14:textFill>
                  <w14:solidFill>
                    <w14:schemeClr w14:val="tx1"/>
                  </w14:solidFill>
                </w14:textFill>
              </w:rPr>
              <w:t>值在开标前由投标人推选的代表随机抽取确定，</w:t>
            </w:r>
            <w:r>
              <w:rPr>
                <w:color w:val="000000" w:themeColor="text1"/>
                <w:szCs w:val="21"/>
                <w14:textFill>
                  <w14:solidFill>
                    <w14:schemeClr w14:val="tx1"/>
                  </w14:solidFill>
                </w14:textFill>
              </w:rPr>
              <w:t>K</w:t>
            </w:r>
            <w:r>
              <w:rPr>
                <w:rFonts w:hint="eastAsia"/>
                <w:color w:val="000000" w:themeColor="text1"/>
                <w:szCs w:val="21"/>
                <w14:textFill>
                  <w14:solidFill>
                    <w14:schemeClr w14:val="tx1"/>
                  </w14:solidFill>
                </w14:textFill>
              </w:rPr>
              <w:t>值的取值范围为</w:t>
            </w:r>
            <w:r>
              <w:rPr>
                <w:color w:val="000000" w:themeColor="text1"/>
                <w:szCs w:val="21"/>
                <w14:textFill>
                  <w14:solidFill>
                    <w14:schemeClr w14:val="tx1"/>
                  </w14:solidFill>
                </w14:textFill>
              </w:rPr>
              <w:t>97%</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98%</w:t>
            </w:r>
            <w:r>
              <w:rPr>
                <w:rFonts w:hint="eastAsia"/>
                <w:color w:val="000000" w:themeColor="text1"/>
                <w:szCs w:val="21"/>
                <w14:textFill>
                  <w14:solidFill>
                    <w14:schemeClr w14:val="tx1"/>
                  </w14:solidFill>
                </w14:textFill>
              </w:rPr>
              <w:t>。评标价等于评标基准价的得满分：评标价相对评标基准价每上浮</w:t>
            </w: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扣减</w:t>
            </w:r>
            <w:r>
              <w:rPr>
                <w:color w:val="000000" w:themeColor="text1"/>
                <w:szCs w:val="21"/>
                <w14:textFill>
                  <w14:solidFill>
                    <w14:schemeClr w14:val="tx1"/>
                  </w14:solidFill>
                </w14:textFill>
              </w:rPr>
              <w:t>0.3</w:t>
            </w:r>
            <w:r>
              <w:rPr>
                <w:rFonts w:hint="eastAsia"/>
                <w:color w:val="000000" w:themeColor="text1"/>
                <w:szCs w:val="21"/>
                <w14:textFill>
                  <w14:solidFill>
                    <w14:schemeClr w14:val="tx1"/>
                  </w14:solidFill>
                </w14:textFill>
              </w:rPr>
              <w:t>分，每下浮</w:t>
            </w: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扣减</w:t>
            </w:r>
            <w:r>
              <w:rPr>
                <w:color w:val="000000" w:themeColor="text1"/>
                <w:szCs w:val="21"/>
                <w14:textFill>
                  <w14:solidFill>
                    <w14:schemeClr w14:val="tx1"/>
                  </w14:solidFill>
                </w14:textFill>
              </w:rPr>
              <w:t>0.3</w:t>
            </w:r>
            <w:r>
              <w:rPr>
                <w:rFonts w:hint="eastAsia"/>
                <w:color w:val="000000" w:themeColor="text1"/>
                <w:szCs w:val="21"/>
                <w14:textFill>
                  <w14:solidFill>
                    <w14:schemeClr w14:val="tx1"/>
                  </w14:solidFill>
                </w14:textFill>
              </w:rPr>
              <w:t>分，偏离不足</w:t>
            </w: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的，按照插入法计算得分。</w:t>
            </w:r>
          </w:p>
          <w:p>
            <w:pPr>
              <w:wordWrap w:val="0"/>
              <w:spacing w:line="24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说明：</w:t>
            </w:r>
            <w:r>
              <w:rPr>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评标价指经澄清、补正和修正算术计算错误的投标报价；</w:t>
            </w:r>
          </w:p>
          <w:p>
            <w:pPr>
              <w:wordWrap w:val="0"/>
              <w:spacing w:line="240" w:lineRule="auto"/>
              <w:rPr>
                <w:rFonts w:ascii="宋体" w:hAnsi="宋体"/>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有效投标文件是指未被评标委员会判定为无效标的投标文件；</w:t>
            </w:r>
          </w:p>
          <w:p>
            <w:pPr>
              <w:wordWrap w:val="0"/>
              <w:spacing w:line="240" w:lineRule="auto"/>
              <w:rPr>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3．不满足</w:t>
            </w:r>
            <w:r>
              <w:rPr>
                <w:rFonts w:hint="eastAsia"/>
                <w:color w:val="000000" w:themeColor="text1"/>
                <w:kern w:val="0"/>
                <w:szCs w:val="21"/>
                <w14:textFill>
                  <w14:solidFill>
                    <w14:schemeClr w14:val="tx1"/>
                  </w14:solidFill>
                </w14:textFill>
              </w:rPr>
              <w:t>评标入围条件的投标人不参与投标报价得分计算。</w:t>
            </w:r>
          </w:p>
        </w:tc>
      </w:tr>
    </w:tbl>
    <w:p>
      <w:pPr>
        <w:wordWrap w:val="0"/>
        <w:rPr>
          <w:color w:val="000000" w:themeColor="text1"/>
          <w14:textFill>
            <w14:solidFill>
              <w14:schemeClr w14:val="tx1"/>
            </w14:solidFill>
          </w14:textFill>
        </w:rPr>
      </w:pPr>
    </w:p>
    <w:p>
      <w:pPr>
        <w:pStyle w:val="4"/>
        <w:wordWrap w:val="0"/>
        <w:spacing w:line="360" w:lineRule="auto"/>
        <w:rPr>
          <w:color w:val="000000" w:themeColor="text1"/>
          <w14:textFill>
            <w14:solidFill>
              <w14:schemeClr w14:val="tx1"/>
            </w14:solidFill>
          </w14:textFill>
        </w:rPr>
      </w:pPr>
      <w:bookmarkStart w:id="139" w:name="_Toc98"/>
      <w:r>
        <w:rPr>
          <w:rFonts w:hint="eastAsia"/>
          <w:color w:val="000000" w:themeColor="text1"/>
          <w14:textFill>
            <w14:solidFill>
              <w14:schemeClr w14:val="tx1"/>
            </w14:solidFill>
          </w14:textFill>
        </w:rPr>
        <w:t xml:space="preserve">1. </w:t>
      </w:r>
      <w:r>
        <w:rPr>
          <w:rFonts w:hint="eastAsia" w:ascii="黑体" w:hAnsi="黑体"/>
          <w:color w:val="000000" w:themeColor="text1"/>
          <w14:textFill>
            <w14:solidFill>
              <w14:schemeClr w14:val="tx1"/>
            </w14:solidFill>
          </w14:textFill>
        </w:rPr>
        <w:t>评标方法</w:t>
      </w:r>
      <w:bookmarkEnd w:id="139"/>
    </w:p>
    <w:p>
      <w:pPr>
        <w:wordWrap w:val="0"/>
        <w:spacing w:line="360" w:lineRule="auto"/>
        <w:ind w:firstLine="420" w:firstLineChars="200"/>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本次评标采用综合评估法。评标委员会对满足招标文件实质要求的投标文件，按照本章第</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款规定的评分标准进行打分，并按得分由高到低顺序推荐中标候选人。综合评分相等时，以投标报价低的优先；投标报价也相等的，由招标人自行确定。</w:t>
      </w:r>
    </w:p>
    <w:p>
      <w:pPr>
        <w:pStyle w:val="4"/>
        <w:wordWrap w:val="0"/>
        <w:spacing w:line="360" w:lineRule="auto"/>
        <w:rPr>
          <w:color w:val="000000" w:themeColor="text1"/>
          <w14:textFill>
            <w14:solidFill>
              <w14:schemeClr w14:val="tx1"/>
            </w14:solidFill>
          </w14:textFill>
        </w:rPr>
      </w:pPr>
      <w:bookmarkStart w:id="140" w:name="_Toc3641"/>
      <w:r>
        <w:rPr>
          <w:rFonts w:hint="eastAsia"/>
          <w:color w:val="000000" w:themeColor="text1"/>
          <w14:textFill>
            <w14:solidFill>
              <w14:schemeClr w14:val="tx1"/>
            </w14:solidFill>
          </w14:textFill>
        </w:rPr>
        <w:t xml:space="preserve">2. </w:t>
      </w:r>
      <w:r>
        <w:rPr>
          <w:rFonts w:hint="eastAsia" w:ascii="黑体" w:hAnsi="黑体"/>
          <w:color w:val="000000" w:themeColor="text1"/>
          <w14:textFill>
            <w14:solidFill>
              <w14:schemeClr w14:val="tx1"/>
            </w14:solidFill>
          </w14:textFill>
        </w:rPr>
        <w:t>评审标准</w:t>
      </w:r>
      <w:bookmarkEnd w:id="140"/>
    </w:p>
    <w:p>
      <w:pPr>
        <w:pStyle w:val="5"/>
        <w:wordWrap w:val="0"/>
        <w:rPr>
          <w:color w:val="000000" w:themeColor="text1"/>
          <w14:textFill>
            <w14:solidFill>
              <w14:schemeClr w14:val="tx1"/>
            </w14:solidFill>
          </w14:textFill>
        </w:rPr>
      </w:pPr>
      <w:bookmarkStart w:id="141" w:name="_Toc23900"/>
      <w:r>
        <w:rPr>
          <w:rFonts w:hint="eastAsia"/>
          <w:color w:val="000000" w:themeColor="text1"/>
          <w14:textFill>
            <w14:solidFill>
              <w14:schemeClr w14:val="tx1"/>
            </w14:solidFill>
          </w14:textFill>
        </w:rPr>
        <w:t>2.1</w:t>
      </w:r>
      <w:r>
        <w:rPr>
          <w:rFonts w:hint="eastAsia" w:ascii="黑体" w:hAnsi="黑体"/>
          <w:color w:val="000000" w:themeColor="text1"/>
          <w14:textFill>
            <w14:solidFill>
              <w14:schemeClr w14:val="tx1"/>
            </w14:solidFill>
          </w14:textFill>
        </w:rPr>
        <w:t>评标入围</w:t>
      </w:r>
      <w:bookmarkEnd w:id="141"/>
    </w:p>
    <w:p>
      <w:pPr>
        <w:wordWrap w:val="0"/>
        <w:spacing w:line="360" w:lineRule="auto"/>
        <w:ind w:firstLine="420" w:firstLineChars="200"/>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详见评标办法前附表。</w:t>
      </w:r>
    </w:p>
    <w:p>
      <w:pPr>
        <w:pStyle w:val="5"/>
        <w:wordWrap w:val="0"/>
        <w:rPr>
          <w:color w:val="000000" w:themeColor="text1"/>
          <w14:textFill>
            <w14:solidFill>
              <w14:schemeClr w14:val="tx1"/>
            </w14:solidFill>
          </w14:textFill>
        </w:rPr>
      </w:pPr>
      <w:bookmarkStart w:id="142" w:name="_Toc5036"/>
      <w:r>
        <w:rPr>
          <w:rFonts w:hint="eastAsia"/>
          <w:color w:val="000000" w:themeColor="text1"/>
          <w14:textFill>
            <w14:solidFill>
              <w14:schemeClr w14:val="tx1"/>
            </w14:solidFill>
          </w14:textFill>
        </w:rPr>
        <w:t>2.2</w:t>
      </w:r>
      <w:r>
        <w:rPr>
          <w:rFonts w:hint="eastAsia" w:ascii="黑体" w:hAnsi="黑体"/>
          <w:color w:val="000000" w:themeColor="text1"/>
          <w14:textFill>
            <w14:solidFill>
              <w14:schemeClr w14:val="tx1"/>
            </w14:solidFill>
          </w14:textFill>
        </w:rPr>
        <w:t>初步评审标准</w:t>
      </w:r>
      <w:bookmarkEnd w:id="142"/>
    </w:p>
    <w:p>
      <w:pPr>
        <w:wordWrap w:val="0"/>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2.2.1 </w:t>
      </w:r>
      <w:r>
        <w:rPr>
          <w:rFonts w:hint="eastAsia" w:ascii="宋体" w:hAnsi="宋体"/>
          <w:color w:val="000000" w:themeColor="text1"/>
          <w14:textFill>
            <w14:solidFill>
              <w14:schemeClr w14:val="tx1"/>
            </w14:solidFill>
          </w14:textFill>
        </w:rPr>
        <w:t>形式评审标准：见评标办法前附表。</w:t>
      </w:r>
    </w:p>
    <w:p>
      <w:pPr>
        <w:wordWrap w:val="0"/>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2.2.2 </w:t>
      </w:r>
      <w:r>
        <w:rPr>
          <w:rFonts w:hint="eastAsia" w:ascii="宋体" w:hAnsi="宋体"/>
          <w:color w:val="000000" w:themeColor="text1"/>
          <w14:textFill>
            <w14:solidFill>
              <w14:schemeClr w14:val="tx1"/>
            </w14:solidFill>
          </w14:textFill>
        </w:rPr>
        <w:t>资格评审标准：见评标办法前附表。</w:t>
      </w:r>
    </w:p>
    <w:p>
      <w:pPr>
        <w:wordWrap w:val="0"/>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2.2.3 </w:t>
      </w:r>
      <w:r>
        <w:rPr>
          <w:rFonts w:hint="eastAsia" w:ascii="宋体" w:hAnsi="宋体"/>
          <w:color w:val="000000" w:themeColor="text1"/>
          <w14:textFill>
            <w14:solidFill>
              <w14:schemeClr w14:val="tx1"/>
            </w14:solidFill>
          </w14:textFill>
        </w:rPr>
        <w:t>响应性评审标准：见评标办法前附表。</w:t>
      </w:r>
    </w:p>
    <w:p>
      <w:pPr>
        <w:pStyle w:val="5"/>
        <w:wordWrap w:val="0"/>
        <w:rPr>
          <w:color w:val="000000" w:themeColor="text1"/>
          <w14:textFill>
            <w14:solidFill>
              <w14:schemeClr w14:val="tx1"/>
            </w14:solidFill>
          </w14:textFill>
        </w:rPr>
      </w:pPr>
      <w:bookmarkStart w:id="143" w:name="_Toc7299"/>
      <w:r>
        <w:rPr>
          <w:rFonts w:hint="eastAsia"/>
          <w:color w:val="000000" w:themeColor="text1"/>
          <w14:textFill>
            <w14:solidFill>
              <w14:schemeClr w14:val="tx1"/>
            </w14:solidFill>
          </w14:textFill>
        </w:rPr>
        <w:t xml:space="preserve">2.3 </w:t>
      </w:r>
      <w:r>
        <w:rPr>
          <w:rFonts w:hint="eastAsia" w:ascii="黑体" w:hAnsi="黑体"/>
          <w:color w:val="000000" w:themeColor="text1"/>
          <w14:textFill>
            <w14:solidFill>
              <w14:schemeClr w14:val="tx1"/>
            </w14:solidFill>
          </w14:textFill>
        </w:rPr>
        <w:t>详细评审</w:t>
      </w:r>
      <w:bookmarkEnd w:id="143"/>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分值构成</w:t>
      </w:r>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 xml:space="preserve">(1) </w:t>
      </w:r>
      <w:r>
        <w:rPr>
          <w:rFonts w:hint="eastAsia" w:ascii="宋体" w:hAnsi="宋体"/>
          <w:color w:val="000000" w:themeColor="text1"/>
          <w14:textFill>
            <w14:solidFill>
              <w14:schemeClr w14:val="tx1"/>
            </w14:solidFill>
          </w14:textFill>
        </w:rPr>
        <w:t>设计文件：见评标办法前附表；</w:t>
      </w:r>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工程总承包报价：见评标办法前附表；</w:t>
      </w:r>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 xml:space="preserve">(3) </w:t>
      </w:r>
      <w:r>
        <w:rPr>
          <w:rFonts w:hint="eastAsia" w:ascii="宋体" w:hAnsi="宋体"/>
          <w:color w:val="000000" w:themeColor="text1"/>
          <w14:textFill>
            <w14:solidFill>
              <w14:schemeClr w14:val="tx1"/>
            </w14:solidFill>
          </w14:textFill>
        </w:rPr>
        <w:t>项目管理组织方案：见评标办法前附表；</w:t>
      </w:r>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(4)</w:t>
      </w:r>
      <w:r>
        <w:rPr>
          <w:rFonts w:hint="eastAsia" w:ascii="宋体" w:hAnsi="宋体"/>
          <w:color w:val="000000" w:themeColor="text1"/>
          <w14:textFill>
            <w14:solidFill>
              <w14:schemeClr w14:val="tx1"/>
            </w14:solidFill>
          </w14:textFill>
        </w:rPr>
        <w:t>工程业绩：见评标办法前附表；</w:t>
      </w:r>
    </w:p>
    <w:p>
      <w:pPr>
        <w:pStyle w:val="161"/>
        <w:wordWrap w:val="0"/>
        <w:spacing w:line="360" w:lineRule="auto"/>
        <w:ind w:right="4" w:firstLine="422"/>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2.</w:t>
      </w:r>
      <w:r>
        <w:rPr>
          <w:rFonts w:hint="eastAsia" w:ascii="Times New Roman" w:hAnsi="Times New Roman" w:cs="Times New Roman"/>
          <w:color w:val="000000" w:themeColor="text1"/>
          <w:sz w:val="21"/>
          <w:szCs w:val="21"/>
          <w14:textFill>
            <w14:solidFill>
              <w14:schemeClr w14:val="tx1"/>
            </w14:solidFill>
          </w14:textFill>
        </w:rPr>
        <w:t>3</w:t>
      </w:r>
      <w:r>
        <w:rPr>
          <w:rFonts w:ascii="Times New Roman" w:hAnsi="Times New Roman" w:cs="Times New Roman"/>
          <w:color w:val="000000" w:themeColor="text1"/>
          <w:sz w:val="21"/>
          <w:szCs w:val="21"/>
          <w14:textFill>
            <w14:solidFill>
              <w14:schemeClr w14:val="tx1"/>
            </w14:solidFill>
          </w14:textFill>
        </w:rPr>
        <w:t>.</w:t>
      </w:r>
      <w:r>
        <w:rPr>
          <w:rFonts w:hint="eastAsia" w:ascii="Times New Roman" w:hAnsi="Times New Roman" w:cs="Times New Roman"/>
          <w:color w:val="000000" w:themeColor="text1"/>
          <w:sz w:val="21"/>
          <w:szCs w:val="21"/>
          <w14:textFill>
            <w14:solidFill>
              <w14:schemeClr w14:val="tx1"/>
            </w14:solidFill>
          </w14:textFill>
        </w:rPr>
        <w:t>2</w:t>
      </w:r>
      <w:r>
        <w:rPr>
          <w:rFonts w:hint="eastAsia" w:cs="Times New Roman"/>
          <w:color w:val="000000" w:themeColor="text1"/>
          <w:sz w:val="21"/>
          <w:szCs w:val="21"/>
          <w14:textFill>
            <w14:solidFill>
              <w14:schemeClr w14:val="tx1"/>
            </w14:solidFill>
          </w14:textFill>
        </w:rPr>
        <w:t>评分标准</w:t>
      </w:r>
    </w:p>
    <w:p>
      <w:pPr>
        <w:pStyle w:val="161"/>
        <w:wordWrap w:val="0"/>
        <w:spacing w:line="360" w:lineRule="auto"/>
        <w:ind w:right="4" w:firstLine="422"/>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 </w:t>
      </w:r>
      <w:r>
        <w:rPr>
          <w:rFonts w:hint="eastAsia" w:cs="Times New Roman"/>
          <w:color w:val="000000" w:themeColor="text1"/>
          <w:sz w:val="21"/>
          <w:szCs w:val="21"/>
          <w14:textFill>
            <w14:solidFill>
              <w14:schemeClr w14:val="tx1"/>
            </w14:solidFill>
          </w14:textFill>
        </w:rPr>
        <w:t>设计文件评分标准：见评标办法前附表；</w:t>
      </w:r>
    </w:p>
    <w:p>
      <w:pPr>
        <w:pStyle w:val="161"/>
        <w:wordWrap w:val="0"/>
        <w:spacing w:line="360" w:lineRule="auto"/>
        <w:ind w:right="4" w:firstLine="422"/>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(2) </w:t>
      </w:r>
      <w:r>
        <w:rPr>
          <w:rFonts w:hint="eastAsia" w:cs="Times New Roman"/>
          <w:color w:val="000000" w:themeColor="text1"/>
          <w:sz w:val="21"/>
          <w:szCs w:val="21"/>
          <w14:textFill>
            <w14:solidFill>
              <w14:schemeClr w14:val="tx1"/>
            </w14:solidFill>
          </w14:textFill>
        </w:rPr>
        <w:t>工程总承包报价评分标准：见评标办法前附表；</w:t>
      </w:r>
    </w:p>
    <w:p>
      <w:pPr>
        <w:pStyle w:val="161"/>
        <w:wordWrap w:val="0"/>
        <w:spacing w:line="360" w:lineRule="auto"/>
        <w:ind w:right="4" w:firstLine="422"/>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(3) </w:t>
      </w:r>
      <w:r>
        <w:rPr>
          <w:rFonts w:hint="eastAsia" w:cs="Times New Roman"/>
          <w:color w:val="000000" w:themeColor="text1"/>
          <w:sz w:val="21"/>
          <w:szCs w:val="21"/>
          <w14:textFill>
            <w14:solidFill>
              <w14:schemeClr w14:val="tx1"/>
            </w14:solidFill>
          </w14:textFill>
        </w:rPr>
        <w:t>项目管理组织方案评分标准：见评标办法前附表；</w:t>
      </w:r>
    </w:p>
    <w:p>
      <w:pPr>
        <w:pStyle w:val="161"/>
        <w:wordWrap w:val="0"/>
        <w:spacing w:line="360" w:lineRule="auto"/>
        <w:ind w:right="4" w:firstLine="422"/>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(4)</w:t>
      </w:r>
      <w:r>
        <w:rPr>
          <w:rFonts w:hint="eastAsia" w:cs="Times New Roman"/>
          <w:color w:val="000000" w:themeColor="text1"/>
          <w:sz w:val="21"/>
          <w:szCs w:val="21"/>
          <w14:textFill>
            <w14:solidFill>
              <w14:schemeClr w14:val="tx1"/>
            </w14:solidFill>
          </w14:textFill>
        </w:rPr>
        <w:t>工程业绩评分标准：见评标办法前附表；</w:t>
      </w:r>
    </w:p>
    <w:p>
      <w:pPr>
        <w:pStyle w:val="4"/>
        <w:wordWrap w:val="0"/>
        <w:spacing w:line="360" w:lineRule="auto"/>
        <w:rPr>
          <w:color w:val="000000" w:themeColor="text1"/>
          <w:szCs w:val="21"/>
          <w14:textFill>
            <w14:solidFill>
              <w14:schemeClr w14:val="tx1"/>
            </w14:solidFill>
          </w14:textFill>
        </w:rPr>
      </w:pPr>
      <w:bookmarkStart w:id="144" w:name="_Toc31198"/>
      <w:r>
        <w:rPr>
          <w:rFonts w:hint="eastAsia"/>
          <w:color w:val="000000" w:themeColor="text1"/>
          <w14:textFill>
            <w14:solidFill>
              <w14:schemeClr w14:val="tx1"/>
            </w14:solidFill>
          </w14:textFill>
        </w:rPr>
        <w:t xml:space="preserve">3. </w:t>
      </w:r>
      <w:r>
        <w:rPr>
          <w:rFonts w:hint="eastAsia" w:ascii="黑体" w:hAnsi="黑体"/>
          <w:color w:val="000000" w:themeColor="text1"/>
          <w14:textFill>
            <w14:solidFill>
              <w14:schemeClr w14:val="tx1"/>
            </w14:solidFill>
          </w14:textFill>
        </w:rPr>
        <w:t>评标程序</w:t>
      </w:r>
      <w:bookmarkEnd w:id="144"/>
    </w:p>
    <w:p>
      <w:pPr>
        <w:pStyle w:val="5"/>
        <w:wordWrap w:val="0"/>
        <w:rPr>
          <w:rFonts w:ascii="宋体" w:hAnsi="宋体"/>
          <w:color w:val="000000" w:themeColor="text1"/>
          <w:sz w:val="24"/>
          <w:szCs w:val="24"/>
          <w14:textFill>
            <w14:solidFill>
              <w14:schemeClr w14:val="tx1"/>
            </w14:solidFill>
          </w14:textFill>
        </w:rPr>
      </w:pPr>
      <w:bookmarkStart w:id="145" w:name="_Toc18587"/>
      <w:r>
        <w:rPr>
          <w:rFonts w:cs="Calibri"/>
          <w:color w:val="000000" w:themeColor="text1"/>
          <w14:textFill>
            <w14:solidFill>
              <w14:schemeClr w14:val="tx1"/>
            </w14:solidFill>
          </w14:textFill>
        </w:rPr>
        <w:t>3.1</w:t>
      </w:r>
      <w:r>
        <w:rPr>
          <w:rFonts w:hint="eastAsia" w:ascii="黑体" w:hAnsi="黑体"/>
          <w:color w:val="000000" w:themeColor="text1"/>
          <w14:textFill>
            <w14:solidFill>
              <w14:schemeClr w14:val="tx1"/>
            </w14:solidFill>
          </w14:textFill>
        </w:rPr>
        <w:t>评标准备</w:t>
      </w:r>
      <w:bookmarkEnd w:id="145"/>
    </w:p>
    <w:p>
      <w:pPr>
        <w:wordWrap w:val="0"/>
        <w:spacing w:line="360" w:lineRule="auto"/>
        <w:ind w:firstLine="420" w:firstLineChars="200"/>
        <w:rPr>
          <w:color w:val="000000" w:themeColor="text1"/>
          <w:szCs w:val="21"/>
          <w14:textFill>
            <w14:solidFill>
              <w14:schemeClr w14:val="tx1"/>
            </w14:solidFill>
          </w14:textFill>
        </w:rPr>
      </w:pPr>
      <w:r>
        <w:rPr>
          <w:color w:val="000000" w:themeColor="text1"/>
          <w14:textFill>
            <w14:solidFill>
              <w14:schemeClr w14:val="tx1"/>
            </w14:solidFill>
          </w14:textFill>
        </w:rPr>
        <w:t>3.1.1</w:t>
      </w:r>
      <w:r>
        <w:rPr>
          <w:rFonts w:hint="eastAsia" w:ascii="宋体" w:hAnsi="宋体"/>
          <w:color w:val="000000" w:themeColor="text1"/>
          <w14:textFill>
            <w14:solidFill>
              <w14:schemeClr w14:val="tx1"/>
            </w14:solidFill>
          </w14:textFill>
        </w:rPr>
        <w:t>评标委员会的组成及分工：评标委员会由本地和异地随机抽取的评标专家组成。</w:t>
      </w:r>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3.1.2</w:t>
      </w:r>
      <w:r>
        <w:rPr>
          <w:rFonts w:hint="eastAsia" w:ascii="宋体" w:hAnsi="宋体"/>
          <w:color w:val="000000" w:themeColor="text1"/>
          <w:kern w:val="0"/>
          <w14:textFill>
            <w14:solidFill>
              <w14:schemeClr w14:val="tx1"/>
            </w14:solidFill>
          </w14:textFill>
        </w:rPr>
        <w:t>评标委员会成员首先推选一名评标委员会负责人，负责评标活动的组织领导工作</w:t>
      </w:r>
      <w:r>
        <w:rPr>
          <w:rFonts w:hint="eastAsia" w:ascii="宋体" w:hAnsi="宋体"/>
          <w:color w:val="000000" w:themeColor="text1"/>
          <w14:textFill>
            <w14:solidFill>
              <w14:schemeClr w14:val="tx1"/>
            </w14:solidFill>
          </w14:textFill>
        </w:rPr>
        <w:t>，具有与评标委员会其他成员同等的表决权。</w:t>
      </w:r>
    </w:p>
    <w:p>
      <w:pPr>
        <w:wordWrap w:val="0"/>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3.1.3</w:t>
      </w:r>
      <w:r>
        <w:rPr>
          <w:rFonts w:hint="eastAsia" w:ascii="宋体" w:hAnsi="宋体"/>
          <w:color w:val="000000" w:themeColor="text1"/>
          <w14:textFill>
            <w14:solidFill>
              <w14:schemeClr w14:val="tx1"/>
            </w14:solidFill>
          </w14:textFill>
        </w:rPr>
        <w:t>招标人或招标代理机构应向评标委员会提供评标所需的信息和数据。评标委员会负责人应组织评标委员会成员认真研究招标文件，未在招标文件中规定的标准和方法不得作为评标的依据。</w:t>
      </w:r>
    </w:p>
    <w:p>
      <w:pPr>
        <w:pStyle w:val="5"/>
        <w:wordWrap w:val="0"/>
        <w:rPr>
          <w:rFonts w:cs="Calibri"/>
          <w:color w:val="000000" w:themeColor="text1"/>
          <w14:textFill>
            <w14:solidFill>
              <w14:schemeClr w14:val="tx1"/>
            </w14:solidFill>
          </w14:textFill>
        </w:rPr>
      </w:pPr>
      <w:bookmarkStart w:id="146" w:name="_Toc31914"/>
      <w:r>
        <w:rPr>
          <w:rFonts w:cs="Calibri"/>
          <w:color w:val="000000" w:themeColor="text1"/>
          <w14:textFill>
            <w14:solidFill>
              <w14:schemeClr w14:val="tx1"/>
            </w14:solidFill>
          </w14:textFill>
        </w:rPr>
        <w:t>3.</w:t>
      </w:r>
      <w:r>
        <w:rPr>
          <w:rFonts w:hint="eastAsia" w:cs="Calibri"/>
          <w:color w:val="000000" w:themeColor="text1"/>
          <w14:textFill>
            <w14:solidFill>
              <w14:schemeClr w14:val="tx1"/>
            </w14:solidFill>
          </w14:textFill>
        </w:rPr>
        <w:t>2</w:t>
      </w:r>
      <w:r>
        <w:rPr>
          <w:rFonts w:hint="eastAsia" w:ascii="黑体" w:hAnsi="黑体" w:cs="Calibri"/>
          <w:color w:val="000000" w:themeColor="text1"/>
          <w14:textFill>
            <w14:solidFill>
              <w14:schemeClr w14:val="tx1"/>
            </w14:solidFill>
          </w14:textFill>
        </w:rPr>
        <w:t>评标入围</w:t>
      </w:r>
      <w:bookmarkEnd w:id="146"/>
    </w:p>
    <w:p>
      <w:pPr>
        <w:wordWrap w:val="0"/>
        <w:adjustRightInd w:val="0"/>
        <w:snapToGrid w:val="0"/>
        <w:spacing w:line="360" w:lineRule="auto"/>
        <w:ind w:firstLine="420" w:firstLineChars="200"/>
        <w:rPr>
          <w:color w:val="000000" w:themeColor="text1"/>
          <w14:textFill>
            <w14:solidFill>
              <w14:schemeClr w14:val="tx1"/>
            </w14:solidFill>
          </w14:textFill>
        </w:rPr>
      </w:pPr>
      <w:r>
        <w:rPr>
          <w:rFonts w:ascii="宋体" w:hAnsi="宋体"/>
          <w:color w:val="000000" w:themeColor="text1"/>
          <w14:textFill>
            <w14:solidFill>
              <w14:schemeClr w14:val="tx1"/>
            </w14:solidFill>
          </w14:textFill>
        </w:rPr>
        <w:t>评标委员会按本章</w:t>
      </w:r>
      <w:r>
        <w:rPr>
          <w:rFonts w:hint="eastAsia"/>
          <w:color w:val="000000" w:themeColor="text1"/>
          <w14:textFill>
            <w14:solidFill>
              <w14:schemeClr w14:val="tx1"/>
            </w14:solidFill>
          </w14:textFill>
        </w:rPr>
        <w:t>2.1</w:t>
      </w:r>
      <w:r>
        <w:rPr>
          <w:rFonts w:hint="eastAsia" w:ascii="宋体" w:hAnsi="宋体"/>
          <w:color w:val="000000" w:themeColor="text1"/>
          <w14:textFill>
            <w14:solidFill>
              <w14:schemeClr w14:val="tx1"/>
            </w14:solidFill>
          </w14:textFill>
        </w:rPr>
        <w:t>条规定的方法确定进入初步评审的投标人名单。</w:t>
      </w:r>
    </w:p>
    <w:p>
      <w:pPr>
        <w:pStyle w:val="5"/>
        <w:wordWrap w:val="0"/>
        <w:rPr>
          <w:rFonts w:ascii="宋体" w:hAnsi="宋体"/>
          <w:color w:val="000000" w:themeColor="text1"/>
          <w14:textFill>
            <w14:solidFill>
              <w14:schemeClr w14:val="tx1"/>
            </w14:solidFill>
          </w14:textFill>
        </w:rPr>
      </w:pPr>
      <w:bookmarkStart w:id="147" w:name="_Toc16790"/>
      <w:r>
        <w:rPr>
          <w:rFonts w:hint="eastAsia" w:cs="Calibri"/>
          <w:color w:val="000000" w:themeColor="text1"/>
          <w14:textFill>
            <w14:solidFill>
              <w14:schemeClr w14:val="tx1"/>
            </w14:solidFill>
          </w14:textFill>
        </w:rPr>
        <w:t>3.3</w:t>
      </w:r>
      <w:r>
        <w:rPr>
          <w:rFonts w:hint="eastAsia" w:ascii="黑体" w:hAnsi="黑体"/>
          <w:color w:val="000000" w:themeColor="text1"/>
          <w14:textFill>
            <w14:solidFill>
              <w14:schemeClr w14:val="tx1"/>
            </w14:solidFill>
          </w14:textFill>
        </w:rPr>
        <w:t>初步评审</w:t>
      </w:r>
      <w:bookmarkEnd w:id="147"/>
    </w:p>
    <w:p>
      <w:pPr>
        <w:wordWrap w:val="0"/>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3.3.1</w:t>
      </w:r>
      <w:bookmarkStart w:id="148" w:name="_Hlk507965293"/>
      <w:r>
        <w:rPr>
          <w:rFonts w:hint="eastAsia" w:ascii="宋体" w:hAnsi="宋体"/>
          <w:color w:val="000000" w:themeColor="text1"/>
          <w14:textFill>
            <w14:solidFill>
              <w14:schemeClr w14:val="tx1"/>
            </w14:solidFill>
          </w14:textFill>
        </w:rPr>
        <w:t>形式性评审</w:t>
      </w:r>
    </w:p>
    <w:p>
      <w:pPr>
        <w:wordWrap w:val="0"/>
        <w:adjustRightInd w:val="0"/>
        <w:snapToGrid w:val="0"/>
        <w:spacing w:line="360" w:lineRule="auto"/>
        <w:ind w:firstLine="420" w:firstLineChars="200"/>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评标委员会根据本章第</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款列出的评审标准，</w:t>
      </w:r>
      <w:r>
        <w:rPr>
          <w:rFonts w:hint="eastAsia" w:ascii="宋体" w:hAnsi="宋体"/>
          <w:color w:val="000000" w:themeColor="text1"/>
          <w:kern w:val="0"/>
          <w14:textFill>
            <w14:solidFill>
              <w14:schemeClr w14:val="tx1"/>
            </w14:solidFill>
          </w14:textFill>
        </w:rPr>
        <w:t>有一项不符合评审标准的，作无效标处理。</w:t>
      </w:r>
    </w:p>
    <w:p>
      <w:pPr>
        <w:wordWrap w:val="0"/>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3.3.2</w:t>
      </w:r>
      <w:r>
        <w:rPr>
          <w:rFonts w:hint="eastAsia" w:ascii="宋体" w:hAnsi="宋体"/>
          <w:color w:val="000000" w:themeColor="text1"/>
          <w14:textFill>
            <w14:solidFill>
              <w14:schemeClr w14:val="tx1"/>
            </w14:solidFill>
          </w14:textFill>
        </w:rPr>
        <w:t>资格评审</w:t>
      </w:r>
    </w:p>
    <w:p>
      <w:pPr>
        <w:wordWrap w:val="0"/>
        <w:adjustRightInd w:val="0"/>
        <w:snapToGrid w:val="0"/>
        <w:spacing w:line="360" w:lineRule="auto"/>
        <w:ind w:firstLine="420" w:firstLineChars="200"/>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评标委员会根据本章第</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款列出的评审标准，</w:t>
      </w:r>
      <w:r>
        <w:rPr>
          <w:rFonts w:hint="eastAsia" w:ascii="宋体" w:hAnsi="宋体"/>
          <w:color w:val="000000" w:themeColor="text1"/>
          <w:kern w:val="0"/>
          <w14:textFill>
            <w14:solidFill>
              <w14:schemeClr w14:val="tx1"/>
            </w14:solidFill>
          </w14:textFill>
        </w:rPr>
        <w:t>有一项不符合评审标准的，作无效标处理。</w:t>
      </w:r>
    </w:p>
    <w:p>
      <w:pPr>
        <w:wordWrap w:val="0"/>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3.3.3</w:t>
      </w:r>
      <w:r>
        <w:rPr>
          <w:rFonts w:hint="eastAsia" w:ascii="宋体" w:hAnsi="宋体"/>
          <w:color w:val="000000" w:themeColor="text1"/>
          <w14:textFill>
            <w14:solidFill>
              <w14:schemeClr w14:val="tx1"/>
            </w14:solidFill>
          </w14:textFill>
        </w:rPr>
        <w:t>响应性评审</w:t>
      </w:r>
    </w:p>
    <w:p>
      <w:pPr>
        <w:wordWrap w:val="0"/>
        <w:adjustRightInd w:val="0"/>
        <w:snapToGrid w:val="0"/>
        <w:spacing w:line="360" w:lineRule="auto"/>
        <w:ind w:firstLine="420" w:firstLineChars="200"/>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评标委员会根据本章第</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款列出的评审标准，</w:t>
      </w:r>
      <w:r>
        <w:rPr>
          <w:rFonts w:hint="eastAsia" w:ascii="宋体" w:hAnsi="宋体"/>
          <w:color w:val="000000" w:themeColor="text1"/>
          <w:kern w:val="0"/>
          <w14:textFill>
            <w14:solidFill>
              <w14:schemeClr w14:val="tx1"/>
            </w14:solidFill>
          </w14:textFill>
        </w:rPr>
        <w:t>有一项不符合评审标准的，作无效标处理。</w:t>
      </w:r>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3.3.</w:t>
      </w:r>
      <w:r>
        <w:rPr>
          <w:rFonts w:hint="eastAsia"/>
          <w:color w:val="000000" w:themeColor="text1"/>
          <w14:textFill>
            <w14:solidFill>
              <w14:schemeClr w14:val="tx1"/>
            </w14:solidFill>
          </w14:textFill>
        </w:rPr>
        <w:t>4</w:t>
      </w:r>
      <w:r>
        <w:rPr>
          <w:rFonts w:hint="eastAsia" w:ascii="宋体" w:hAnsi="宋体"/>
          <w:color w:val="000000" w:themeColor="text1"/>
          <w14:textFill>
            <w14:solidFill>
              <w14:schemeClr w14:val="tx1"/>
            </w14:solidFill>
          </w14:textFill>
        </w:rPr>
        <w:t>投标报价有算术错误的，评标委员会按以下原则对投标报价进行修正，修正的价格经投标人书面确认后具有约束力。投标人不接受修正价格的，评标委员会应当否决其投标。</w:t>
      </w:r>
    </w:p>
    <w:p>
      <w:pPr>
        <w:wordWrap w:val="0"/>
        <w:spacing w:line="360" w:lineRule="auto"/>
        <w:ind w:firstLine="424" w:firstLineChars="202"/>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）投标文件中的大写金额与小写金额不一致的，以大写金额为准；</w:t>
      </w:r>
    </w:p>
    <w:p>
      <w:pPr>
        <w:wordWrap w:val="0"/>
        <w:spacing w:line="360" w:lineRule="auto"/>
        <w:ind w:firstLine="424" w:firstLineChars="202"/>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）总价金额与依据单价计算出的结果不一致的，以单价金额为准修正总价，但单价金额小数点有明显错误、四舍五入原因的除外；</w:t>
      </w:r>
    </w:p>
    <w:p>
      <w:pPr>
        <w:wordWrap w:val="0"/>
        <w:spacing w:line="360" w:lineRule="auto"/>
        <w:ind w:firstLine="424" w:firstLineChars="202"/>
        <w:rPr>
          <w:color w:val="000000" w:themeColor="text1"/>
          <w14:textFill>
            <w14:solidFill>
              <w14:schemeClr w14:val="tx1"/>
            </w14:solidFill>
          </w14:textFill>
        </w:rPr>
      </w:pPr>
      <w:r>
        <w:rPr>
          <w:color w:val="000000" w:themeColor="text1"/>
          <w14:textFill>
            <w14:solidFill>
              <w14:schemeClr w14:val="tx1"/>
            </w14:solidFill>
          </w14:textFill>
        </w:rPr>
        <w:t>3.3.</w:t>
      </w:r>
      <w:r>
        <w:rPr>
          <w:rFonts w:hint="eastAsia"/>
          <w:color w:val="000000" w:themeColor="text1"/>
          <w14:textFill>
            <w14:solidFill>
              <w14:schemeClr w14:val="tx1"/>
            </w14:solidFill>
          </w14:textFill>
        </w:rPr>
        <w:t>5</w:t>
      </w:r>
      <w:r>
        <w:rPr>
          <w:rFonts w:hint="eastAsia" w:ascii="宋体" w:hAnsi="宋体"/>
          <w:color w:val="000000" w:themeColor="text1"/>
          <w14:textFill>
            <w14:solidFill>
              <w14:schemeClr w14:val="tx1"/>
            </w14:solidFill>
          </w14:textFill>
        </w:rPr>
        <w:t>澄清、说明或补正</w:t>
      </w:r>
    </w:p>
    <w:p>
      <w:pPr>
        <w:wordWrap w:val="0"/>
        <w:adjustRightInd w:val="0"/>
        <w:snapToGrid w:val="0"/>
        <w:spacing w:line="360" w:lineRule="auto"/>
        <w:ind w:firstLine="420" w:firstLineChars="200"/>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在初步评审过程中，评标委员会应当就投标文件中不明确的内容要求投标人进行澄清、说明或补正，澄清、说明或补正按照本章第</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5</w:t>
      </w:r>
      <w:r>
        <w:rPr>
          <w:rFonts w:hint="eastAsia" w:ascii="宋体" w:hAnsi="宋体"/>
          <w:color w:val="000000" w:themeColor="text1"/>
          <w14:textFill>
            <w14:solidFill>
              <w14:schemeClr w14:val="tx1"/>
            </w14:solidFill>
          </w14:textFill>
        </w:rPr>
        <w:t>款的规定进行。</w:t>
      </w:r>
    </w:p>
    <w:p>
      <w:pPr>
        <w:wordWrap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 xml:space="preserve">    3.3.</w:t>
      </w:r>
      <w:r>
        <w:rPr>
          <w:rFonts w:hint="eastAsia"/>
          <w:color w:val="000000" w:themeColor="text1"/>
          <w14:textFill>
            <w14:solidFill>
              <w14:schemeClr w14:val="tx1"/>
            </w14:solidFill>
          </w14:textFill>
        </w:rPr>
        <w:t>6</w:t>
      </w:r>
      <w:r>
        <w:rPr>
          <w:rFonts w:hint="eastAsia" w:ascii="宋体" w:hAnsi="宋体"/>
          <w:color w:val="000000" w:themeColor="text1"/>
          <w14:textFill>
            <w14:solidFill>
              <w14:schemeClr w14:val="tx1"/>
            </w14:solidFill>
          </w14:textFill>
        </w:rPr>
        <w:t>投标人有以下情形之一的，其投标作无效标处理：</w:t>
      </w:r>
    </w:p>
    <w:p>
      <w:pPr>
        <w:wordWrap w:val="0"/>
        <w:spacing w:line="360" w:lineRule="auto"/>
        <w:ind w:firstLine="424" w:firstLineChars="202"/>
        <w:rPr>
          <w:i/>
          <w:iCs/>
          <w:color w:val="000000" w:themeColor="text1"/>
          <w14:textFill>
            <w14:solidFill>
              <w14:schemeClr w14:val="tx1"/>
            </w14:solidFill>
          </w14:textFill>
        </w:rPr>
      </w:pPr>
      <w:r>
        <w:rPr>
          <w:rFonts w:hint="eastAsia" w:ascii="宋体" w:hAnsi="宋体"/>
          <w:i/>
          <w:iCs/>
          <w:color w:val="000000" w:themeColor="text1"/>
          <w14:textFill>
            <w14:solidFill>
              <w14:schemeClr w14:val="tx1"/>
            </w14:solidFill>
          </w14:textFill>
        </w:rPr>
        <w:t>（</w:t>
      </w:r>
      <w:r>
        <w:rPr>
          <w:rFonts w:hint="eastAsia"/>
          <w:i/>
          <w:iCs/>
          <w:color w:val="000000" w:themeColor="text1"/>
          <w14:textFill>
            <w14:solidFill>
              <w14:schemeClr w14:val="tx1"/>
            </w14:solidFill>
          </w14:textFill>
        </w:rPr>
        <w:t>1</w:t>
      </w:r>
      <w:r>
        <w:rPr>
          <w:rFonts w:hint="eastAsia" w:ascii="宋体" w:hAnsi="宋体"/>
          <w:i/>
          <w:iCs/>
          <w:color w:val="000000" w:themeColor="text1"/>
          <w14:textFill>
            <w14:solidFill>
              <w14:schemeClr w14:val="tx1"/>
            </w14:solidFill>
          </w14:textFill>
        </w:rPr>
        <w:t>）第二章“投标人须知”第</w:t>
      </w:r>
      <w:r>
        <w:rPr>
          <w:rFonts w:hint="eastAsia"/>
          <w:i/>
          <w:iCs/>
          <w:color w:val="000000" w:themeColor="text1"/>
          <w14:textFill>
            <w14:solidFill>
              <w14:schemeClr w14:val="tx1"/>
            </w14:solidFill>
          </w14:textFill>
        </w:rPr>
        <w:t>1.4.3</w:t>
      </w:r>
      <w:r>
        <w:rPr>
          <w:rFonts w:hint="eastAsia" w:ascii="宋体" w:hAnsi="宋体"/>
          <w:i/>
          <w:iCs/>
          <w:color w:val="000000" w:themeColor="text1"/>
          <w14:textFill>
            <w14:solidFill>
              <w14:schemeClr w14:val="tx1"/>
            </w14:solidFill>
          </w14:textFill>
        </w:rPr>
        <w:t>项、第</w:t>
      </w:r>
      <w:r>
        <w:rPr>
          <w:rFonts w:hint="eastAsia"/>
          <w:i/>
          <w:iCs/>
          <w:color w:val="000000" w:themeColor="text1"/>
          <w14:textFill>
            <w14:solidFill>
              <w14:schemeClr w14:val="tx1"/>
            </w14:solidFill>
          </w14:textFill>
        </w:rPr>
        <w:t>1.4.4</w:t>
      </w:r>
      <w:r>
        <w:rPr>
          <w:rFonts w:hint="eastAsia" w:ascii="宋体" w:hAnsi="宋体"/>
          <w:i/>
          <w:iCs/>
          <w:color w:val="000000" w:themeColor="text1"/>
          <w14:textFill>
            <w14:solidFill>
              <w14:schemeClr w14:val="tx1"/>
            </w14:solidFill>
          </w14:textFill>
        </w:rPr>
        <w:t>项规定的任何一种情形的；</w:t>
      </w:r>
      <w:r>
        <w:rPr>
          <w:rFonts w:hint="eastAsia" w:ascii="宋体" w:hAnsi="宋体"/>
          <w:color w:val="000000" w:themeColor="text1"/>
          <w14:textFill>
            <w14:solidFill>
              <w14:schemeClr w14:val="tx1"/>
            </w14:solidFill>
          </w14:textFill>
        </w:rPr>
        <w:t>（前附表无此两项）</w:t>
      </w:r>
    </w:p>
    <w:p>
      <w:pPr>
        <w:wordWrap w:val="0"/>
        <w:spacing w:line="360" w:lineRule="auto"/>
        <w:ind w:firstLine="424" w:firstLineChars="202"/>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）以他人的名义投标、串通投标、以行贿手段谋取中标或者以其他弄虚作假方式投标的；</w:t>
      </w:r>
    </w:p>
    <w:p>
      <w:pPr>
        <w:wordWrap w:val="0"/>
        <w:spacing w:line="360" w:lineRule="auto"/>
        <w:ind w:firstLine="424" w:firstLineChars="202"/>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）不同投标人的投标文件出现了评标委员会认为不应当雷同的情况的；</w:t>
      </w:r>
    </w:p>
    <w:p>
      <w:pPr>
        <w:wordWrap w:val="0"/>
        <w:spacing w:line="360" w:lineRule="auto"/>
        <w:ind w:firstLine="424" w:firstLineChars="202"/>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4</w:t>
      </w:r>
      <w:r>
        <w:rPr>
          <w:rFonts w:hint="eastAsia" w:ascii="宋体" w:hAnsi="宋体"/>
          <w:color w:val="000000" w:themeColor="text1"/>
          <w14:textFill>
            <w14:solidFill>
              <w14:schemeClr w14:val="tx1"/>
            </w14:solidFill>
          </w14:textFill>
        </w:rPr>
        <w:t>）投标人资格条件不符合国家有关规定或招标文件要求的；</w:t>
      </w:r>
    </w:p>
    <w:p>
      <w:pPr>
        <w:wordWrap w:val="0"/>
        <w:adjustRightInd w:val="0"/>
        <w:snapToGrid w:val="0"/>
        <w:spacing w:line="360" w:lineRule="auto"/>
        <w:ind w:firstLine="424" w:firstLineChars="202"/>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5</w:t>
      </w:r>
      <w:r>
        <w:rPr>
          <w:rFonts w:hint="eastAsia" w:ascii="宋体" w:hAnsi="宋体"/>
          <w:color w:val="000000" w:themeColor="text1"/>
          <w14:textFill>
            <w14:solidFill>
              <w14:schemeClr w14:val="tx1"/>
            </w14:solidFill>
          </w14:textFill>
        </w:rPr>
        <w:t>）明显不符合技术规范、技术标准的要求的；</w:t>
      </w:r>
    </w:p>
    <w:p>
      <w:pPr>
        <w:wordWrap w:val="0"/>
        <w:adjustRightInd w:val="0"/>
        <w:snapToGrid w:val="0"/>
        <w:spacing w:line="360" w:lineRule="auto"/>
        <w:ind w:firstLine="424" w:firstLineChars="202"/>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6</w:t>
      </w:r>
      <w:r>
        <w:rPr>
          <w:rFonts w:hint="eastAsia" w:ascii="宋体" w:hAnsi="宋体"/>
          <w:color w:val="000000" w:themeColor="text1"/>
          <w14:textFill>
            <w14:solidFill>
              <w14:schemeClr w14:val="tx1"/>
            </w14:solidFill>
          </w14:textFill>
        </w:rPr>
        <w:t>）投标文件载明的货物包装方式、检验标准和方法等不符合招标文件的要求的；</w:t>
      </w:r>
    </w:p>
    <w:p>
      <w:pPr>
        <w:wordWrap w:val="0"/>
        <w:spacing w:line="360" w:lineRule="auto"/>
        <w:ind w:firstLine="424" w:firstLineChars="202"/>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7</w:t>
      </w:r>
      <w:r>
        <w:rPr>
          <w:rFonts w:hint="eastAsia" w:ascii="宋体" w:hAnsi="宋体"/>
          <w:color w:val="000000" w:themeColor="text1"/>
          <w14:textFill>
            <w14:solidFill>
              <w14:schemeClr w14:val="tx1"/>
            </w14:solidFill>
          </w14:textFill>
        </w:rPr>
        <w:t>）投标文件提出了不能满足招标文件要求或招标人不能接受的工程验收、计量、价款结算和支付办法的；</w:t>
      </w:r>
    </w:p>
    <w:p>
      <w:pPr>
        <w:wordWrap w:val="0"/>
        <w:spacing w:line="360" w:lineRule="auto"/>
        <w:ind w:firstLine="424" w:firstLineChars="202"/>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8</w:t>
      </w:r>
      <w:r>
        <w:rPr>
          <w:rFonts w:hint="eastAsia" w:ascii="宋体" w:hAnsi="宋体"/>
          <w:color w:val="000000" w:themeColor="text1"/>
          <w14:textFill>
            <w14:solidFill>
              <w14:schemeClr w14:val="tx1"/>
            </w14:solidFill>
          </w14:textFill>
        </w:rPr>
        <w:t>）设计文件（或项目管理组织方案）存在明显技术方案错误、或者不符合招标文件有关要求的；</w:t>
      </w:r>
    </w:p>
    <w:p>
      <w:pPr>
        <w:wordWrap w:val="0"/>
        <w:spacing w:line="360" w:lineRule="auto"/>
        <w:ind w:firstLine="424" w:firstLineChars="202"/>
        <w:rPr>
          <w:rFonts w:ascii="仿宋_GB2312" w:hAnsi="宋体" w:eastAsia="仿宋_GB2312"/>
          <w:color w:val="000000" w:themeColor="text1"/>
          <w:sz w:val="28"/>
          <w:szCs w:val="28"/>
          <w14:textFill>
            <w14:solidFill>
              <w14:schemeClr w14:val="tx1"/>
            </w14:solidFill>
          </w14:textFill>
        </w:rPr>
      </w:pPr>
      <w:r>
        <w:rPr>
          <w:rFonts w:hint="eastAsia" w:ascii="宋体"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9</w:t>
      </w:r>
      <w:r>
        <w:rPr>
          <w:rFonts w:hint="eastAsia" w:ascii="宋体" w:hAnsi="宋体"/>
          <w:color w:val="000000" w:themeColor="text1"/>
          <w14:textFill>
            <w14:solidFill>
              <w14:schemeClr w14:val="tx1"/>
            </w14:solidFill>
          </w14:textFill>
        </w:rPr>
        <w:t>）投标文件关键内容模糊、无法辩认的。</w:t>
      </w:r>
    </w:p>
    <w:bookmarkEnd w:id="148"/>
    <w:p>
      <w:pPr>
        <w:pStyle w:val="5"/>
        <w:wordWrap w:val="0"/>
        <w:rPr>
          <w:rFonts w:ascii="宋体" w:hAnsi="宋体"/>
          <w:color w:val="000000" w:themeColor="text1"/>
          <w:szCs w:val="21"/>
          <w14:textFill>
            <w14:solidFill>
              <w14:schemeClr w14:val="tx1"/>
            </w14:solidFill>
          </w14:textFill>
        </w:rPr>
      </w:pPr>
      <w:bookmarkStart w:id="149" w:name="_Toc18872"/>
      <w:r>
        <w:rPr>
          <w:rFonts w:hint="eastAsia" w:cs="Calibri"/>
          <w:color w:val="000000" w:themeColor="text1"/>
          <w14:textFill>
            <w14:solidFill>
              <w14:schemeClr w14:val="tx1"/>
            </w14:solidFill>
          </w14:textFill>
        </w:rPr>
        <w:t>3.4</w:t>
      </w:r>
      <w:r>
        <w:rPr>
          <w:rFonts w:hint="eastAsia" w:ascii="黑体" w:hAnsi="黑体"/>
          <w:color w:val="000000" w:themeColor="text1"/>
          <w14:textFill>
            <w14:solidFill>
              <w14:schemeClr w14:val="tx1"/>
            </w14:solidFill>
          </w14:textFill>
        </w:rPr>
        <w:t>详细评审</w:t>
      </w:r>
      <w:bookmarkEnd w:id="149"/>
    </w:p>
    <w:p>
      <w:pPr>
        <w:wordWrap w:val="0"/>
        <w:spacing w:line="360" w:lineRule="auto"/>
        <w:ind w:firstLine="435"/>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评标委员会按本章第</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款规定的方法首先对方案设计进行评分，并确定进入后续阶段评标的投标人。</w:t>
      </w:r>
    </w:p>
    <w:p>
      <w:pPr>
        <w:wordWrap w:val="0"/>
        <w:spacing w:line="360" w:lineRule="auto"/>
        <w:ind w:firstLine="435"/>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评标委员会按本章第</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款规定的方法对进入第二阶段评标的投标人就工程总承包报价、项目管理组织方案、工程业绩等量化因素和分值进行打分，并计算出综合评估得分。</w:t>
      </w:r>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评分分值计算保留小数点后两位，小数点后第三位</w:t>
      </w:r>
      <w:r>
        <w:rPr>
          <w:rFonts w:hint="eastAsia"/>
          <w:color w:val="000000" w:themeColor="text1"/>
          <w14:textFill>
            <w14:solidFill>
              <w14:schemeClr w14:val="tx1"/>
            </w14:solidFill>
          </w14:textFill>
        </w:rPr>
        <w:t>“四舍五入”。</w:t>
      </w:r>
    </w:p>
    <w:p>
      <w:pPr>
        <w:pStyle w:val="5"/>
        <w:wordWrap w:val="0"/>
        <w:rPr>
          <w:rFonts w:ascii="宋体" w:hAnsi="宋体"/>
          <w:color w:val="000000" w:themeColor="text1"/>
          <w14:textFill>
            <w14:solidFill>
              <w14:schemeClr w14:val="tx1"/>
            </w14:solidFill>
          </w14:textFill>
        </w:rPr>
      </w:pPr>
      <w:bookmarkStart w:id="150" w:name="_Toc32273"/>
      <w:r>
        <w:rPr>
          <w:rFonts w:cs="Calibri"/>
          <w:color w:val="000000" w:themeColor="text1"/>
          <w14:textFill>
            <w14:solidFill>
              <w14:schemeClr w14:val="tx1"/>
            </w14:solidFill>
          </w14:textFill>
        </w:rPr>
        <w:t>3.</w:t>
      </w:r>
      <w:r>
        <w:rPr>
          <w:rFonts w:hint="eastAsia" w:cs="Calibri"/>
          <w:color w:val="000000" w:themeColor="text1"/>
          <w14:textFill>
            <w14:solidFill>
              <w14:schemeClr w14:val="tx1"/>
            </w14:solidFill>
          </w14:textFill>
        </w:rPr>
        <w:t>5</w:t>
      </w:r>
      <w:r>
        <w:rPr>
          <w:rFonts w:hint="eastAsia" w:ascii="黑体" w:hAnsi="黑体"/>
          <w:color w:val="000000" w:themeColor="text1"/>
          <w14:textFill>
            <w14:solidFill>
              <w14:schemeClr w14:val="tx1"/>
            </w14:solidFill>
          </w14:textFill>
        </w:rPr>
        <w:t>投标文件的澄清和补正</w:t>
      </w:r>
      <w:bookmarkEnd w:id="150"/>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5</w:t>
      </w:r>
      <w:r>
        <w:rPr>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在评标过程中，评标委员会可以书面形式要求投标人对所提交的投标文件中不明确的内容进行书面澄清或说明。评标委员会不接受投标人主动提出的澄清、说明或补正。</w:t>
      </w:r>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5</w:t>
      </w:r>
      <w:r>
        <w:rPr>
          <w:color w:val="000000" w:themeColor="text1"/>
          <w14:textFill>
            <w14:solidFill>
              <w14:schemeClr w14:val="tx1"/>
            </w14:solidFill>
          </w14:textFill>
        </w:rPr>
        <w:t xml:space="preserve">.2 </w:t>
      </w:r>
      <w:r>
        <w:rPr>
          <w:rFonts w:hint="eastAsia" w:ascii="宋体" w:hAnsi="宋体"/>
          <w:color w:val="000000" w:themeColor="text1"/>
          <w14:textFill>
            <w14:solidFill>
              <w14:schemeClr w14:val="tx1"/>
            </w14:solidFill>
          </w14:textFill>
        </w:rPr>
        <w:t>澄清、说明和补正不得改变投标文件的实质性内容。投标人的书面澄清、说明和补正属于投标文件的组成部分。</w:t>
      </w:r>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5</w:t>
      </w:r>
      <w:r>
        <w:rPr>
          <w:color w:val="000000" w:themeColor="text1"/>
          <w14:textFill>
            <w14:solidFill>
              <w14:schemeClr w14:val="tx1"/>
            </w14:solidFill>
          </w14:textFill>
        </w:rPr>
        <w:t xml:space="preserve">.3 </w:t>
      </w:r>
      <w:r>
        <w:rPr>
          <w:rFonts w:hint="eastAsia" w:ascii="宋体" w:hAnsi="宋体"/>
          <w:color w:val="000000" w:themeColor="text1"/>
          <w14:textFill>
            <w14:solidFill>
              <w14:schemeClr w14:val="tx1"/>
            </w14:solidFill>
          </w14:textFill>
        </w:rPr>
        <w:t>评标委员会对投标人提交的澄清、说明或补正有疑问的，可以要求投标人进一步澄清、说明或补正，直至满足评标委员会的要求。</w:t>
      </w:r>
    </w:p>
    <w:p>
      <w:pPr>
        <w:wordWrap w:val="0"/>
        <w:spacing w:line="360" w:lineRule="auto"/>
        <w:ind w:firstLine="420" w:firstLineChars="200"/>
        <w:rPr>
          <w:color w:val="000000" w:themeColor="text1"/>
          <w14:textFill>
            <w14:solidFill>
              <w14:schemeClr w14:val="tx1"/>
            </w14:solidFill>
          </w14:textFill>
        </w:rPr>
      </w:pPr>
      <w:r>
        <w:rPr>
          <w:rFonts w:hint="eastAsia" w:ascii="Calibri" w:hAnsi="Calibri"/>
          <w:color w:val="000000" w:themeColor="text1"/>
          <w14:textFill>
            <w14:solidFill>
              <w14:schemeClr w14:val="tx1"/>
            </w14:solidFill>
          </w14:textFill>
        </w:rPr>
        <w:t xml:space="preserve">3.5.4 </w:t>
      </w:r>
      <w:r>
        <w:rPr>
          <w:rFonts w:ascii="宋体" w:hAnsi="宋体"/>
          <w:color w:val="000000" w:themeColor="text1"/>
          <w14:textFill>
            <w14:solidFill>
              <w14:schemeClr w14:val="tx1"/>
            </w14:solidFill>
          </w14:textFill>
        </w:rPr>
        <w:t>在评标过程中，评标委员会发现投标人的报价明显低于其他投标报价，使得其投标报价可能低于其个别成本的，有可能影响质量或者不能诚信履约的，应当要求其在评标现场合理的时间内提供书面说明并提供相关证明材料。投标人不能合理说明或者不能提供相关证明材料的，评标委员会</w:t>
      </w:r>
      <w:r>
        <w:rPr>
          <w:rFonts w:hint="eastAsia" w:ascii="宋体" w:hAnsi="宋体"/>
          <w:color w:val="000000" w:themeColor="text1"/>
          <w14:textFill>
            <w14:solidFill>
              <w14:schemeClr w14:val="tx1"/>
            </w14:solidFill>
          </w14:textFill>
        </w:rPr>
        <w:t>应当否决其投标</w:t>
      </w:r>
      <w:r>
        <w:rPr>
          <w:rFonts w:ascii="宋体" w:hAnsi="宋体"/>
          <w:color w:val="000000" w:themeColor="text1"/>
          <w14:textFill>
            <w14:solidFill>
              <w14:schemeClr w14:val="tx1"/>
            </w14:solidFill>
          </w14:textFill>
        </w:rPr>
        <w:t>。</w:t>
      </w:r>
    </w:p>
    <w:p>
      <w:pPr>
        <w:pStyle w:val="5"/>
        <w:wordWrap w:val="0"/>
        <w:rPr>
          <w:rFonts w:ascii="宋体" w:hAnsi="宋体"/>
          <w:color w:val="000000" w:themeColor="text1"/>
          <w14:textFill>
            <w14:solidFill>
              <w14:schemeClr w14:val="tx1"/>
            </w14:solidFill>
          </w14:textFill>
        </w:rPr>
      </w:pPr>
      <w:bookmarkStart w:id="151" w:name="_Toc18040"/>
      <w:r>
        <w:rPr>
          <w:rFonts w:cs="Calibri"/>
          <w:color w:val="000000" w:themeColor="text1"/>
          <w14:textFill>
            <w14:solidFill>
              <w14:schemeClr w14:val="tx1"/>
            </w14:solidFill>
          </w14:textFill>
        </w:rPr>
        <w:t>3.</w:t>
      </w:r>
      <w:r>
        <w:rPr>
          <w:rFonts w:hint="eastAsia" w:cs="Calibri"/>
          <w:color w:val="000000" w:themeColor="text1"/>
          <w14:textFill>
            <w14:solidFill>
              <w14:schemeClr w14:val="tx1"/>
            </w14:solidFill>
          </w14:textFill>
        </w:rPr>
        <w:t>6</w:t>
      </w:r>
      <w:r>
        <w:rPr>
          <w:rFonts w:hint="eastAsia" w:ascii="黑体" w:hAnsi="黑体"/>
          <w:color w:val="000000" w:themeColor="text1"/>
          <w14:textFill>
            <w14:solidFill>
              <w14:schemeClr w14:val="tx1"/>
            </w14:solidFill>
          </w14:textFill>
        </w:rPr>
        <w:t>推荐中标候选人</w:t>
      </w:r>
      <w:bookmarkEnd w:id="151"/>
    </w:p>
    <w:p>
      <w:pPr>
        <w:wordWrap w:val="0"/>
        <w:spacing w:line="360" w:lineRule="auto"/>
        <w:ind w:firstLine="420" w:firstLineChars="200"/>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评标委员会在推荐中标候选人时，应遵照以下原则</w:t>
      </w:r>
      <w:r>
        <w:rPr>
          <w:color w:val="000000" w:themeColor="text1"/>
          <w14:textFill>
            <w14:solidFill>
              <w14:schemeClr w14:val="tx1"/>
            </w14:solidFill>
          </w14:textFill>
        </w:rPr>
        <w:t>:</w:t>
      </w:r>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6</w:t>
      </w:r>
      <w:r>
        <w:rPr>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评标委员会按照最终得分由高至低的次序排列，推荐</w:t>
      </w:r>
      <w:r>
        <w:rPr>
          <w:color w:val="000000" w:themeColor="text1"/>
          <w14:textFill>
            <w14:solidFill>
              <w14:schemeClr w14:val="tx1"/>
            </w14:solidFill>
          </w14:textFill>
        </w:rPr>
        <w:t>1-3</w:t>
      </w:r>
      <w:r>
        <w:rPr>
          <w:rFonts w:hint="eastAsia" w:ascii="宋体" w:hAnsi="宋体"/>
          <w:color w:val="000000" w:themeColor="text1"/>
          <w14:textFill>
            <w14:solidFill>
              <w14:schemeClr w14:val="tx1"/>
            </w14:solidFill>
          </w14:textFill>
        </w:rPr>
        <w:t>名中标候选人。</w:t>
      </w:r>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6</w:t>
      </w:r>
      <w:r>
        <w:rPr>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如果评标委员会根据本章的规定作无效标处理后，有效投标不足三个，评标委员会应当对是否具有竞争性进行判断：有竞争性的，按有效投标最终得分由高至低的次序推荐中标候选人；缺乏竞争的，评标委员会应当否决全部投标。</w:t>
      </w:r>
    </w:p>
    <w:p>
      <w:pPr>
        <w:wordWrap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6</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评标委员会完成评标后，应当向招标人提交评标报告。</w:t>
      </w:r>
    </w:p>
    <w:p>
      <w:pPr>
        <w:widowControl/>
        <w:wordWrap w:val="0"/>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wordWrap w:val="0"/>
        <w:rPr>
          <w:color w:val="000000" w:themeColor="text1"/>
          <w14:textFill>
            <w14:solidFill>
              <w14:schemeClr w14:val="tx1"/>
            </w14:solidFill>
          </w14:textFill>
        </w:rPr>
      </w:pPr>
    </w:p>
    <w:p>
      <w:pPr>
        <w:pStyle w:val="3"/>
        <w:wordWrap w:val="0"/>
        <w:jc w:val="center"/>
        <w:rPr>
          <w:color w:val="000000" w:themeColor="text1"/>
          <w14:textFill>
            <w14:solidFill>
              <w14:schemeClr w14:val="tx1"/>
            </w14:solidFill>
          </w14:textFill>
        </w:rPr>
      </w:pPr>
      <w:bookmarkStart w:id="152" w:name="_Toc6621"/>
      <w:r>
        <w:rPr>
          <w:color w:val="000000" w:themeColor="text1"/>
          <w14:textFill>
            <w14:solidFill>
              <w14:schemeClr w14:val="tx1"/>
            </w14:solidFill>
          </w14:textFill>
        </w:rPr>
        <w:t>第四章合同条款及格式</w:t>
      </w:r>
      <w:bookmarkEnd w:id="152"/>
    </w:p>
    <w:p>
      <w:pPr>
        <w:pStyle w:val="22"/>
        <w:wordWrap w:val="0"/>
        <w:jc w:val="center"/>
        <w:rPr>
          <w:rFonts w:ascii="Times New Roman" w:hAnsi="Times New Roman" w:eastAsia="华文中宋"/>
          <w:b/>
          <w:color w:val="000000" w:themeColor="text1"/>
          <w:sz w:val="52"/>
          <w:szCs w:val="52"/>
          <w14:textFill>
            <w14:solidFill>
              <w14:schemeClr w14:val="tx1"/>
            </w14:solidFill>
          </w14:textFill>
        </w:rPr>
      </w:pPr>
    </w:p>
    <w:p>
      <w:pPr>
        <w:pStyle w:val="22"/>
        <w:wordWrap w:val="0"/>
        <w:jc w:val="center"/>
        <w:rPr>
          <w:rFonts w:ascii="Times New Roman" w:hAnsi="Times New Roman" w:eastAsia="华文中宋"/>
          <w:b/>
          <w:color w:val="000000" w:themeColor="text1"/>
          <w:sz w:val="52"/>
          <w:szCs w:val="52"/>
          <w14:textFill>
            <w14:solidFill>
              <w14:schemeClr w14:val="tx1"/>
            </w14:solidFill>
          </w14:textFill>
        </w:rPr>
      </w:pPr>
    </w:p>
    <w:p>
      <w:pPr>
        <w:pStyle w:val="22"/>
        <w:wordWrap w:val="0"/>
        <w:jc w:val="center"/>
        <w:rPr>
          <w:rFonts w:ascii="Times New Roman" w:hAnsi="Times New Roman" w:eastAsia="华文中宋"/>
          <w:b/>
          <w:color w:val="000000" w:themeColor="text1"/>
          <w:sz w:val="52"/>
          <w:szCs w:val="52"/>
          <w14:textFill>
            <w14:solidFill>
              <w14:schemeClr w14:val="tx1"/>
            </w14:solidFill>
          </w14:textFill>
        </w:rPr>
      </w:pPr>
    </w:p>
    <w:p>
      <w:pPr>
        <w:widowControl/>
        <w:wordWrap w:val="0"/>
        <w:jc w:val="left"/>
        <w:rPr>
          <w:rFonts w:eastAsia="华文中宋"/>
          <w:b/>
          <w:color w:val="000000" w:themeColor="text1"/>
          <w:sz w:val="52"/>
          <w:szCs w:val="52"/>
          <w14:textFill>
            <w14:solidFill>
              <w14:schemeClr w14:val="tx1"/>
            </w14:solidFill>
          </w14:textFill>
        </w:rPr>
      </w:pPr>
      <w:r>
        <w:rPr>
          <w:rFonts w:eastAsia="华文中宋"/>
          <w:b/>
          <w:color w:val="000000" w:themeColor="text1"/>
          <w:sz w:val="52"/>
          <w:szCs w:val="52"/>
          <w14:textFill>
            <w14:solidFill>
              <w14:schemeClr w14:val="tx1"/>
            </w14:solidFill>
          </w14:textFill>
        </w:rPr>
        <w:br w:type="page"/>
      </w:r>
    </w:p>
    <w:p>
      <w:pPr>
        <w:wordWrap w:val="0"/>
        <w:jc w:val="left"/>
        <w:rPr>
          <w:rFonts w:ascii="宋体" w:hAnsi="宋体"/>
          <w:b/>
          <w:bCs/>
          <w:color w:val="000000" w:themeColor="text1"/>
          <w:sz w:val="30"/>
          <w:szCs w:val="30"/>
          <w14:textFill>
            <w14:solidFill>
              <w14:schemeClr w14:val="tx1"/>
            </w14:solidFill>
          </w14:textFill>
        </w:rPr>
      </w:pPr>
      <w:r>
        <w:rPr>
          <w:rFonts w:hint="eastAsia" w:ascii="宋体" w:hAnsi="宋体"/>
          <w:b/>
          <w:bCs/>
          <w:color w:val="000000" w:themeColor="text1"/>
          <w:sz w:val="30"/>
          <w:szCs w:val="30"/>
          <w14:textFill>
            <w14:solidFill>
              <w14:schemeClr w14:val="tx1"/>
            </w14:solidFill>
          </w14:textFill>
        </w:rPr>
        <w:t>GF-2011-0216</w:t>
      </w:r>
    </w:p>
    <w:p>
      <w:pPr>
        <w:wordWrap w:val="0"/>
        <w:jc w:val="center"/>
        <w:rPr>
          <w:rFonts w:ascii="宋体" w:hAnsi="宋体"/>
          <w:b/>
          <w:bCs/>
          <w:color w:val="000000" w:themeColor="text1"/>
          <w:sz w:val="48"/>
          <w14:textFill>
            <w14:solidFill>
              <w14:schemeClr w14:val="tx1"/>
            </w14:solidFill>
          </w14:textFill>
        </w:rPr>
      </w:pPr>
    </w:p>
    <w:p>
      <w:pPr>
        <w:wordWrap w:val="0"/>
        <w:jc w:val="center"/>
        <w:rPr>
          <w:rFonts w:ascii="宋体" w:hAnsi="宋体"/>
          <w:b/>
          <w:bCs/>
          <w:color w:val="000000" w:themeColor="text1"/>
          <w:sz w:val="48"/>
          <w14:textFill>
            <w14:solidFill>
              <w14:schemeClr w14:val="tx1"/>
            </w14:solidFill>
          </w14:textFill>
        </w:rPr>
      </w:pPr>
    </w:p>
    <w:p>
      <w:pPr>
        <w:wordWrap w:val="0"/>
        <w:jc w:val="center"/>
        <w:rPr>
          <w:rFonts w:ascii="宋体" w:hAnsi="宋体"/>
          <w:b/>
          <w:bCs/>
          <w:color w:val="000000" w:themeColor="text1"/>
          <w:sz w:val="48"/>
          <w14:textFill>
            <w14:solidFill>
              <w14:schemeClr w14:val="tx1"/>
            </w14:solidFill>
          </w14:textFill>
        </w:rPr>
      </w:pPr>
    </w:p>
    <w:p>
      <w:pPr>
        <w:wordWrap w:val="0"/>
        <w:jc w:val="center"/>
        <w:rPr>
          <w:rFonts w:ascii="宋体" w:hAnsi="宋体"/>
          <w:b/>
          <w:bCs/>
          <w:color w:val="000000" w:themeColor="text1"/>
          <w:sz w:val="48"/>
          <w14:textFill>
            <w14:solidFill>
              <w14:schemeClr w14:val="tx1"/>
            </w14:solidFill>
          </w14:textFill>
        </w:rPr>
      </w:pPr>
    </w:p>
    <w:p>
      <w:pPr>
        <w:wordWrap w:val="0"/>
        <w:jc w:val="center"/>
        <w:rPr>
          <w:rFonts w:ascii="宋体" w:hAnsi="宋体"/>
          <w:b/>
          <w:bCs/>
          <w:color w:val="000000" w:themeColor="text1"/>
          <w:sz w:val="48"/>
          <w:szCs w:val="48"/>
          <w14:textFill>
            <w14:solidFill>
              <w14:schemeClr w14:val="tx1"/>
            </w14:solidFill>
          </w14:textFill>
        </w:rPr>
      </w:pPr>
      <w:r>
        <w:rPr>
          <w:rFonts w:hint="eastAsia" w:ascii="宋体" w:hAnsi="宋体"/>
          <w:b/>
          <w:bCs/>
          <w:color w:val="000000" w:themeColor="text1"/>
          <w:sz w:val="48"/>
          <w14:textFill>
            <w14:solidFill>
              <w14:schemeClr w14:val="tx1"/>
            </w14:solidFill>
          </w14:textFill>
        </w:rPr>
        <w:t>建设项目工程总承包合同</w:t>
      </w:r>
      <w:r>
        <w:rPr>
          <w:rFonts w:hint="eastAsia" w:ascii="宋体" w:hAnsi="宋体"/>
          <w:b/>
          <w:bCs/>
          <w:color w:val="000000" w:themeColor="text1"/>
          <w:sz w:val="48"/>
          <w:szCs w:val="48"/>
          <w14:textFill>
            <w14:solidFill>
              <w14:schemeClr w14:val="tx1"/>
            </w14:solidFill>
          </w14:textFill>
        </w:rPr>
        <w:t>示范文本</w:t>
      </w:r>
    </w:p>
    <w:p>
      <w:pPr>
        <w:wordWrap w:val="0"/>
        <w:jc w:val="center"/>
        <w:rPr>
          <w:rFonts w:ascii="宋体" w:hAnsi="宋体"/>
          <w:b/>
          <w:bCs/>
          <w:color w:val="000000" w:themeColor="text1"/>
          <w:sz w:val="28"/>
          <w14:textFill>
            <w14:solidFill>
              <w14:schemeClr w14:val="tx1"/>
            </w14:solidFill>
          </w14:textFill>
        </w:rPr>
      </w:pPr>
    </w:p>
    <w:p>
      <w:pPr>
        <w:wordWrap w:val="0"/>
        <w:jc w:val="center"/>
        <w:rPr>
          <w:rFonts w:ascii="宋体" w:hAnsi="宋体"/>
          <w:bCs/>
          <w:color w:val="000000" w:themeColor="text1"/>
          <w:sz w:val="28"/>
          <w14:textFill>
            <w14:solidFill>
              <w14:schemeClr w14:val="tx1"/>
            </w14:solidFill>
          </w14:textFill>
        </w:rPr>
      </w:pPr>
    </w:p>
    <w:p>
      <w:pPr>
        <w:wordWrap w:val="0"/>
        <w:jc w:val="center"/>
        <w:rPr>
          <w:rFonts w:ascii="宋体" w:hAnsi="宋体"/>
          <w:bCs/>
          <w:color w:val="000000" w:themeColor="text1"/>
          <w:sz w:val="28"/>
          <w14:textFill>
            <w14:solidFill>
              <w14:schemeClr w14:val="tx1"/>
            </w14:solidFill>
          </w14:textFill>
        </w:rPr>
      </w:pPr>
    </w:p>
    <w:p>
      <w:pPr>
        <w:wordWrap w:val="0"/>
        <w:jc w:val="center"/>
        <w:rPr>
          <w:rFonts w:ascii="宋体" w:hAnsi="宋体"/>
          <w:bCs/>
          <w:color w:val="000000" w:themeColor="text1"/>
          <w:sz w:val="28"/>
          <w14:textFill>
            <w14:solidFill>
              <w14:schemeClr w14:val="tx1"/>
            </w14:solidFill>
          </w14:textFill>
        </w:rPr>
      </w:pPr>
    </w:p>
    <w:p>
      <w:pPr>
        <w:wordWrap w:val="0"/>
        <w:jc w:val="center"/>
        <w:rPr>
          <w:rFonts w:ascii="宋体" w:hAnsi="宋体"/>
          <w:bCs/>
          <w:color w:val="000000" w:themeColor="text1"/>
          <w:sz w:val="28"/>
          <w14:textFill>
            <w14:solidFill>
              <w14:schemeClr w14:val="tx1"/>
            </w14:solidFill>
          </w14:textFill>
        </w:rPr>
      </w:pPr>
    </w:p>
    <w:p>
      <w:pPr>
        <w:wordWrap w:val="0"/>
        <w:jc w:val="center"/>
        <w:rPr>
          <w:rFonts w:ascii="宋体" w:hAnsi="宋体"/>
          <w:bCs/>
          <w:color w:val="000000" w:themeColor="text1"/>
          <w:sz w:val="28"/>
          <w14:textFill>
            <w14:solidFill>
              <w14:schemeClr w14:val="tx1"/>
            </w14:solidFill>
          </w14:textFill>
        </w:rPr>
      </w:pPr>
    </w:p>
    <w:p>
      <w:pPr>
        <w:wordWrap w:val="0"/>
        <w:jc w:val="center"/>
        <w:rPr>
          <w:rFonts w:ascii="宋体" w:hAnsi="宋体"/>
          <w:bCs/>
          <w:color w:val="000000" w:themeColor="text1"/>
          <w:sz w:val="28"/>
          <w14:textFill>
            <w14:solidFill>
              <w14:schemeClr w14:val="tx1"/>
            </w14:solidFill>
          </w14:textFill>
        </w:rPr>
      </w:pPr>
    </w:p>
    <w:p>
      <w:pPr>
        <w:wordWrap w:val="0"/>
        <w:jc w:val="center"/>
        <w:rPr>
          <w:rFonts w:ascii="宋体" w:hAnsi="宋体"/>
          <w:color w:val="000000" w:themeColor="text1"/>
          <w:sz w:val="28"/>
          <w:szCs w:val="28"/>
          <w14:textFill>
            <w14:solidFill>
              <w14:schemeClr w14:val="tx1"/>
            </w14:solidFill>
          </w14:textFill>
        </w:rPr>
      </w:pPr>
    </w:p>
    <w:p>
      <w:pPr>
        <w:wordWrap w:val="0"/>
        <w:jc w:val="center"/>
        <w:rPr>
          <w:rFonts w:ascii="宋体" w:hAnsi="宋体"/>
          <w:color w:val="000000" w:themeColor="text1"/>
          <w:sz w:val="28"/>
          <w:szCs w:val="28"/>
          <w14:textFill>
            <w14:solidFill>
              <w14:schemeClr w14:val="tx1"/>
            </w14:solidFill>
          </w14:textFill>
        </w:rPr>
      </w:pPr>
    </w:p>
    <w:p>
      <w:pPr>
        <w:wordWrap w:val="0"/>
        <w:jc w:val="center"/>
        <w:rPr>
          <w:rFonts w:ascii="宋体" w:hAnsi="宋体"/>
          <w:color w:val="000000" w:themeColor="text1"/>
          <w:sz w:val="28"/>
          <w:szCs w:val="28"/>
          <w14:textFill>
            <w14:solidFill>
              <w14:schemeClr w14:val="tx1"/>
            </w14:solidFill>
          </w14:textFill>
        </w:rPr>
      </w:pPr>
    </w:p>
    <w:p>
      <w:pPr>
        <w:wordWrap w:val="0"/>
        <w:jc w:val="center"/>
        <w:rPr>
          <w:rFonts w:ascii="宋体" w:hAnsi="宋体"/>
          <w:color w:val="000000" w:themeColor="text1"/>
          <w:sz w:val="28"/>
          <w:szCs w:val="28"/>
          <w14:textFill>
            <w14:solidFill>
              <w14:schemeClr w14:val="tx1"/>
            </w14:solidFill>
          </w14:textFill>
        </w:rPr>
      </w:pPr>
    </w:p>
    <w:p>
      <w:pPr>
        <w:wordWrap w:val="0"/>
        <w:spacing w:line="320" w:lineRule="exact"/>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住房和城乡建设部</w:t>
      </w:r>
    </w:p>
    <w:p>
      <w:pPr>
        <w:wordWrap w:val="0"/>
        <w:spacing w:line="320" w:lineRule="exact"/>
        <w:ind w:left="4200" w:firstLine="420"/>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制定</w:t>
      </w:r>
    </w:p>
    <w:p>
      <w:pPr>
        <w:wordWrap w:val="0"/>
        <w:spacing w:line="320" w:lineRule="exact"/>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国家工商行政管理总局</w:t>
      </w:r>
    </w:p>
    <w:p>
      <w:pPr>
        <w:wordWrap w:val="0"/>
        <w:spacing w:before="312" w:beforeLines="100" w:after="624" w:afterLines="200"/>
        <w:jc w:val="center"/>
        <w:rPr>
          <w:rFonts w:ascii="黑体" w:eastAsia="黑体"/>
          <w:b/>
          <w:color w:val="000000" w:themeColor="text1"/>
          <w:sz w:val="44"/>
          <w:szCs w:val="44"/>
          <w14:textFill>
            <w14:solidFill>
              <w14:schemeClr w14:val="tx1"/>
            </w14:solidFill>
          </w14:textFill>
        </w:rPr>
        <w:sectPr>
          <w:headerReference r:id="rId7" w:type="default"/>
          <w:footerReference r:id="rId9" w:type="default"/>
          <w:headerReference r:id="rId8" w:type="even"/>
          <w:footerReference r:id="rId10" w:type="even"/>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ordWrap w:val="0"/>
        <w:spacing w:before="312" w:beforeLines="100" w:after="624" w:afterLines="200"/>
        <w:jc w:val="center"/>
        <w:rPr>
          <w:rFonts w:ascii="黑体" w:eastAsia="黑体"/>
          <w:b/>
          <w:color w:val="000000" w:themeColor="text1"/>
          <w:sz w:val="44"/>
          <w:szCs w:val="44"/>
          <w14:textFill>
            <w14:solidFill>
              <w14:schemeClr w14:val="tx1"/>
            </w14:solidFill>
          </w14:textFill>
        </w:rPr>
      </w:pPr>
      <w:r>
        <w:rPr>
          <w:rFonts w:hint="eastAsia" w:ascii="黑体" w:eastAsia="黑体"/>
          <w:b/>
          <w:color w:val="000000" w:themeColor="text1"/>
          <w:sz w:val="44"/>
          <w:szCs w:val="44"/>
          <w14:textFill>
            <w14:solidFill>
              <w14:schemeClr w14:val="tx1"/>
            </w14:solidFill>
          </w14:textFill>
        </w:rPr>
        <w:t>说  明</w:t>
      </w:r>
    </w:p>
    <w:p>
      <w:pPr>
        <w:wordWrap w:val="0"/>
        <w:spacing w:before="100" w:beforeAutospacing="1" w:after="100" w:afterAutospacing="1" w:line="30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为指导建设项目工程总承包合同当事人的签约行为，维护合同当事人的合法权益，依据《中华人民共和国合同法》、《中华人民共和国建筑法》、《中华人民共和国招标投标法》以及相关法律、法规，住房和城乡建设部、国家工商行政管理总局制定了《建设项目工程总承包含同示范文本</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试行） 》 （以下简称《示范文本》）。为了便于合同当事人使用《示范文本》，现就有关问题说明如下：</w:t>
      </w:r>
    </w:p>
    <w:p>
      <w:pPr>
        <w:wordWrap w:val="0"/>
        <w:spacing w:before="100" w:beforeAutospacing="1" w:after="100" w:afterAutospacing="1" w:line="300" w:lineRule="auto"/>
        <w:ind w:firstLine="482" w:firstLineChars="200"/>
        <w:rPr>
          <w:rFonts w:ascii="黑体" w:hAnsi="宋体" w:eastAsia="黑体"/>
          <w:b/>
          <w:color w:val="000000" w:themeColor="text1"/>
          <w:sz w:val="24"/>
          <w14:textFill>
            <w14:solidFill>
              <w14:schemeClr w14:val="tx1"/>
            </w14:solidFill>
          </w14:textFill>
        </w:rPr>
      </w:pPr>
      <w:r>
        <w:rPr>
          <w:rFonts w:hint="eastAsia" w:ascii="黑体" w:hAnsi="宋体" w:eastAsia="黑体"/>
          <w:b/>
          <w:color w:val="000000" w:themeColor="text1"/>
          <w:sz w:val="24"/>
          <w14:textFill>
            <w14:solidFill>
              <w14:schemeClr w14:val="tx1"/>
            </w14:solidFill>
          </w14:textFill>
        </w:rPr>
        <w:t>一、《示范文本》的组成</w:t>
      </w:r>
    </w:p>
    <w:p>
      <w:pPr>
        <w:wordWrap w:val="0"/>
        <w:spacing w:before="100" w:beforeAutospacing="1" w:after="100" w:afterAutospacing="1" w:line="30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《示范文本》由合同协议书、通用条款和专用条款三部分组成。</w:t>
      </w:r>
    </w:p>
    <w:p>
      <w:pPr>
        <w:wordWrap w:val="0"/>
        <w:spacing w:before="100" w:beforeAutospacing="1" w:after="100" w:afterAutospacing="1" w:line="30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一</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合同协议书</w:t>
      </w:r>
    </w:p>
    <w:p>
      <w:pPr>
        <w:wordWrap w:val="0"/>
        <w:spacing w:before="100" w:beforeAutospacing="1" w:after="100" w:afterAutospacing="1" w:line="30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根据《合同法》的规定，合同协议书是双方当事人对合同基本权利、义务的集中表述，主要包括：建设项目的功能、规模、标准和工期的要求、合同价格及支付方式等内容。合同协议书的其它内容，一般包括合同当事人要求提供的主要技术条件的附件及合同协议书生效的条件等。</w:t>
      </w:r>
    </w:p>
    <w:p>
      <w:pPr>
        <w:wordWrap w:val="0"/>
        <w:spacing w:before="100" w:beforeAutospacing="1" w:after="100" w:afterAutospacing="1" w:line="30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二</w:t>
      </w:r>
      <w:r>
        <w:rPr>
          <w:rFonts w:ascii="宋体" w:hAnsi="宋体"/>
          <w:color w:val="000000" w:themeColor="text1"/>
          <w:sz w:val="24"/>
          <w14:textFill>
            <w14:solidFill>
              <w14:schemeClr w14:val="tx1"/>
            </w14:solidFill>
          </w14:textFill>
        </w:rPr>
        <w:t>）通</w:t>
      </w:r>
      <w:r>
        <w:rPr>
          <w:rFonts w:hint="eastAsia" w:ascii="宋体" w:hAnsi="宋体"/>
          <w:color w:val="000000" w:themeColor="text1"/>
          <w:sz w:val="24"/>
          <w14:textFill>
            <w14:solidFill>
              <w14:schemeClr w14:val="tx1"/>
            </w14:solidFill>
          </w14:textFill>
        </w:rPr>
        <w:t>用条款</w:t>
      </w:r>
    </w:p>
    <w:p>
      <w:pPr>
        <w:wordWrap w:val="0"/>
        <w:spacing w:before="100" w:beforeAutospacing="1" w:after="100" w:afterAutospacing="1" w:line="30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通用条款是合同双方当事人根据《建筑法》、《合同法》以及有关行政法规的规定，就工程建设的实施阶段及其相关事项，双方的权利、义务作出的原则性约定。通用条款共</w:t>
      </w:r>
      <w:r>
        <w:rPr>
          <w:rFonts w:ascii="宋体" w:hAnsi="宋体"/>
          <w:color w:val="000000" w:themeColor="text1"/>
          <w:sz w:val="24"/>
          <w14:textFill>
            <w14:solidFill>
              <w14:schemeClr w14:val="tx1"/>
            </w14:solidFill>
          </w14:textFill>
        </w:rPr>
        <w:t>20</w:t>
      </w:r>
      <w:r>
        <w:rPr>
          <w:rFonts w:hint="eastAsia" w:ascii="宋体" w:hAnsi="宋体"/>
          <w:color w:val="000000" w:themeColor="text1"/>
          <w:sz w:val="24"/>
          <w14:textFill>
            <w14:solidFill>
              <w14:schemeClr w14:val="tx1"/>
            </w14:solidFill>
          </w14:textFill>
        </w:rPr>
        <w:t>条，其中包括：</w:t>
      </w:r>
    </w:p>
    <w:p>
      <w:pPr>
        <w:wordWrap w:val="0"/>
        <w:spacing w:before="100" w:beforeAutospacing="1" w:after="100" w:afterAutospacing="1" w:line="30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1、核心条款。这部分条款是确保建设项目功能、规模、标准和工期等要求得以实现的实施阶段的条款，共</w:t>
      </w:r>
      <w:r>
        <w:rPr>
          <w:rFonts w:ascii="宋体" w:hAnsi="宋体"/>
          <w:color w:val="000000" w:themeColor="text1"/>
          <w:sz w:val="24"/>
          <w14:textFill>
            <w14:solidFill>
              <w14:schemeClr w14:val="tx1"/>
            </w14:solidFill>
          </w14:textFill>
        </w:rPr>
        <w:t>8</w:t>
      </w:r>
      <w:r>
        <w:rPr>
          <w:rFonts w:hint="eastAsia" w:ascii="宋体" w:hAnsi="宋体"/>
          <w:color w:val="000000" w:themeColor="text1"/>
          <w:sz w:val="24"/>
          <w14:textFill>
            <w14:solidFill>
              <w14:schemeClr w14:val="tx1"/>
            </w14:solidFill>
          </w14:textFill>
        </w:rPr>
        <w:t>条第</w:t>
      </w:r>
      <w:r>
        <w:rPr>
          <w:rFonts w:ascii="宋体" w:hAnsi="宋体"/>
          <w:color w:val="000000" w:themeColor="text1"/>
          <w:sz w:val="24"/>
          <w14:textFill>
            <w14:solidFill>
              <w14:schemeClr w14:val="tx1"/>
            </w14:solidFill>
          </w14:textFill>
        </w:rPr>
        <w:t>l</w:t>
      </w:r>
      <w:r>
        <w:rPr>
          <w:rFonts w:hint="eastAsia" w:ascii="宋体" w:hAnsi="宋体"/>
          <w:color w:val="000000" w:themeColor="text1"/>
          <w:sz w:val="24"/>
          <w14:textFill>
            <w14:solidFill>
              <w14:schemeClr w14:val="tx1"/>
            </w14:solidFill>
          </w14:textFill>
        </w:rPr>
        <w:t>条</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一般规定）、第</w:t>
      </w: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条</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进度计划、延误和暂停）、第</w:t>
      </w: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条</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技术与设计</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、第</w:t>
      </w:r>
      <w:r>
        <w:rPr>
          <w:rFonts w:ascii="宋体" w:hAnsi="宋体"/>
          <w:color w:val="000000" w:themeColor="text1"/>
          <w:sz w:val="24"/>
          <w14:textFill>
            <w14:solidFill>
              <w14:schemeClr w14:val="tx1"/>
            </w14:solidFill>
          </w14:textFill>
        </w:rPr>
        <w:t>6</w:t>
      </w:r>
      <w:r>
        <w:rPr>
          <w:rFonts w:hint="eastAsia" w:ascii="宋体" w:hAnsi="宋体"/>
          <w:color w:val="000000" w:themeColor="text1"/>
          <w:sz w:val="24"/>
          <w14:textFill>
            <w14:solidFill>
              <w14:schemeClr w14:val="tx1"/>
            </w14:solidFill>
          </w14:textFill>
        </w:rPr>
        <w:t>条</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工程物资）、第</w:t>
      </w:r>
      <w:r>
        <w:rPr>
          <w:rFonts w:ascii="宋体" w:hAnsi="宋体"/>
          <w:color w:val="000000" w:themeColor="text1"/>
          <w:sz w:val="24"/>
          <w14:textFill>
            <w14:solidFill>
              <w14:schemeClr w14:val="tx1"/>
            </w14:solidFill>
          </w14:textFill>
        </w:rPr>
        <w:t>7</w:t>
      </w:r>
      <w:r>
        <w:rPr>
          <w:rFonts w:hint="eastAsia" w:ascii="宋体" w:hAnsi="宋体"/>
          <w:color w:val="000000" w:themeColor="text1"/>
          <w:sz w:val="24"/>
          <w14:textFill>
            <w14:solidFill>
              <w14:schemeClr w14:val="tx1"/>
            </w14:solidFill>
          </w14:textFill>
        </w:rPr>
        <w:t>条</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施工</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、第</w:t>
      </w:r>
      <w:r>
        <w:rPr>
          <w:rFonts w:ascii="宋体" w:hAnsi="宋体"/>
          <w:color w:val="000000" w:themeColor="text1"/>
          <w:sz w:val="24"/>
          <w14:textFill>
            <w14:solidFill>
              <w14:schemeClr w14:val="tx1"/>
            </w14:solidFill>
          </w14:textFill>
        </w:rPr>
        <w:t>8</w:t>
      </w:r>
      <w:r>
        <w:rPr>
          <w:rFonts w:hint="eastAsia" w:ascii="宋体" w:hAnsi="宋体"/>
          <w:color w:val="000000" w:themeColor="text1"/>
          <w:sz w:val="24"/>
          <w14:textFill>
            <w14:solidFill>
              <w14:schemeClr w14:val="tx1"/>
            </w14:solidFill>
          </w14:textFill>
        </w:rPr>
        <w:t>条</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竣工试验</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、第</w:t>
      </w:r>
      <w:r>
        <w:rPr>
          <w:rFonts w:ascii="宋体" w:hAnsi="宋体"/>
          <w:color w:val="000000" w:themeColor="text1"/>
          <w:sz w:val="24"/>
          <w14:textFill>
            <w14:solidFill>
              <w14:schemeClr w14:val="tx1"/>
            </w14:solidFill>
          </w14:textFill>
        </w:rPr>
        <w:t>9</w:t>
      </w:r>
      <w:r>
        <w:rPr>
          <w:rFonts w:hint="eastAsia" w:ascii="宋体" w:hAnsi="宋体"/>
          <w:color w:val="000000" w:themeColor="text1"/>
          <w:sz w:val="24"/>
          <w14:textFill>
            <w14:solidFill>
              <w14:schemeClr w14:val="tx1"/>
            </w14:solidFill>
          </w14:textFill>
        </w:rPr>
        <w:t>条</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工程接收</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和第</w:t>
      </w:r>
      <w:r>
        <w:rPr>
          <w:rFonts w:ascii="宋体" w:hAnsi="宋体"/>
          <w:color w:val="000000" w:themeColor="text1"/>
          <w:sz w:val="24"/>
          <w14:textFill>
            <w14:solidFill>
              <w14:schemeClr w14:val="tx1"/>
            </w14:solidFill>
          </w14:textFill>
        </w:rPr>
        <w:t>10</w:t>
      </w:r>
      <w:r>
        <w:rPr>
          <w:rFonts w:hint="eastAsia" w:ascii="宋体" w:hAnsi="宋体"/>
          <w:color w:val="000000" w:themeColor="text1"/>
          <w:sz w:val="24"/>
          <w14:textFill>
            <w14:solidFill>
              <w14:schemeClr w14:val="tx1"/>
            </w14:solidFill>
          </w14:textFill>
        </w:rPr>
        <w:t>条</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竣工后试验</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w:t>
      </w:r>
    </w:p>
    <w:p>
      <w:pPr>
        <w:wordWrap w:val="0"/>
        <w:spacing w:before="100" w:beforeAutospacing="1" w:after="100" w:afterAutospacing="1" w:line="30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、保障条款。这部分条款是保障核心条款顺利实施的条款，共</w:t>
      </w: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条：第</w:t>
      </w:r>
      <w:r>
        <w:rPr>
          <w:rFonts w:ascii="宋体" w:hAnsi="宋体"/>
          <w:color w:val="000000" w:themeColor="text1"/>
          <w:sz w:val="24"/>
          <w14:textFill>
            <w14:solidFill>
              <w14:schemeClr w14:val="tx1"/>
            </w14:solidFill>
          </w14:textFill>
        </w:rPr>
        <w:t>11</w:t>
      </w:r>
      <w:r>
        <w:rPr>
          <w:rFonts w:hint="eastAsia" w:ascii="宋体" w:hAnsi="宋体"/>
          <w:color w:val="000000" w:themeColor="text1"/>
          <w:sz w:val="24"/>
          <w14:textFill>
            <w14:solidFill>
              <w14:schemeClr w14:val="tx1"/>
            </w14:solidFill>
          </w14:textFill>
        </w:rPr>
        <w:t>条</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质量保修责任</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、第</w:t>
      </w:r>
      <w:r>
        <w:rPr>
          <w:rFonts w:ascii="宋体" w:hAnsi="宋体"/>
          <w:color w:val="000000" w:themeColor="text1"/>
          <w:sz w:val="24"/>
          <w14:textFill>
            <w14:solidFill>
              <w14:schemeClr w14:val="tx1"/>
            </w14:solidFill>
          </w14:textFill>
        </w:rPr>
        <w:t>13</w:t>
      </w:r>
      <w:r>
        <w:rPr>
          <w:rFonts w:hint="eastAsia" w:ascii="宋体" w:hAnsi="宋体"/>
          <w:color w:val="000000" w:themeColor="text1"/>
          <w:sz w:val="24"/>
          <w14:textFill>
            <w14:solidFill>
              <w14:schemeClr w14:val="tx1"/>
            </w14:solidFill>
          </w14:textFill>
        </w:rPr>
        <w:t>条</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变更和合同价格调整</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、第</w:t>
      </w:r>
      <w:r>
        <w:rPr>
          <w:rFonts w:ascii="宋体" w:hAnsi="宋体"/>
          <w:color w:val="000000" w:themeColor="text1"/>
          <w:sz w:val="24"/>
          <w14:textFill>
            <w14:solidFill>
              <w14:schemeClr w14:val="tx1"/>
            </w14:solidFill>
          </w14:textFill>
        </w:rPr>
        <w:t>14</w:t>
      </w:r>
      <w:r>
        <w:rPr>
          <w:rFonts w:hint="eastAsia" w:ascii="宋体" w:hAnsi="宋体"/>
          <w:color w:val="000000" w:themeColor="text1"/>
          <w:sz w:val="24"/>
          <w14:textFill>
            <w14:solidFill>
              <w14:schemeClr w14:val="tx1"/>
            </w14:solidFill>
          </w14:textFill>
        </w:rPr>
        <w:t>条</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合同总价和付款</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、第</w:t>
      </w:r>
      <w:r>
        <w:rPr>
          <w:rFonts w:ascii="宋体" w:hAnsi="宋体"/>
          <w:color w:val="000000" w:themeColor="text1"/>
          <w:sz w:val="24"/>
          <w14:textFill>
            <w14:solidFill>
              <w14:schemeClr w14:val="tx1"/>
            </w14:solidFill>
          </w14:textFill>
        </w:rPr>
        <w:t>15</w:t>
      </w:r>
      <w:r>
        <w:rPr>
          <w:rFonts w:hint="eastAsia" w:ascii="宋体" w:hAnsi="宋体"/>
          <w:color w:val="000000" w:themeColor="text1"/>
          <w:sz w:val="24"/>
          <w14:textFill>
            <w14:solidFill>
              <w14:schemeClr w14:val="tx1"/>
            </w14:solidFill>
          </w14:textFill>
        </w:rPr>
        <w:t>条</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保险</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。其中，在第</w:t>
      </w:r>
      <w:r>
        <w:rPr>
          <w:rFonts w:ascii="宋体" w:hAnsi="宋体"/>
          <w:color w:val="000000" w:themeColor="text1"/>
          <w:sz w:val="24"/>
          <w14:textFill>
            <w14:solidFill>
              <w14:schemeClr w14:val="tx1"/>
            </w14:solidFill>
          </w14:textFill>
        </w:rPr>
        <w:t>13</w:t>
      </w:r>
      <w:r>
        <w:rPr>
          <w:rFonts w:hint="eastAsia" w:ascii="宋体" w:hAnsi="宋体"/>
          <w:color w:val="000000" w:themeColor="text1"/>
          <w:sz w:val="24"/>
          <w14:textFill>
            <w14:solidFill>
              <w14:schemeClr w14:val="tx1"/>
            </w14:solidFill>
          </w14:textFill>
        </w:rPr>
        <w:t>条中，相关约定在合同谈判阶段仅指合同条件的约定，中标价格并未包括；在第</w:t>
      </w:r>
      <w:r>
        <w:rPr>
          <w:rFonts w:ascii="宋体" w:hAnsi="宋体"/>
          <w:color w:val="000000" w:themeColor="text1"/>
          <w:sz w:val="24"/>
          <w14:textFill>
            <w14:solidFill>
              <w14:schemeClr w14:val="tx1"/>
            </w14:solidFill>
          </w14:textFill>
        </w:rPr>
        <w:t>14</w:t>
      </w:r>
      <w:r>
        <w:rPr>
          <w:rFonts w:hint="eastAsia" w:ascii="宋体" w:hAnsi="宋体"/>
          <w:color w:val="000000" w:themeColor="text1"/>
          <w:sz w:val="24"/>
          <w14:textFill>
            <w14:solidFill>
              <w14:schemeClr w14:val="tx1"/>
            </w14:solidFill>
          </w14:textFill>
        </w:rPr>
        <w:t>条中，合同总价中包括中标价格，还包括执行合同过程中被发包人确认的的变更、调整和索赔的款顷。</w:t>
      </w:r>
    </w:p>
    <w:p>
      <w:pPr>
        <w:wordWrap w:val="0"/>
        <w:spacing w:before="100" w:beforeAutospacing="1" w:after="100" w:afterAutospacing="1" w:line="30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、合同执行阶段的干系人条款。这部分条款是根据建设项目实施阶段的具体情况，依法约定了发包人、承包人的权利和义务，共</w:t>
      </w: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条第</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条</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发包人</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、第</w:t>
      </w: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条</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承包人</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和第</w:t>
      </w:r>
      <w:r>
        <w:rPr>
          <w:rFonts w:ascii="宋体" w:hAnsi="宋体"/>
          <w:color w:val="000000" w:themeColor="text1"/>
          <w:sz w:val="24"/>
          <w14:textFill>
            <w14:solidFill>
              <w14:schemeClr w14:val="tx1"/>
            </w14:solidFill>
          </w14:textFill>
        </w:rPr>
        <w:t>12</w:t>
      </w:r>
      <w:r>
        <w:rPr>
          <w:rFonts w:hint="eastAsia" w:ascii="宋体" w:hAnsi="宋体"/>
          <w:color w:val="000000" w:themeColor="text1"/>
          <w:sz w:val="24"/>
          <w14:textFill>
            <w14:solidFill>
              <w14:schemeClr w14:val="tx1"/>
            </w14:solidFill>
          </w14:textFill>
        </w:rPr>
        <w:t>条</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工程竣工验收</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合同双方当事人在实施阶段己对工程设备材料、施工、竣工试验、竣工资料等进行了检查、检验、检测、试验及确认，并经接收后进行竣工后试验考核确认了设计质量；而工程竣工验收是发包人针对其上级主管部门或投资部门的验收，故将工程竣工验收列入干系人条款。</w:t>
      </w:r>
    </w:p>
    <w:p>
      <w:pPr>
        <w:wordWrap w:val="0"/>
        <w:spacing w:before="100" w:beforeAutospacing="1" w:after="100" w:afterAutospacing="1" w:line="30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违约、索赔和争议条款。这部分条款是约定若合同当事人发生违约行为，或合同履行过程中山现工程物资、施工、竣工试验等质盐问题及出现工期延误、索赔等争议，如何通过友好协商、调解、仲裁或诉讼程序解决争议的条款。即第</w:t>
      </w:r>
      <w:r>
        <w:rPr>
          <w:rFonts w:ascii="宋体" w:hAnsi="宋体"/>
          <w:color w:val="000000" w:themeColor="text1"/>
          <w:sz w:val="24"/>
          <w14:textFill>
            <w14:solidFill>
              <w14:schemeClr w14:val="tx1"/>
            </w14:solidFill>
          </w14:textFill>
        </w:rPr>
        <w:t>16</w:t>
      </w:r>
      <w:r>
        <w:rPr>
          <w:rFonts w:hint="eastAsia" w:ascii="宋体" w:hAnsi="宋体"/>
          <w:color w:val="000000" w:themeColor="text1"/>
          <w:sz w:val="24"/>
          <w14:textFill>
            <w14:solidFill>
              <w14:schemeClr w14:val="tx1"/>
            </w14:solidFill>
          </w14:textFill>
        </w:rPr>
        <w:t>条</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违约、索赔和争议</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w:t>
      </w:r>
    </w:p>
    <w:p>
      <w:pPr>
        <w:wordWrap w:val="0"/>
        <w:spacing w:before="100" w:beforeAutospacing="1" w:after="100" w:afterAutospacing="1" w:line="30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、不可抗力条款。第</w:t>
      </w:r>
      <w:r>
        <w:rPr>
          <w:rFonts w:ascii="宋体" w:hAnsi="宋体"/>
          <w:color w:val="000000" w:themeColor="text1"/>
          <w:sz w:val="24"/>
          <w14:textFill>
            <w14:solidFill>
              <w14:schemeClr w14:val="tx1"/>
            </w14:solidFill>
          </w14:textFill>
        </w:rPr>
        <w:t>17</w:t>
      </w:r>
      <w:r>
        <w:rPr>
          <w:rFonts w:hint="eastAsia" w:ascii="宋体" w:hAnsi="宋体"/>
          <w:color w:val="000000" w:themeColor="text1"/>
          <w:sz w:val="24"/>
          <w14:textFill>
            <w14:solidFill>
              <w14:schemeClr w14:val="tx1"/>
            </w14:solidFill>
          </w14:textFill>
        </w:rPr>
        <w:t>条</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不可抗力</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约定了不可抗力发生时的双方当事人的义务和不可抗力的后果。</w:t>
      </w:r>
    </w:p>
    <w:p>
      <w:pPr>
        <w:wordWrap w:val="0"/>
        <w:spacing w:before="100" w:beforeAutospacing="1" w:after="100" w:afterAutospacing="1" w:line="30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6</w:t>
      </w:r>
      <w:r>
        <w:rPr>
          <w:rFonts w:hint="eastAsia" w:ascii="宋体" w:hAnsi="宋体"/>
          <w:color w:val="000000" w:themeColor="text1"/>
          <w:sz w:val="24"/>
          <w14:textFill>
            <w14:solidFill>
              <w14:schemeClr w14:val="tx1"/>
            </w14:solidFill>
          </w14:textFill>
        </w:rPr>
        <w:t>、合同解除条款。第</w:t>
      </w:r>
      <w:r>
        <w:rPr>
          <w:rFonts w:ascii="宋体" w:hAnsi="宋体"/>
          <w:color w:val="000000" w:themeColor="text1"/>
          <w:sz w:val="24"/>
          <w14:textFill>
            <w14:solidFill>
              <w14:schemeClr w14:val="tx1"/>
            </w14:solidFill>
          </w14:textFill>
        </w:rPr>
        <w:t>18</w:t>
      </w:r>
      <w:r>
        <w:rPr>
          <w:rFonts w:hint="eastAsia" w:ascii="宋体" w:hAnsi="宋体"/>
          <w:color w:val="000000" w:themeColor="text1"/>
          <w:sz w:val="24"/>
          <w14:textFill>
            <w14:solidFill>
              <w14:schemeClr w14:val="tx1"/>
            </w14:solidFill>
          </w14:textFill>
        </w:rPr>
        <w:t>条</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合同解除</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分别对由发包人解除合同、由承包人解除合同的情形作出了约定。</w:t>
      </w:r>
    </w:p>
    <w:p>
      <w:pPr>
        <w:wordWrap w:val="0"/>
        <w:spacing w:before="100" w:beforeAutospacing="1" w:after="100" w:afterAutospacing="1" w:line="30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7</w:t>
      </w:r>
      <w:r>
        <w:rPr>
          <w:rFonts w:hint="eastAsia" w:ascii="宋体" w:hAnsi="宋体"/>
          <w:color w:val="000000" w:themeColor="text1"/>
          <w:sz w:val="24"/>
          <w14:textFill>
            <w14:solidFill>
              <w14:schemeClr w14:val="tx1"/>
            </w14:solidFill>
          </w14:textFill>
        </w:rPr>
        <w:t>、合同生效与合同终止条款。第</w:t>
      </w:r>
      <w:r>
        <w:rPr>
          <w:rFonts w:ascii="宋体" w:hAnsi="宋体"/>
          <w:color w:val="000000" w:themeColor="text1"/>
          <w:sz w:val="24"/>
          <w14:textFill>
            <w14:solidFill>
              <w14:schemeClr w14:val="tx1"/>
            </w14:solidFill>
          </w14:textFill>
        </w:rPr>
        <w:t>19</w:t>
      </w:r>
      <w:r>
        <w:rPr>
          <w:rFonts w:hint="eastAsia" w:ascii="宋体" w:hAnsi="宋体"/>
          <w:color w:val="000000" w:themeColor="text1"/>
          <w:sz w:val="24"/>
          <w14:textFill>
            <w14:solidFill>
              <w14:schemeClr w14:val="tx1"/>
            </w14:solidFill>
          </w14:textFill>
        </w:rPr>
        <w:t>条</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合同生效与合同终止</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对合同生效的日期、合同的份数以及合同义务完成后合同终止等内容作出了约定。</w:t>
      </w:r>
    </w:p>
    <w:p>
      <w:pPr>
        <w:wordWrap w:val="0"/>
        <w:spacing w:before="100" w:beforeAutospacing="1" w:after="100" w:afterAutospacing="1" w:line="30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8、补充条款。合同双方当事人销对通用条款细化、完普、补充、修改或另行约定的，可将具体约定写在专用条款内，即第</w:t>
      </w:r>
      <w:r>
        <w:rPr>
          <w:rFonts w:ascii="宋体" w:hAnsi="宋体"/>
          <w:color w:val="000000" w:themeColor="text1"/>
          <w:sz w:val="24"/>
          <w14:textFill>
            <w14:solidFill>
              <w14:schemeClr w14:val="tx1"/>
            </w14:solidFill>
          </w14:textFill>
        </w:rPr>
        <w:t>20</w:t>
      </w:r>
      <w:r>
        <w:rPr>
          <w:rFonts w:hint="eastAsia" w:ascii="宋体" w:hAnsi="宋体"/>
          <w:color w:val="000000" w:themeColor="text1"/>
          <w:sz w:val="24"/>
          <w14:textFill>
            <w14:solidFill>
              <w14:schemeClr w14:val="tx1"/>
            </w14:solidFill>
          </w14:textFill>
        </w:rPr>
        <w:t>条</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补充条款</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w:t>
      </w:r>
    </w:p>
    <w:p>
      <w:pPr>
        <w:wordWrap w:val="0"/>
        <w:spacing w:before="100" w:beforeAutospacing="1" w:after="100" w:afterAutospacing="1" w:line="30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三</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专用条款</w:t>
      </w:r>
    </w:p>
    <w:p>
      <w:pPr>
        <w:wordWrap w:val="0"/>
        <w:spacing w:before="100" w:beforeAutospacing="1" w:after="100" w:afterAutospacing="1" w:line="30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专用条款是合同双方当事人根据不同建设项目合同执行过程中可能出现的具体情况，通过谈判、协商对相应通用条款的原则性约定细化、完善、补充、修改或另行约定的条款。在编写专用条款时，应注意以下事项：</w:t>
      </w:r>
    </w:p>
    <w:p>
      <w:pPr>
        <w:wordWrap w:val="0"/>
        <w:spacing w:before="100" w:beforeAutospacing="1" w:after="100" w:afterAutospacing="1" w:line="30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l</w:t>
      </w:r>
      <w:r>
        <w:rPr>
          <w:rFonts w:hint="eastAsia" w:ascii="宋体" w:hAnsi="宋体"/>
          <w:color w:val="000000" w:themeColor="text1"/>
          <w:sz w:val="24"/>
          <w14:textFill>
            <w14:solidFill>
              <w14:schemeClr w14:val="tx1"/>
            </w14:solidFill>
          </w14:textFill>
        </w:rPr>
        <w:t>、专用条款的编号应与相应的通用条款的编号相一致。</w:t>
      </w:r>
    </w:p>
    <w:p>
      <w:pPr>
        <w:wordWrap w:val="0"/>
        <w:spacing w:before="100" w:beforeAutospacing="1" w:after="100" w:afterAutospacing="1" w:line="30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、在《示范文本》专用条款中有横道线的地方，合同双方当事人可针对相应的通用条款进行细化、完善、补充、修改或另行约定，如果不需进行细化、完善、补充、修改或另行约定，可划“/”或写“无”。</w:t>
      </w:r>
    </w:p>
    <w:p>
      <w:pPr>
        <w:wordWrap w:val="0"/>
        <w:spacing w:before="100" w:beforeAutospacing="1" w:after="100" w:afterAutospacing="1" w:line="30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对于在《示范文本》专用条款中未列出的通用条款，合同双方当事人根据建设项目的具体情况认为简要进行细化、完善、补充、修改或另行约定的，可增加相关专用条款，新增专用条款的编号须与相应的通用条款的编号相一致。</w:t>
      </w:r>
    </w:p>
    <w:p>
      <w:pPr>
        <w:wordWrap w:val="0"/>
        <w:spacing w:before="100" w:beforeAutospacing="1" w:after="100" w:afterAutospacing="1" w:line="300" w:lineRule="auto"/>
        <w:ind w:firstLine="482" w:firstLineChars="200"/>
        <w:rPr>
          <w:rFonts w:ascii="黑体" w:hAnsi="宋体" w:eastAsia="黑体"/>
          <w:b/>
          <w:color w:val="000000" w:themeColor="text1"/>
          <w:sz w:val="24"/>
          <w14:textFill>
            <w14:solidFill>
              <w14:schemeClr w14:val="tx1"/>
            </w14:solidFill>
          </w14:textFill>
        </w:rPr>
      </w:pPr>
      <w:r>
        <w:rPr>
          <w:rFonts w:hint="eastAsia" w:ascii="黑体" w:hAnsi="宋体" w:eastAsia="黑体"/>
          <w:b/>
          <w:color w:val="000000" w:themeColor="text1"/>
          <w:sz w:val="24"/>
          <w14:textFill>
            <w14:solidFill>
              <w14:schemeClr w14:val="tx1"/>
            </w14:solidFill>
          </w14:textFill>
        </w:rPr>
        <w:t>二、《示范文本》的适用范围</w:t>
      </w:r>
    </w:p>
    <w:p>
      <w:pPr>
        <w:wordWrap w:val="0"/>
        <w:spacing w:before="100" w:beforeAutospacing="1" w:after="100" w:afterAutospacing="1" w:line="30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《示范文本》适用于建设项目工程总承包承发包方式。“工程总承包”是指承包人受发包人委托，按照合同约定对工程建设项目的设计、采购、施工</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含竣工试验</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试运行等实施阶段，实行全过程或若干阶段的工程承包。为此，在《示范文本》的条款设置中，将“技术与设讨、工程物资、施工、竣工试验、工程接收、竣工后试验”等工程建设实施阶段相关工作内容皆分别作为一条独立条款，发包人可根据发包建设项目实施阶段的具体内容和要求，确定对相关建设实施阶段和工作内容的取舍。</w:t>
      </w:r>
    </w:p>
    <w:p>
      <w:pPr>
        <w:wordWrap w:val="0"/>
        <w:spacing w:before="100" w:beforeAutospacing="1" w:after="100" w:afterAutospacing="1" w:line="300" w:lineRule="auto"/>
        <w:ind w:firstLine="482" w:firstLineChars="200"/>
        <w:rPr>
          <w:rFonts w:ascii="黑体" w:hAnsi="宋体" w:eastAsia="黑体"/>
          <w:b/>
          <w:color w:val="000000" w:themeColor="text1"/>
          <w:sz w:val="24"/>
          <w14:textFill>
            <w14:solidFill>
              <w14:schemeClr w14:val="tx1"/>
            </w14:solidFill>
          </w14:textFill>
        </w:rPr>
      </w:pPr>
      <w:r>
        <w:rPr>
          <w:rFonts w:hint="eastAsia" w:ascii="黑体" w:hAnsi="宋体" w:eastAsia="黑体"/>
          <w:b/>
          <w:color w:val="000000" w:themeColor="text1"/>
          <w:sz w:val="24"/>
          <w14:textFill>
            <w14:solidFill>
              <w14:schemeClr w14:val="tx1"/>
            </w14:solidFill>
          </w14:textFill>
        </w:rPr>
        <w:t>三、《示范文本》的性质</w:t>
      </w:r>
    </w:p>
    <w:p>
      <w:pPr>
        <w:wordWrap w:val="0"/>
        <w:spacing w:before="100" w:beforeAutospacing="1" w:after="100" w:afterAutospacing="1" w:line="300" w:lineRule="auto"/>
        <w:ind w:firstLine="480" w:firstLineChars="200"/>
        <w:rPr>
          <w:b/>
          <w:color w:val="000000" w:themeColor="text1"/>
          <w:sz w:val="44"/>
          <w:szCs w:val="44"/>
          <w14:textFill>
            <w14:solidFill>
              <w14:schemeClr w14:val="tx1"/>
            </w14:solidFill>
          </w14:textFill>
        </w:rPr>
      </w:pPr>
      <w:r>
        <w:rPr>
          <w:rFonts w:hint="eastAsia" w:ascii="宋体" w:hAnsi="宋体"/>
          <w:color w:val="000000" w:themeColor="text1"/>
          <w:sz w:val="24"/>
          <w14:textFill>
            <w14:solidFill>
              <w14:schemeClr w14:val="tx1"/>
            </w14:solidFill>
          </w14:textFill>
        </w:rPr>
        <w:t>《示范文本》为非强制性使用文本。合同双方当事人可依照《示范文本》订立合同，井按法律规定和合同约定承担相应的法律责任。</w:t>
      </w:r>
    </w:p>
    <w:p>
      <w:pPr>
        <w:wordWrap w:val="0"/>
        <w:jc w:val="center"/>
        <w:rPr>
          <w:b/>
          <w:color w:val="000000" w:themeColor="text1"/>
          <w:sz w:val="44"/>
          <w:szCs w:val="44"/>
          <w14:textFill>
            <w14:solidFill>
              <w14:schemeClr w14:val="tx1"/>
            </w14:solidFill>
          </w14:textFill>
        </w:rPr>
        <w:sectPr>
          <w:footerReference r:id="rId11"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ordWrap w:val="0"/>
        <w:jc w:val="center"/>
        <w:rPr>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第一部分 合同协议书</w:t>
      </w:r>
    </w:p>
    <w:p>
      <w:pPr>
        <w:wordWrap w:val="0"/>
        <w:spacing w:line="300" w:lineRule="auto"/>
        <w:ind w:firstLine="480" w:firstLineChars="200"/>
        <w:rPr>
          <w:rFonts w:ascii="宋体" w:hAnsi="宋体"/>
          <w:color w:val="000000" w:themeColor="text1"/>
          <w:sz w:val="24"/>
          <w14:textFill>
            <w14:solidFill>
              <w14:schemeClr w14:val="tx1"/>
            </w14:solidFill>
          </w14:textFill>
        </w:rPr>
      </w:pPr>
    </w:p>
    <w:p>
      <w:pPr>
        <w:wordWrap w:val="0"/>
        <w:spacing w:line="300" w:lineRule="auto"/>
        <w:ind w:firstLine="480" w:firstLineChars="200"/>
        <w:rPr>
          <w:rFonts w:ascii="宋体" w:hAnsi="宋体"/>
          <w:color w:val="000000" w:themeColor="text1"/>
          <w:sz w:val="24"/>
          <w14:textFill>
            <w14:solidFill>
              <w14:schemeClr w14:val="tx1"/>
            </w14:solidFill>
          </w14:textFill>
        </w:rPr>
      </w:pPr>
    </w:p>
    <w:p>
      <w:pPr>
        <w:wordWrap w:val="0"/>
        <w:spacing w:line="300" w:lineRule="auto"/>
        <w:ind w:firstLine="480" w:firstLineChars="2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发包人（全称）</w:t>
      </w:r>
    </w:p>
    <w:p>
      <w:pPr>
        <w:wordWrap w:val="0"/>
        <w:spacing w:line="300" w:lineRule="auto"/>
        <w:ind w:firstLine="480" w:firstLineChars="2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承包人（全称）</w:t>
      </w:r>
    </w:p>
    <w:p>
      <w:pPr>
        <w:wordWrap w:val="0"/>
        <w:spacing w:line="30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依照《中华人民共和国合同法》、《中华人民共和国建筑法》、《中华人民共和国招标投标法》及相关法律、行政法规，遵循平等、自愿、公平和诚信原则，合同双方就</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项目工程总承包事宜经协商一致，订立本合同。</w:t>
      </w:r>
    </w:p>
    <w:p>
      <w:pPr>
        <w:wordWrap w:val="0"/>
        <w:spacing w:before="120" w:beforeLines="50" w:after="120" w:afterLines="50"/>
        <w:ind w:left="482"/>
        <w:rPr>
          <w:rFonts w:ascii="宋体" w:hAnsi="宋体"/>
          <w:b/>
          <w:color w:val="000000" w:themeColor="text1"/>
          <w:sz w:val="24"/>
          <w:u w:val="single"/>
          <w14:textFill>
            <w14:solidFill>
              <w14:schemeClr w14:val="tx1"/>
            </w14:solidFill>
          </w14:textFill>
        </w:rPr>
      </w:pPr>
      <w:r>
        <w:rPr>
          <w:rFonts w:hint="eastAsia" w:ascii="宋体" w:hAnsi="宋体"/>
          <w:b/>
          <w:color w:val="000000" w:themeColor="text1"/>
          <w:sz w:val="24"/>
          <w14:textFill>
            <w14:solidFill>
              <w14:schemeClr w14:val="tx1"/>
            </w14:solidFill>
          </w14:textFill>
        </w:rPr>
        <w:t>一、工程概况</w:t>
      </w:r>
    </w:p>
    <w:p>
      <w:pPr>
        <w:wordWrap w:val="0"/>
        <w:spacing w:line="30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工程名称： </w:t>
      </w:r>
    </w:p>
    <w:p>
      <w:pPr>
        <w:wordWrap w:val="0"/>
        <w:spacing w:line="30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工程批准、核准或备案文号：</w:t>
      </w:r>
    </w:p>
    <w:p>
      <w:pPr>
        <w:wordWrap w:val="0"/>
        <w:spacing w:line="30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工程内容及规模：设计—采购—施工</w:t>
      </w:r>
    </w:p>
    <w:p>
      <w:pPr>
        <w:wordWrap w:val="0"/>
        <w:spacing w:line="30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工程所在省市详细地址：</w:t>
      </w:r>
      <w:r>
        <w:rPr>
          <w:rFonts w:hint="eastAsia" w:ascii="宋体" w:hAnsi="宋体"/>
          <w:color w:val="000000" w:themeColor="text1"/>
          <w:sz w:val="24"/>
          <w:u w:val="single"/>
          <w14:textFill>
            <w14:solidFill>
              <w14:schemeClr w14:val="tx1"/>
            </w14:solidFill>
          </w14:textFill>
        </w:rPr>
        <w:t>江苏省盐城市大丰区</w:t>
      </w:r>
      <w:r>
        <w:rPr>
          <w:rFonts w:hint="eastAsia" w:ascii="宋体" w:hAnsi="宋体"/>
          <w:color w:val="000000" w:themeColor="text1"/>
          <w:sz w:val="24"/>
          <w14:textFill>
            <w14:solidFill>
              <w14:schemeClr w14:val="tx1"/>
            </w14:solidFill>
          </w14:textFill>
        </w:rPr>
        <w:t>刘庄镇</w:t>
      </w:r>
    </w:p>
    <w:p>
      <w:pPr>
        <w:wordWrap w:val="0"/>
        <w:spacing w:line="30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工程承包范围：招标文件规定的全部工作内容</w:t>
      </w:r>
    </w:p>
    <w:p>
      <w:pPr>
        <w:wordWrap w:val="0"/>
        <w:spacing w:before="120" w:beforeLines="50" w:after="120" w:afterLines="50"/>
        <w:ind w:left="482"/>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二、工程主要生产技术</w:t>
      </w:r>
      <w:r>
        <w:rPr>
          <w:rFonts w:ascii="宋体" w:hAnsi="宋体"/>
          <w:b/>
          <w:color w:val="000000" w:themeColor="text1"/>
          <w:sz w:val="24"/>
          <w14:textFill>
            <w14:solidFill>
              <w14:schemeClr w14:val="tx1"/>
            </w14:solidFill>
          </w14:textFill>
        </w:rPr>
        <w:t>（</w:t>
      </w:r>
      <w:r>
        <w:rPr>
          <w:rFonts w:hint="eastAsia" w:ascii="宋体" w:hAnsi="宋体"/>
          <w:b/>
          <w:color w:val="000000" w:themeColor="text1"/>
          <w:sz w:val="24"/>
          <w14:textFill>
            <w14:solidFill>
              <w14:schemeClr w14:val="tx1"/>
            </w14:solidFill>
          </w14:textFill>
        </w:rPr>
        <w:t>或建筑设计方案）来源</w:t>
      </w:r>
    </w:p>
    <w:p>
      <w:pPr>
        <w:wordWrap w:val="0"/>
        <w:ind w:firstLine="480"/>
        <w:rPr>
          <w:rFonts w:ascii="宋体" w:hAnsi="宋体"/>
          <w:color w:val="000000" w:themeColor="text1"/>
          <w:sz w:val="24"/>
          <w:u w:val="single"/>
          <w14:textFill>
            <w14:solidFill>
              <w14:schemeClr w14:val="tx1"/>
            </w14:solidFill>
          </w14:textFill>
        </w:rPr>
      </w:pPr>
      <w:r>
        <w:rPr>
          <w:rFonts w:ascii="宋体" w:hAnsi="宋体"/>
          <w:color w:val="000000" w:themeColor="text1"/>
          <w:sz w:val="24"/>
          <w:u w:val="single"/>
          <w14:textFill>
            <w14:solidFill>
              <w14:schemeClr w14:val="tx1"/>
            </w14:solidFill>
          </w14:textFill>
        </w:rPr>
        <w:t>详见招标文件</w:t>
      </w:r>
      <w:r>
        <w:rPr>
          <w:rFonts w:hint="eastAsia" w:ascii="宋体" w:hAnsi="宋体"/>
          <w:color w:val="000000" w:themeColor="text1"/>
          <w:sz w:val="24"/>
          <w:u w:val="single"/>
          <w14:textFill>
            <w14:solidFill>
              <w14:schemeClr w14:val="tx1"/>
            </w14:solidFill>
          </w14:textFill>
        </w:rPr>
        <w:t xml:space="preserve"> </w:t>
      </w:r>
    </w:p>
    <w:p>
      <w:pPr>
        <w:wordWrap w:val="0"/>
        <w:spacing w:before="120" w:beforeLines="50" w:after="120" w:afterLines="50"/>
        <w:ind w:left="482"/>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三、主要日期 </w:t>
      </w:r>
    </w:p>
    <w:p>
      <w:pPr>
        <w:wordWrap w:val="0"/>
        <w:spacing w:line="300" w:lineRule="auto"/>
        <w:ind w:left="1175" w:leftChars="228" w:hanging="696" w:hangingChars="29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总工期：</w:t>
      </w:r>
      <w:r>
        <w:rPr>
          <w:rFonts w:ascii="宋体" w:hAnsi="宋体"/>
          <w:color w:val="000000" w:themeColor="text1"/>
          <w:sz w:val="24"/>
          <w14:textFill>
            <w14:solidFill>
              <w14:schemeClr w14:val="tx1"/>
            </w14:solidFill>
          </w14:textFill>
        </w:rPr>
        <w:t xml:space="preserve"> </w:t>
      </w:r>
    </w:p>
    <w:p>
      <w:pPr>
        <w:wordWrap w:val="0"/>
        <w:spacing w:before="120" w:beforeLines="50" w:after="120" w:afterLines="50"/>
        <w:ind w:left="482"/>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四、工程质量标准</w:t>
      </w:r>
    </w:p>
    <w:p>
      <w:pPr>
        <w:wordWrap w:val="0"/>
        <w:ind w:firstLine="470" w:firstLineChars="196"/>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工程设计质量标准：</w:t>
      </w:r>
    </w:p>
    <w:p>
      <w:pPr>
        <w:wordWrap w:val="0"/>
        <w:ind w:firstLine="470" w:firstLineChars="196"/>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工程施工质量标准：</w:t>
      </w:r>
    </w:p>
    <w:p>
      <w:pPr>
        <w:wordWrap w:val="0"/>
        <w:spacing w:before="120" w:beforeLines="50" w:after="120" w:afterLines="50"/>
        <w:ind w:left="482"/>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五、合同价格和付款货币</w:t>
      </w:r>
    </w:p>
    <w:p>
      <w:pPr>
        <w:wordWrap w:val="0"/>
        <w:spacing w:line="30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合同价格为人民币（大写）：</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元（小写金额：</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元）。</w:t>
      </w:r>
    </w:p>
    <w:p>
      <w:pPr>
        <w:wordWrap w:val="0"/>
        <w:spacing w:line="300" w:lineRule="auto"/>
        <w:rPr>
          <w:rFonts w:ascii="宋体" w:hAnsi="宋体"/>
          <w:b/>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详见合同价格清单分项表</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除根据合同约定的在工程实施过程中需进行增减的款项外，合同价格不作调整。</w:t>
      </w:r>
    </w:p>
    <w:p>
      <w:pPr>
        <w:wordWrap w:val="0"/>
        <w:spacing w:before="120" w:beforeLines="50" w:after="120" w:afterLines="50"/>
        <w:ind w:left="482"/>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六、定义与解释</w:t>
      </w:r>
    </w:p>
    <w:p>
      <w:pPr>
        <w:wordWrap w:val="0"/>
        <w:spacing w:before="120" w:beforeLines="50" w:after="120" w:afterLines="50"/>
        <w:ind w:left="48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本协议书中有关词语的含义与通用条款中赋予的定义与解释相同。</w:t>
      </w:r>
    </w:p>
    <w:p>
      <w:pPr>
        <w:wordWrap w:val="0"/>
        <w:spacing w:before="120" w:beforeLines="50" w:after="120" w:afterLines="50"/>
        <w:ind w:left="482"/>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七、合同生效</w:t>
      </w:r>
    </w:p>
    <w:p>
      <w:pPr>
        <w:wordWrap w:val="0"/>
        <w:spacing w:before="120" w:beforeLines="50" w:after="120" w:afterLines="50"/>
        <w:ind w:left="482"/>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本合同在以下条件全部满足之后生效：</w:t>
      </w:r>
    </w:p>
    <w:p>
      <w:pPr>
        <w:wordWrap w:val="0"/>
        <w:spacing w:line="300" w:lineRule="auto"/>
        <w:rPr>
          <w:rFonts w:ascii="宋体" w:hAnsi="宋体"/>
          <w:color w:val="000000" w:themeColor="text1"/>
          <w:sz w:val="24"/>
          <w14:textFill>
            <w14:solidFill>
              <w14:schemeClr w14:val="tx1"/>
            </w14:solidFill>
          </w14:textFill>
        </w:rPr>
      </w:pPr>
    </w:p>
    <w:p>
      <w:pPr>
        <w:wordWrap w:val="0"/>
        <w:spacing w:line="300" w:lineRule="auto"/>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发包人：                           承包人：</w:t>
      </w:r>
    </w:p>
    <w:p>
      <w:pPr>
        <w:wordWrap w:val="0"/>
        <w:spacing w:line="300" w:lineRule="auto"/>
        <w:ind w:firstLine="600" w:firstLineChars="2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（公章或合同专用章）               （公章或合同专用章）</w:t>
      </w:r>
    </w:p>
    <w:p>
      <w:pPr>
        <w:wordWrap w:val="0"/>
        <w:spacing w:line="300" w:lineRule="auto"/>
        <w:rPr>
          <w:rFonts w:ascii="宋体" w:hAnsi="宋体"/>
          <w:color w:val="000000" w:themeColor="text1"/>
          <w:sz w:val="24"/>
          <w14:textFill>
            <w14:solidFill>
              <w14:schemeClr w14:val="tx1"/>
            </w14:solidFill>
          </w14:textFill>
        </w:rPr>
      </w:pPr>
    </w:p>
    <w:p>
      <w:pPr>
        <w:wordWrap w:val="0"/>
        <w:spacing w:line="300" w:lineRule="auto"/>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法定代表人或其授权代表：         法定代表人或其授权代表：  </w:t>
      </w:r>
    </w:p>
    <w:p>
      <w:pPr>
        <w:wordWrap w:val="0"/>
        <w:spacing w:line="300" w:lineRule="auto"/>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（签字）                         （签字）</w:t>
      </w:r>
    </w:p>
    <w:p>
      <w:pPr>
        <w:wordWrap w:val="0"/>
        <w:spacing w:line="30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工商注册住所：　　              工商注册住所：</w:t>
      </w:r>
    </w:p>
    <w:p>
      <w:pPr>
        <w:wordWrap w:val="0"/>
        <w:spacing w:line="30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企业组织机构代码：              企业组织机构代码：</w:t>
      </w:r>
    </w:p>
    <w:p>
      <w:pPr>
        <w:wordWrap w:val="0"/>
        <w:spacing w:line="30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邮政编码：　　                  邮政编码：　　</w:t>
      </w:r>
    </w:p>
    <w:p>
      <w:pPr>
        <w:wordWrap w:val="0"/>
        <w:spacing w:line="30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　　                法定代表人：　　　　</w:t>
      </w:r>
    </w:p>
    <w:p>
      <w:pPr>
        <w:wordWrap w:val="0"/>
        <w:spacing w:line="30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授权代表：　　                  授权代表：　　　　</w:t>
      </w:r>
    </w:p>
    <w:p>
      <w:pPr>
        <w:wordWrap w:val="0"/>
        <w:spacing w:line="30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　　话：　　                  电　　话：　　　　</w:t>
      </w:r>
    </w:p>
    <w:p>
      <w:pPr>
        <w:wordWrap w:val="0"/>
        <w:spacing w:line="30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传　　真：　　                  传　　真：</w:t>
      </w:r>
    </w:p>
    <w:p>
      <w:pPr>
        <w:wordWrap w:val="0"/>
        <w:spacing w:line="30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电子邮箱：                      电子邮箱：　　　　</w:t>
      </w:r>
    </w:p>
    <w:p>
      <w:pPr>
        <w:wordWrap w:val="0"/>
        <w:spacing w:line="30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开户银行：　                    开户银行：　　　　</w:t>
      </w:r>
    </w:p>
    <w:p>
      <w:pPr>
        <w:wordWrap w:val="0"/>
        <w:spacing w:line="30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账　　号：　　                  账　　号：　　　　　</w:t>
      </w:r>
    </w:p>
    <w:p>
      <w:pPr>
        <w:wordWrap w:val="0"/>
        <w:rPr>
          <w:color w:val="000000" w:themeColor="text1"/>
          <w14:textFill>
            <w14:solidFill>
              <w14:schemeClr w14:val="tx1"/>
            </w14:solidFill>
          </w14:textFill>
        </w:rPr>
      </w:pPr>
    </w:p>
    <w:p>
      <w:pPr>
        <w:wordWrap w:val="0"/>
        <w:spacing w:line="30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合同订立时间：年月日                </w:t>
      </w:r>
    </w:p>
    <w:p>
      <w:pPr>
        <w:wordWrap w:val="0"/>
        <w:spacing w:line="300" w:lineRule="auto"/>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合同订立地点：</w:t>
      </w:r>
    </w:p>
    <w:p>
      <w:pPr>
        <w:wordWrap w:val="0"/>
        <w:rPr>
          <w:color w:val="000000" w:themeColor="text1"/>
          <w14:textFill>
            <w14:solidFill>
              <w14:schemeClr w14:val="tx1"/>
            </w14:solidFill>
          </w14:textFill>
        </w:rPr>
      </w:pPr>
    </w:p>
    <w:p>
      <w:pPr>
        <w:wordWrap w:val="0"/>
        <w:rPr>
          <w:color w:val="000000" w:themeColor="text1"/>
          <w14:textFill>
            <w14:solidFill>
              <w14:schemeClr w14:val="tx1"/>
            </w14:solidFill>
          </w14:textFill>
        </w:rPr>
      </w:pPr>
    </w:p>
    <w:p>
      <w:pPr>
        <w:wordWrap w:val="0"/>
        <w:rPr>
          <w:color w:val="000000" w:themeColor="text1"/>
          <w14:textFill>
            <w14:solidFill>
              <w14:schemeClr w14:val="tx1"/>
            </w14:solidFill>
          </w14:textFill>
        </w:rPr>
      </w:pPr>
    </w:p>
    <w:p>
      <w:pPr>
        <w:wordWrap w:val="0"/>
        <w:rPr>
          <w:color w:val="000000" w:themeColor="text1"/>
          <w14:textFill>
            <w14:solidFill>
              <w14:schemeClr w14:val="tx1"/>
            </w14:solidFill>
          </w14:textFill>
        </w:rPr>
      </w:pPr>
    </w:p>
    <w:p>
      <w:pPr>
        <w:wordWrap w:val="0"/>
        <w:rPr>
          <w:color w:val="000000" w:themeColor="text1"/>
          <w14:textFill>
            <w14:solidFill>
              <w14:schemeClr w14:val="tx1"/>
            </w14:solidFill>
          </w14:textFill>
        </w:rPr>
      </w:pPr>
    </w:p>
    <w:p>
      <w:pPr>
        <w:wordWrap w:val="0"/>
        <w:jc w:val="center"/>
        <w:rPr>
          <w:b/>
          <w:color w:val="000000" w:themeColor="text1"/>
          <w:sz w:val="44"/>
          <w:szCs w:val="44"/>
          <w14:textFill>
            <w14:solidFill>
              <w14:schemeClr w14:val="tx1"/>
            </w14:solidFill>
          </w14:textFill>
        </w:rPr>
      </w:pPr>
      <w:r>
        <w:rPr>
          <w:b/>
          <w:color w:val="000000" w:themeColor="text1"/>
          <w:sz w:val="36"/>
          <w:szCs w:val="36"/>
          <w14:textFill>
            <w14:solidFill>
              <w14:schemeClr w14:val="tx1"/>
            </w14:solidFill>
          </w14:textFill>
        </w:rPr>
        <w:br w:type="page"/>
      </w:r>
      <w:r>
        <w:rPr>
          <w:rFonts w:hint="eastAsia"/>
          <w:b/>
          <w:color w:val="000000" w:themeColor="text1"/>
          <w:sz w:val="44"/>
          <w:szCs w:val="44"/>
          <w14:textFill>
            <w14:solidFill>
              <w14:schemeClr w14:val="tx1"/>
            </w14:solidFill>
          </w14:textFill>
        </w:rPr>
        <w:t>第二部分通用条款</w:t>
      </w:r>
    </w:p>
    <w:p>
      <w:pPr>
        <w:wordWrap w:val="0"/>
        <w:spacing w:before="120" w:beforeLines="50" w:after="120" w:afterLines="50" w:line="300" w:lineRule="auto"/>
        <w:ind w:firstLine="562" w:firstLineChars="200"/>
        <w:rPr>
          <w:color w:val="000000" w:themeColor="text1"/>
          <w:sz w:val="24"/>
          <w14:textFill>
            <w14:solidFill>
              <w14:schemeClr w14:val="tx1"/>
            </w14:solidFill>
          </w14:textFill>
        </w:rPr>
      </w:pPr>
      <w:r>
        <w:rPr>
          <w:rFonts w:hint="eastAsia"/>
          <w:b/>
          <w:color w:val="000000" w:themeColor="text1"/>
          <w:sz w:val="28"/>
          <w:szCs w:val="28"/>
          <w14:textFill>
            <w14:solidFill>
              <w14:schemeClr w14:val="tx1"/>
            </w14:solidFill>
          </w14:textFill>
        </w:rPr>
        <w:t>第</w:t>
      </w:r>
      <w:r>
        <w:rPr>
          <w:b/>
          <w:color w:val="000000" w:themeColor="text1"/>
          <w:sz w:val="28"/>
          <w:szCs w:val="28"/>
          <w14:textFill>
            <w14:solidFill>
              <w14:schemeClr w14:val="tx1"/>
            </w14:solidFill>
          </w14:textFill>
        </w:rPr>
        <w:t>1</w:t>
      </w:r>
      <w:r>
        <w:rPr>
          <w:rFonts w:hint="eastAsia"/>
          <w:b/>
          <w:color w:val="000000" w:themeColor="text1"/>
          <w:sz w:val="28"/>
          <w:szCs w:val="28"/>
          <w14:textFill>
            <w14:solidFill>
              <w14:schemeClr w14:val="tx1"/>
            </w14:solidFill>
          </w14:textFill>
        </w:rPr>
        <w:t>条一般规定</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1.1  定义与解释</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1.1.</w:t>
      </w:r>
      <w:r>
        <w:rPr>
          <w:rFonts w:hint="eastAsia"/>
          <w:color w:val="000000" w:themeColor="text1"/>
          <w:sz w:val="24"/>
          <w14:textFill>
            <w14:solidFill>
              <w14:schemeClr w14:val="tx1"/>
            </w14:solidFill>
          </w14:textFill>
        </w:rPr>
        <w:t>1  合同，指由第1.2.1项所述的各项文件所构成的整体。</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1.1.2  通用条款，指合同当事人在履行工程总承包合同过程中所遵守的一般性条款，由本文件第1条至第20条组成。</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1.1.</w:t>
      </w:r>
      <w:r>
        <w:rPr>
          <w:rFonts w:hint="eastAsia"/>
          <w:color w:val="000000" w:themeColor="text1"/>
          <w:sz w:val="24"/>
          <w14:textFill>
            <w14:solidFill>
              <w14:schemeClr w14:val="tx1"/>
            </w14:solidFill>
          </w14:textFill>
        </w:rPr>
        <w:t>3  专用条款，指合同当事人根据工程总承包项目的具体情况，对通用条款进行细化、完善、补充、修改或另行约定，并同意共同遵守的条款。</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1.1.</w:t>
      </w:r>
      <w:r>
        <w:rPr>
          <w:rFonts w:hint="eastAsia"/>
          <w:color w:val="000000" w:themeColor="text1"/>
          <w:sz w:val="24"/>
          <w14:textFill>
            <w14:solidFill>
              <w14:schemeClr w14:val="tx1"/>
            </w14:solidFill>
          </w14:textFill>
        </w:rPr>
        <w:t>4  工程总承包，指承包人受发包人委托，按照合同约定对工程建设项目的设计、采购、施工（含竣工试验）、试运行等阶段实行全过程或若干阶段</w:t>
      </w:r>
      <w:r>
        <w:rPr>
          <w:color w:val="000000" w:themeColor="text1"/>
          <w:sz w:val="24"/>
          <w14:textFill>
            <w14:solidFill>
              <w14:schemeClr w14:val="tx1"/>
            </w14:solidFill>
          </w14:textFill>
        </w:rPr>
        <w:t>的工程</w:t>
      </w:r>
      <w:r>
        <w:rPr>
          <w:rFonts w:hint="eastAsia"/>
          <w:color w:val="000000" w:themeColor="text1"/>
          <w:sz w:val="24"/>
          <w14:textFill>
            <w14:solidFill>
              <w14:schemeClr w14:val="tx1"/>
            </w14:solidFill>
          </w14:textFill>
        </w:rPr>
        <w:t>承包。</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1.1.</w:t>
      </w:r>
      <w:r>
        <w:rPr>
          <w:rFonts w:hint="eastAsia"/>
          <w:color w:val="000000" w:themeColor="text1"/>
          <w:sz w:val="24"/>
          <w14:textFill>
            <w14:solidFill>
              <w14:schemeClr w14:val="tx1"/>
            </w14:solidFill>
          </w14:textFill>
        </w:rPr>
        <w:t>5  发包人，指在合同协议书中约定的，具有项目发包主体资格和支付工程价款能力的当事人或取得该当事人资格的合法继承人。</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1.1.</w:t>
      </w:r>
      <w:r>
        <w:rPr>
          <w:rFonts w:hint="eastAsia"/>
          <w:color w:val="000000" w:themeColor="text1"/>
          <w:sz w:val="24"/>
          <w14:textFill>
            <w14:solidFill>
              <w14:schemeClr w14:val="tx1"/>
            </w14:solidFill>
          </w14:textFill>
        </w:rPr>
        <w:t>6  承包人，指在合同协议书中约定的，被发包人接受的具有工程总承包主体资格的当事人，包括其合法继承人。</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1.1.7  联合体，指经发包人同意由两个或两个以上法人或者其它组织组成的，作为工程承包人的临时机构，联合体各方向发包人承担连带责任。联合体各方应指定其中一方作为牵头人。</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1.1.</w:t>
      </w:r>
      <w:r>
        <w:rPr>
          <w:rFonts w:hint="eastAsia"/>
          <w:color w:val="000000" w:themeColor="text1"/>
          <w:sz w:val="24"/>
          <w14:textFill>
            <w14:solidFill>
              <w14:schemeClr w14:val="tx1"/>
            </w14:solidFill>
          </w14:textFill>
        </w:rPr>
        <w:t>8  分包人，指接受承包人根据合同约定对外分包的部分工程或服务的，具有相应资格的法人或其它组织。</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1.1.</w:t>
      </w:r>
      <w:r>
        <w:rPr>
          <w:rFonts w:hint="eastAsia"/>
          <w:color w:val="000000" w:themeColor="text1"/>
          <w:sz w:val="24"/>
          <w14:textFill>
            <w14:solidFill>
              <w14:schemeClr w14:val="tx1"/>
            </w14:solidFill>
          </w14:textFill>
        </w:rPr>
        <w:t>9  发包人代表，指发包人指定的履行本合同的代表。</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1.1.</w:t>
      </w:r>
      <w:r>
        <w:rPr>
          <w:rFonts w:hint="eastAsia"/>
          <w:color w:val="000000" w:themeColor="text1"/>
          <w:sz w:val="24"/>
          <w14:textFill>
            <w14:solidFill>
              <w14:schemeClr w14:val="tx1"/>
            </w14:solidFill>
          </w14:textFill>
        </w:rPr>
        <w:t>10  监理人，指发包人委托的具有相应资质的工程监理单位。</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1.1.</w:t>
      </w:r>
      <w:r>
        <w:rPr>
          <w:rFonts w:hint="eastAsia"/>
          <w:color w:val="000000" w:themeColor="text1"/>
          <w:sz w:val="24"/>
          <w14:textFill>
            <w14:solidFill>
              <w14:schemeClr w14:val="tx1"/>
            </w14:solidFill>
          </w14:textFill>
        </w:rPr>
        <w:t>11  工程总监，指由监理人授权、负责履行监理合同的总监理工程师。</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1.1.</w:t>
      </w:r>
      <w:r>
        <w:rPr>
          <w:rFonts w:hint="eastAsia"/>
          <w:color w:val="000000" w:themeColor="text1"/>
          <w:sz w:val="24"/>
          <w14:textFill>
            <w14:solidFill>
              <w14:schemeClr w14:val="tx1"/>
            </w14:solidFill>
          </w14:textFill>
        </w:rPr>
        <w:t>12  项目经理，指承包人按照合同约定任命的负责履行合同的代表。</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1.1.</w:t>
      </w:r>
      <w:r>
        <w:rPr>
          <w:rFonts w:hint="eastAsia"/>
          <w:color w:val="000000" w:themeColor="text1"/>
          <w:sz w:val="24"/>
          <w14:textFill>
            <w14:solidFill>
              <w14:schemeClr w14:val="tx1"/>
            </w14:solidFill>
          </w14:textFill>
        </w:rPr>
        <w:t>13  工程，指永久性工程和</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或）临时性工程。</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1.1.14  永久性工程，指承包人根据合同约定，进行设计、施工、竣工试验、竣工后试验和试运行考核并交付发包人进行生产操作或使用的工程。</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1.1.</w:t>
      </w:r>
      <w:r>
        <w:rPr>
          <w:rFonts w:hint="eastAsia"/>
          <w:color w:val="000000" w:themeColor="text1"/>
          <w:sz w:val="24"/>
          <w14:textFill>
            <w14:solidFill>
              <w14:schemeClr w14:val="tx1"/>
            </w14:solidFill>
          </w14:textFill>
        </w:rPr>
        <w:t>15  单项工程，指专用条件中列明的具有某项独立功能的工程单元，是永久性工程的组成部分。</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1.1.</w:t>
      </w:r>
      <w:r>
        <w:rPr>
          <w:rFonts w:hint="eastAsia"/>
          <w:color w:val="000000" w:themeColor="text1"/>
          <w:sz w:val="24"/>
          <w14:textFill>
            <w14:solidFill>
              <w14:schemeClr w14:val="tx1"/>
            </w14:solidFill>
          </w14:textFill>
        </w:rPr>
        <w:t>16  临时性工程，指为实施、完成永久性工程及修补任何质量缺陷，在现场所需搭建的临时建筑物、构筑物，以及不构成永久性工程实体的其它临时设施。</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1.1.</w:t>
      </w:r>
      <w:r>
        <w:rPr>
          <w:rFonts w:hint="eastAsia"/>
          <w:color w:val="000000" w:themeColor="text1"/>
          <w:sz w:val="24"/>
          <w14:textFill>
            <w14:solidFill>
              <w14:schemeClr w14:val="tx1"/>
            </w14:solidFill>
          </w14:textFill>
        </w:rPr>
        <w:t>17  现场或场地，指合同约定的由发包人提供的用于承包人现场办公，工程物资、机具设施存放和工程实施的任何地点。</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1.1.18  项目基础资料，指发包人提供给承包人的经有关部门对项目批准或核准的文件、报告（如选厂报告、资源报告、勘察报告等）、资料（如气象、水文、地质等）、协议（如原料、燃料、水、电、气、运输等）和有关数据等，以及设计所需的其它基础资料。</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1.1.</w:t>
      </w:r>
      <w:r>
        <w:rPr>
          <w:rFonts w:hint="eastAsia"/>
          <w:color w:val="000000" w:themeColor="text1"/>
          <w:sz w:val="24"/>
          <w14:textFill>
            <w14:solidFill>
              <w14:schemeClr w14:val="tx1"/>
            </w14:solidFill>
          </w14:textFill>
        </w:rPr>
        <w:t>19  现场障碍资料，指发包人需向承包人提供的进行工程设计、现场施工所需的地上和地下已有的建筑物、构筑物、线缆、管道、受保护的古建筑、古树木等坐标方位、数据和其它相关资料。</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1.1.</w:t>
      </w:r>
      <w:r>
        <w:rPr>
          <w:rFonts w:hint="eastAsia"/>
          <w:color w:val="000000" w:themeColor="text1"/>
          <w:sz w:val="24"/>
          <w14:textFill>
            <w14:solidFill>
              <w14:schemeClr w14:val="tx1"/>
            </w14:solidFill>
          </w14:textFill>
        </w:rPr>
        <w:t>20  设计阶段，指规划设计、总体设计、初步设计、技术设计和施工图设计等阶段。设计阶段的组成，视项目情况而定。</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1.1.21  工程物资，指设计文件规定的将构成永久性工程实体的设备、材料和部件，以及进行竣工试验和竣工后试验所需的材料等。</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1.1.</w:t>
      </w:r>
      <w:r>
        <w:rPr>
          <w:rFonts w:hint="eastAsia"/>
          <w:color w:val="000000" w:themeColor="text1"/>
          <w:sz w:val="24"/>
          <w14:textFill>
            <w14:solidFill>
              <w14:schemeClr w14:val="tx1"/>
            </w14:solidFill>
          </w14:textFill>
        </w:rPr>
        <w:t>22  施工，指承包人把设计文件转化为永久性工程的过程，包括土建、安装和竣工试验等作业。</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1.1.</w:t>
      </w:r>
      <w:r>
        <w:rPr>
          <w:rFonts w:hint="eastAsia"/>
          <w:color w:val="000000" w:themeColor="text1"/>
          <w:sz w:val="24"/>
          <w14:textFill>
            <w14:solidFill>
              <w14:schemeClr w14:val="tx1"/>
            </w14:solidFill>
          </w14:textFill>
        </w:rPr>
        <w:t>23  竣工试验，指工程和（或）单项工程被发包人接收前，应由承包人负责进行的机械、设备、部件、线缆和管道能性能试验。</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1.1.24  变更，指在不改变工程功能和规模的情况下，发包人书面通知或书面批准的，对工程所作的任何更改。</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1.1.</w:t>
      </w:r>
      <w:r>
        <w:rPr>
          <w:rFonts w:hint="eastAsia"/>
          <w:color w:val="000000" w:themeColor="text1"/>
          <w:sz w:val="24"/>
          <w14:textFill>
            <w14:solidFill>
              <w14:schemeClr w14:val="tx1"/>
            </w14:solidFill>
          </w14:textFill>
        </w:rPr>
        <w:t>25  施工竣工，指工程已按合同约定和设计要求完成土建、安装，并通过竣工试验。</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1.1.</w:t>
      </w:r>
      <w:r>
        <w:rPr>
          <w:rFonts w:hint="eastAsia"/>
          <w:color w:val="000000" w:themeColor="text1"/>
          <w:sz w:val="24"/>
          <w14:textFill>
            <w14:solidFill>
              <w14:schemeClr w14:val="tx1"/>
            </w14:solidFill>
          </w14:textFill>
        </w:rPr>
        <w:t>26  工程接收，指工程和（或）单项工程通过竣工试验后，为使发包人的操作人员、使用人员进入岗位进行竣工后试验、试运行准备，由承包人与发包人进行工程交接，并由发包人颁发接收证书的过程。</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1.1.</w:t>
      </w:r>
      <w:r>
        <w:rPr>
          <w:rFonts w:hint="eastAsia"/>
          <w:color w:val="000000" w:themeColor="text1"/>
          <w:sz w:val="24"/>
          <w14:textFill>
            <w14:solidFill>
              <w14:schemeClr w14:val="tx1"/>
            </w14:solidFill>
          </w14:textFill>
        </w:rPr>
        <w:t>27  竣工后试验，指工程被发包人接收后，按合同约定由发包人自行或在发包人组织领导下由承包人指导进行的工程的生产和（或）使用功能试验。</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1.1.</w:t>
      </w:r>
      <w:r>
        <w:rPr>
          <w:rFonts w:hint="eastAsia"/>
          <w:color w:val="000000" w:themeColor="text1"/>
          <w:sz w:val="24"/>
          <w14:textFill>
            <w14:solidFill>
              <w14:schemeClr w14:val="tx1"/>
            </w14:solidFill>
          </w14:textFill>
        </w:rPr>
        <w:t>28  试运行考核，指根据合同约定，在工程完成竣工试验后，由发包人自行或在发包人的组织领导下由承包人指导下进行的包括合同目标考核验收在内的全部试验。</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1.1.29  考核验收证书，指试运行考核的全部试验完成并通过验收后，由发包人签发的验收证书。</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1.1.</w:t>
      </w:r>
      <w:r>
        <w:rPr>
          <w:rFonts w:hint="eastAsia"/>
          <w:color w:val="000000" w:themeColor="text1"/>
          <w:sz w:val="24"/>
          <w14:textFill>
            <w14:solidFill>
              <w14:schemeClr w14:val="tx1"/>
            </w14:solidFill>
          </w14:textFill>
        </w:rPr>
        <w:t>30  工程竣工验收，指承包人接到考核验收证书、完成扫尾工程和缺陷修复，并按合同约定提交竣工验收报告、竣工资料、竣工结算资料，由发包人组织的工程结算与验收。</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1.1.31  合同期限，指从合同生效之日起，至双方在合同下的义务履行完毕之日止的期间。</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1.1.32  基准日期，指递交投标文件截止日期之前</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0日的日期。</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1.1.33  项目进度计划，指自合同生效之日起，按合同约定的工程全部实施阶段（包括设计、采购、施工、竣工试验、工程接收、竣工后试验至试运行考核等阶段）或若干实施阶段的时间计划安排。</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1.1.</w:t>
      </w:r>
      <w:r>
        <w:rPr>
          <w:rFonts w:hint="eastAsia"/>
          <w:color w:val="000000" w:themeColor="text1"/>
          <w:sz w:val="24"/>
          <w14:textFill>
            <w14:solidFill>
              <w14:schemeClr w14:val="tx1"/>
            </w14:solidFill>
          </w14:textFill>
        </w:rPr>
        <w:t>34  施工开工日期，指合同协议书中约定的，承包人开始现场施工的绝对日期或相对日期。</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1.1.</w:t>
      </w:r>
      <w:r>
        <w:rPr>
          <w:rFonts w:hint="eastAsia"/>
          <w:color w:val="000000" w:themeColor="text1"/>
          <w:sz w:val="24"/>
          <w14:textFill>
            <w14:solidFill>
              <w14:schemeClr w14:val="tx1"/>
            </w14:solidFill>
          </w14:textFill>
        </w:rPr>
        <w:t>35  竣工日期，指合同协议书中约定的，由承包人完成工程施工（含竣工试验）的绝对日期或相对日期，包括按合同约定的任何延长日期。</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1.1.36  绝对日期，指以公历年、月、日所表明的具体期限。</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1.1.37  相对日期，指以公历天数表明的具体期限。</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1.1.38  关键路径，指项目进度计划中直接影响到竣工日期的时间计划线路。该关键路径由合同双方在讨论项目进度计划时商定。</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1.1.</w:t>
      </w:r>
      <w:r>
        <w:rPr>
          <w:rFonts w:hint="eastAsia"/>
          <w:color w:val="000000" w:themeColor="text1"/>
          <w:sz w:val="24"/>
          <w14:textFill>
            <w14:solidFill>
              <w14:schemeClr w14:val="tx1"/>
            </w14:solidFill>
          </w14:textFill>
        </w:rPr>
        <w:t>39  日、月、年，指公历的日、月、年。本合同中所使用的任何期间的起点均指相应事件发生之日的下一日</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如果任何时间的起算是以某一期间届满为条件，则起算点为该期间届满之日的下一日。任何期间的到期日均为该期间届满之日的当日</w:t>
      </w:r>
      <w:r>
        <w:rPr>
          <w:color w:val="000000" w:themeColor="text1"/>
          <w:sz w:val="24"/>
          <w14:textFill>
            <w14:solidFill>
              <w14:schemeClr w14:val="tx1"/>
            </w14:solidFill>
          </w14:textFill>
        </w:rPr>
        <w:t>。</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1.1.40  工作日，指除中国法定节假日之外的其它公历日。</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1.1.</w:t>
      </w:r>
      <w:r>
        <w:rPr>
          <w:rFonts w:hint="eastAsia"/>
          <w:color w:val="000000" w:themeColor="text1"/>
          <w:sz w:val="24"/>
          <w14:textFill>
            <w14:solidFill>
              <w14:schemeClr w14:val="tx1"/>
            </w14:solidFill>
          </w14:textFill>
        </w:rPr>
        <w:t>41  合同价格，指合同协议书中约定的、承包人进行设计、采购、施工、竣工试验、竣工后试验、试运行考核和服务等工作的价款。</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1.1.</w:t>
      </w:r>
      <w:r>
        <w:rPr>
          <w:rFonts w:hint="eastAsia"/>
          <w:color w:val="000000" w:themeColor="text1"/>
          <w:sz w:val="24"/>
          <w14:textFill>
            <w14:solidFill>
              <w14:schemeClr w14:val="tx1"/>
            </w14:solidFill>
          </w14:textFill>
        </w:rPr>
        <w:t>42  合同价格调整，指依据法律及合同约定需要增减的费用而对合同价格进行的相应调整。</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1.1.43  合同总价，指根据合同约定，经调整后的合同结算价格。</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1.1.44  预付款，是指根据合同约定，由发包人预先支付给承包人的款项。</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1.1.</w:t>
      </w:r>
      <w:r>
        <w:rPr>
          <w:rFonts w:hint="eastAsia"/>
          <w:color w:val="000000" w:themeColor="text1"/>
          <w:sz w:val="24"/>
          <w14:textFill>
            <w14:solidFill>
              <w14:schemeClr w14:val="tx1"/>
            </w14:solidFill>
          </w14:textFill>
        </w:rPr>
        <w:t xml:space="preserve">45  </w:t>
      </w:r>
      <w:r>
        <w:rPr>
          <w:color w:val="000000" w:themeColor="text1"/>
          <w:sz w:val="24"/>
          <w14:textFill>
            <w14:solidFill>
              <w14:schemeClr w14:val="tx1"/>
            </w14:solidFill>
          </w14:textFill>
        </w:rPr>
        <w:t>工程进度款，指发包人</w:t>
      </w:r>
      <w:r>
        <w:rPr>
          <w:rFonts w:hint="eastAsia"/>
          <w:color w:val="000000" w:themeColor="text1"/>
          <w:sz w:val="24"/>
          <w14:textFill>
            <w14:solidFill>
              <w14:schemeClr w14:val="tx1"/>
            </w14:solidFill>
          </w14:textFill>
        </w:rPr>
        <w:t>根据合同约定的支付内容、支付条件，分期向承包人</w:t>
      </w:r>
      <w:r>
        <w:rPr>
          <w:color w:val="000000" w:themeColor="text1"/>
          <w:sz w:val="24"/>
          <w14:textFill>
            <w14:solidFill>
              <w14:schemeClr w14:val="tx1"/>
            </w14:solidFill>
          </w14:textFill>
        </w:rPr>
        <w:t>支付</w:t>
      </w:r>
      <w:r>
        <w:rPr>
          <w:rFonts w:hint="eastAsia"/>
          <w:color w:val="000000" w:themeColor="text1"/>
          <w:sz w:val="24"/>
          <w14:textFill>
            <w14:solidFill>
              <w14:schemeClr w14:val="tx1"/>
            </w14:solidFill>
          </w14:textFill>
        </w:rPr>
        <w:t>的设计、采购、施工和竣工试验的进度款，及竣工后试验和试运行考核的服务费以及工程总承包管理费等</w:t>
      </w:r>
      <w:r>
        <w:rPr>
          <w:color w:val="000000" w:themeColor="text1"/>
          <w:sz w:val="24"/>
          <w14:textFill>
            <w14:solidFill>
              <w14:schemeClr w14:val="tx1"/>
            </w14:solidFill>
          </w14:textFill>
        </w:rPr>
        <w:t>款</w:t>
      </w:r>
      <w:r>
        <w:rPr>
          <w:rFonts w:hint="eastAsia"/>
          <w:color w:val="000000" w:themeColor="text1"/>
          <w:sz w:val="24"/>
          <w14:textFill>
            <w14:solidFill>
              <w14:schemeClr w14:val="tx1"/>
            </w14:solidFill>
          </w14:textFill>
        </w:rPr>
        <w:t>项</w:t>
      </w:r>
      <w:r>
        <w:rPr>
          <w:color w:val="000000" w:themeColor="text1"/>
          <w:sz w:val="24"/>
          <w14:textFill>
            <w14:solidFill>
              <w14:schemeClr w14:val="tx1"/>
            </w14:solidFill>
          </w14:textFill>
        </w:rPr>
        <w:t>。</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1.1.</w:t>
      </w:r>
      <w:r>
        <w:rPr>
          <w:rFonts w:hint="eastAsia"/>
          <w:color w:val="000000" w:themeColor="text1"/>
          <w:sz w:val="24"/>
          <w14:textFill>
            <w14:solidFill>
              <w14:schemeClr w14:val="tx1"/>
            </w14:solidFill>
          </w14:textFill>
        </w:rPr>
        <w:t>46  工程质量保修责任书，指依据有关质量保修的法律规定，发包人与承包人就工程质量保修相关事宜所签订的协议。</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1.1.</w:t>
      </w:r>
      <w:r>
        <w:rPr>
          <w:rFonts w:hint="eastAsia"/>
          <w:color w:val="000000" w:themeColor="text1"/>
          <w:sz w:val="24"/>
          <w14:textFill>
            <w14:solidFill>
              <w14:schemeClr w14:val="tx1"/>
            </w14:solidFill>
          </w14:textFill>
        </w:rPr>
        <w:t>47  缺陷责任保修金，指按合同约定发包人从工程进度款中暂时扣除的，作为承包人在施工过程及缺陷责任期内履行缺陷责任担保的金额。</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1.1.48  缺陷责任期，指承包人按合同约定承担缺陷保修责任的期间，一般应为1</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个月。因缺陷责任的延长，最长不超过</w:t>
      </w:r>
      <w:r>
        <w:rPr>
          <w:color w:val="000000" w:themeColor="text1"/>
          <w:sz w:val="24"/>
          <w14:textFill>
            <w14:solidFill>
              <w14:schemeClr w14:val="tx1"/>
            </w14:solidFill>
          </w14:textFill>
        </w:rPr>
        <w:t>24</w:t>
      </w:r>
      <w:r>
        <w:rPr>
          <w:rFonts w:hint="eastAsia"/>
          <w:color w:val="000000" w:themeColor="text1"/>
          <w:sz w:val="24"/>
          <w14:textFill>
            <w14:solidFill>
              <w14:schemeClr w14:val="tx1"/>
            </w14:solidFill>
          </w14:textFill>
        </w:rPr>
        <w:t>个月。具体期限在专用条款约定</w:t>
      </w:r>
      <w:r>
        <w:rPr>
          <w:color w:val="000000" w:themeColor="text1"/>
          <w:sz w:val="24"/>
          <w14:textFill>
            <w14:solidFill>
              <w14:schemeClr w14:val="tx1"/>
            </w14:solidFill>
          </w14:textFill>
        </w:rPr>
        <w:t>。</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1.1.49  书面形式，指合同书、信件和数据电文等可以有形地表现所载内容的形式。数据电文包括：电传、传真、电子数据交换和电子邮件。</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1.1.</w:t>
      </w:r>
      <w:r>
        <w:rPr>
          <w:rFonts w:hint="eastAsia"/>
          <w:color w:val="000000" w:themeColor="text1"/>
          <w:sz w:val="24"/>
          <w14:textFill>
            <w14:solidFill>
              <w14:schemeClr w14:val="tx1"/>
            </w14:solidFill>
          </w14:textFill>
        </w:rPr>
        <w:t>50  违约责任，指合同一方不履行合同义务或履行合同义务不符合合同约定所须承担的责任。</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1.1.51  不可抗力，指不能预见、不能避免并不能克服的客观情况，具体情形由双方在专用条款中约定。</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1.1.52  根据本合同工程的特点，需补充约定的其它定义。在专用条款中约定。</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1.2</w:t>
      </w:r>
      <w:r>
        <w:rPr>
          <w:rFonts w:hint="eastAsia"/>
          <w:b/>
          <w:color w:val="000000" w:themeColor="text1"/>
          <w:sz w:val="24"/>
          <w14:textFill>
            <w14:solidFill>
              <w14:schemeClr w14:val="tx1"/>
            </w14:solidFill>
          </w14:textFill>
        </w:rPr>
        <w:t>合同文件</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1.2.1</w:t>
      </w:r>
      <w:r>
        <w:rPr>
          <w:rFonts w:hint="eastAsia"/>
          <w:color w:val="000000" w:themeColor="text1"/>
          <w:sz w:val="24"/>
          <w14:textFill>
            <w14:solidFill>
              <w14:schemeClr w14:val="tx1"/>
            </w14:solidFill>
          </w14:textFill>
        </w:rPr>
        <w:t>合同文件的组成。</w:t>
      </w:r>
      <w:r>
        <w:rPr>
          <w:color w:val="000000" w:themeColor="text1"/>
          <w:sz w:val="24"/>
          <w14:textFill>
            <w14:solidFill>
              <w14:schemeClr w14:val="tx1"/>
            </w14:solidFill>
          </w14:textFill>
        </w:rPr>
        <w:t>合同文件相互解释，互为说明。除专用条款另有约定外，组成本合同的文件及优先解释顺序如下：</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本合同协议书</w:t>
      </w:r>
      <w:r>
        <w:rPr>
          <w:color w:val="000000" w:themeColor="text1"/>
          <w:sz w:val="24"/>
          <w14:textFill>
            <w14:solidFill>
              <w14:schemeClr w14:val="tx1"/>
            </w14:solidFill>
          </w14:textFill>
        </w:rPr>
        <w:br w:type="textWrapping"/>
      </w:r>
      <w:r>
        <w:rPr>
          <w:color w:val="000000" w:themeColor="text1"/>
          <w:sz w:val="24"/>
          <w14:textFill>
            <w14:solidFill>
              <w14:schemeClr w14:val="tx1"/>
            </w14:solidFill>
          </w14:textFill>
        </w:rPr>
        <w:t>　　（</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本合同专用条款</w:t>
      </w:r>
      <w:r>
        <w:rPr>
          <w:color w:val="000000" w:themeColor="text1"/>
          <w:sz w:val="24"/>
          <w14:textFill>
            <w14:solidFill>
              <w14:schemeClr w14:val="tx1"/>
            </w14:solidFill>
          </w14:textFill>
        </w:rPr>
        <w:br w:type="textWrapping" w:clear="all"/>
      </w:r>
      <w:r>
        <w:rPr>
          <w:color w:val="000000" w:themeColor="text1"/>
          <w:sz w:val="24"/>
          <w14:textFill>
            <w14:solidFill>
              <w14:schemeClr w14:val="tx1"/>
            </w14:solidFill>
          </w14:textFill>
        </w:rPr>
        <w:t>　　（</w:t>
      </w:r>
      <w:r>
        <w:rPr>
          <w:rFonts w:hint="eastAsia"/>
          <w:color w:val="000000" w:themeColor="text1"/>
          <w:sz w:val="24"/>
          <w14:textFill>
            <w14:solidFill>
              <w14:schemeClr w14:val="tx1"/>
            </w14:solidFill>
          </w14:textFill>
        </w:rPr>
        <w:t>3</w:t>
      </w:r>
      <w:r>
        <w:rPr>
          <w:color w:val="000000" w:themeColor="text1"/>
          <w:sz w:val="24"/>
          <w14:textFill>
            <w14:solidFill>
              <w14:schemeClr w14:val="tx1"/>
            </w14:solidFill>
          </w14:textFill>
        </w:rPr>
        <w:t>）中标通知书</w:t>
      </w:r>
      <w:r>
        <w:rPr>
          <w:color w:val="000000" w:themeColor="text1"/>
          <w:sz w:val="24"/>
          <w14:textFill>
            <w14:solidFill>
              <w14:schemeClr w14:val="tx1"/>
            </w14:solidFill>
          </w14:textFill>
        </w:rPr>
        <w:br w:type="textWrapping"/>
      </w:r>
      <w:r>
        <w:rPr>
          <w:color w:val="000000" w:themeColor="text1"/>
          <w:sz w:val="24"/>
          <w14:textFill>
            <w14:solidFill>
              <w14:schemeClr w14:val="tx1"/>
            </w14:solidFill>
          </w14:textFill>
        </w:rPr>
        <w:t>　　（</w:t>
      </w:r>
      <w:r>
        <w:rPr>
          <w:rFonts w:hint="eastAsia"/>
          <w:color w:val="000000" w:themeColor="text1"/>
          <w:sz w:val="24"/>
          <w14:textFill>
            <w14:solidFill>
              <w14:schemeClr w14:val="tx1"/>
            </w14:solidFill>
          </w14:textFill>
        </w:rPr>
        <w:t>4</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招</w:t>
      </w:r>
      <w:r>
        <w:rPr>
          <w:color w:val="000000" w:themeColor="text1"/>
          <w:sz w:val="24"/>
          <w14:textFill>
            <w14:solidFill>
              <w14:schemeClr w14:val="tx1"/>
            </w14:solidFill>
          </w14:textFill>
        </w:rPr>
        <w:t>投标</w:t>
      </w:r>
      <w:r>
        <w:rPr>
          <w:rFonts w:hint="eastAsia"/>
          <w:color w:val="000000" w:themeColor="text1"/>
          <w:sz w:val="24"/>
          <w14:textFill>
            <w14:solidFill>
              <w14:schemeClr w14:val="tx1"/>
            </w14:solidFill>
          </w14:textFill>
        </w:rPr>
        <w:t>文件</w:t>
      </w:r>
      <w:r>
        <w:rPr>
          <w:color w:val="000000" w:themeColor="text1"/>
          <w:sz w:val="24"/>
          <w14:textFill>
            <w14:solidFill>
              <w14:schemeClr w14:val="tx1"/>
            </w14:solidFill>
          </w14:textFill>
        </w:rPr>
        <w:t>及其附件</w:t>
      </w:r>
      <w:r>
        <w:rPr>
          <w:color w:val="000000" w:themeColor="text1"/>
          <w:sz w:val="24"/>
          <w14:textFill>
            <w14:solidFill>
              <w14:schemeClr w14:val="tx1"/>
            </w14:solidFill>
          </w14:textFill>
        </w:rPr>
        <w:br w:type="textWrapping"/>
      </w:r>
      <w:r>
        <w:rPr>
          <w:color w:val="000000" w:themeColor="text1"/>
          <w:sz w:val="24"/>
          <w14:textFill>
            <w14:solidFill>
              <w14:schemeClr w14:val="tx1"/>
            </w14:solidFill>
          </w14:textFill>
        </w:rPr>
        <w:t>　　（</w:t>
      </w:r>
      <w:r>
        <w:rPr>
          <w:rFonts w:hint="eastAsia"/>
          <w:color w:val="000000" w:themeColor="text1"/>
          <w:sz w:val="24"/>
          <w14:textFill>
            <w14:solidFill>
              <w14:schemeClr w14:val="tx1"/>
            </w14:solidFill>
          </w14:textFill>
        </w:rPr>
        <w:t>5</w:t>
      </w:r>
      <w:r>
        <w:rPr>
          <w:color w:val="000000" w:themeColor="text1"/>
          <w:sz w:val="24"/>
          <w14:textFill>
            <w14:solidFill>
              <w14:schemeClr w14:val="tx1"/>
            </w14:solidFill>
          </w14:textFill>
        </w:rPr>
        <w:t>）本合同</w:t>
      </w:r>
      <w:r>
        <w:rPr>
          <w:rFonts w:hint="eastAsia"/>
          <w:color w:val="000000" w:themeColor="text1"/>
          <w:sz w:val="24"/>
          <w14:textFill>
            <w14:solidFill>
              <w14:schemeClr w14:val="tx1"/>
            </w14:solidFill>
          </w14:textFill>
        </w:rPr>
        <w:t>通用</w:t>
      </w:r>
      <w:r>
        <w:rPr>
          <w:color w:val="000000" w:themeColor="text1"/>
          <w:sz w:val="24"/>
          <w14:textFill>
            <w14:solidFill>
              <w14:schemeClr w14:val="tx1"/>
            </w14:solidFill>
          </w14:textFill>
        </w:rPr>
        <w:t>条款</w:t>
      </w:r>
      <w:r>
        <w:rPr>
          <w:color w:val="000000" w:themeColor="text1"/>
          <w:sz w:val="24"/>
          <w14:textFill>
            <w14:solidFill>
              <w14:schemeClr w14:val="tx1"/>
            </w14:solidFill>
          </w14:textFill>
        </w:rPr>
        <w:br w:type="textWrapping"/>
      </w:r>
      <w:r>
        <w:rPr>
          <w:color w:val="000000" w:themeColor="text1"/>
          <w:sz w:val="24"/>
          <w14:textFill>
            <w14:solidFill>
              <w14:schemeClr w14:val="tx1"/>
            </w14:solidFill>
          </w14:textFill>
        </w:rPr>
        <w:t>　　（</w:t>
      </w:r>
      <w:r>
        <w:rPr>
          <w:rFonts w:hint="eastAsia"/>
          <w:color w:val="000000" w:themeColor="text1"/>
          <w:sz w:val="24"/>
          <w14:textFill>
            <w14:solidFill>
              <w14:schemeClr w14:val="tx1"/>
            </w14:solidFill>
          </w14:textFill>
        </w:rPr>
        <w:t>6</w:t>
      </w:r>
      <w:r>
        <w:rPr>
          <w:color w:val="000000" w:themeColor="text1"/>
          <w:sz w:val="24"/>
          <w14:textFill>
            <w14:solidFill>
              <w14:schemeClr w14:val="tx1"/>
            </w14:solidFill>
          </w14:textFill>
        </w:rPr>
        <w:t>）合同</w:t>
      </w:r>
      <w:r>
        <w:rPr>
          <w:rFonts w:hint="eastAsia"/>
          <w:color w:val="000000" w:themeColor="text1"/>
          <w:sz w:val="24"/>
          <w14:textFill>
            <w14:solidFill>
              <w14:schemeClr w14:val="tx1"/>
            </w14:solidFill>
          </w14:textFill>
        </w:rPr>
        <w:t>附件</w:t>
      </w:r>
      <w:r>
        <w:rPr>
          <w:color w:val="000000" w:themeColor="text1"/>
          <w:sz w:val="24"/>
          <w14:textFill>
            <w14:solidFill>
              <w14:schemeClr w14:val="tx1"/>
            </w14:solidFill>
          </w14:textFill>
        </w:rPr>
        <w:br w:type="textWrapping"/>
      </w:r>
      <w:r>
        <w:rPr>
          <w:color w:val="000000" w:themeColor="text1"/>
          <w:sz w:val="24"/>
          <w14:textFill>
            <w14:solidFill>
              <w14:schemeClr w14:val="tx1"/>
            </w14:solidFill>
          </w14:textFill>
        </w:rPr>
        <w:t>　　（</w:t>
      </w:r>
      <w:r>
        <w:rPr>
          <w:rFonts w:hint="eastAsia"/>
          <w:color w:val="000000" w:themeColor="text1"/>
          <w:sz w:val="24"/>
          <w14:textFill>
            <w14:solidFill>
              <w14:schemeClr w14:val="tx1"/>
            </w14:solidFill>
          </w14:textFill>
        </w:rPr>
        <w:t>7</w:t>
      </w:r>
      <w:r>
        <w:rPr>
          <w:color w:val="000000" w:themeColor="text1"/>
          <w:sz w:val="24"/>
          <w14:textFill>
            <w14:solidFill>
              <w14:schemeClr w14:val="tx1"/>
            </w14:solidFill>
          </w14:textFill>
        </w:rPr>
        <w:t>）标准、规范及有关技术文件</w:t>
      </w:r>
      <w:r>
        <w:rPr>
          <w:color w:val="000000" w:themeColor="text1"/>
          <w:sz w:val="24"/>
          <w14:textFill>
            <w14:solidFill>
              <w14:schemeClr w14:val="tx1"/>
            </w14:solidFill>
          </w14:textFill>
        </w:rPr>
        <w:br w:type="textWrapping"/>
      </w:r>
      <w:r>
        <w:rPr>
          <w:color w:val="000000" w:themeColor="text1"/>
          <w:sz w:val="24"/>
          <w14:textFill>
            <w14:solidFill>
              <w14:schemeClr w14:val="tx1"/>
            </w14:solidFill>
          </w14:textFill>
        </w:rPr>
        <w:t>　　（</w:t>
      </w:r>
      <w:r>
        <w:rPr>
          <w:rFonts w:hint="eastAsia"/>
          <w:color w:val="000000" w:themeColor="text1"/>
          <w:sz w:val="24"/>
          <w14:textFill>
            <w14:solidFill>
              <w14:schemeClr w14:val="tx1"/>
            </w14:solidFill>
          </w14:textFill>
        </w:rPr>
        <w:t>8</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设计文件、资料和</w:t>
      </w:r>
      <w:r>
        <w:rPr>
          <w:color w:val="000000" w:themeColor="text1"/>
          <w:sz w:val="24"/>
          <w14:textFill>
            <w14:solidFill>
              <w14:schemeClr w14:val="tx1"/>
            </w14:solidFill>
          </w14:textFill>
        </w:rPr>
        <w:t>图纸</w:t>
      </w:r>
      <w:r>
        <w:rPr>
          <w:color w:val="000000" w:themeColor="text1"/>
          <w:sz w:val="24"/>
          <w14:textFill>
            <w14:solidFill>
              <w14:schemeClr w14:val="tx1"/>
            </w14:solidFill>
          </w14:textFill>
        </w:rPr>
        <w:br w:type="textWrapping"/>
      </w:r>
      <w:r>
        <w:rPr>
          <w:color w:val="000000" w:themeColor="text1"/>
          <w:sz w:val="24"/>
          <w14:textFill>
            <w14:solidFill>
              <w14:schemeClr w14:val="tx1"/>
            </w14:solidFill>
          </w14:textFill>
        </w:rPr>
        <w:t>　　</w:t>
      </w:r>
      <w:r>
        <w:rPr>
          <w:rFonts w:hint="eastAsia"/>
          <w:color w:val="000000" w:themeColor="text1"/>
          <w:sz w:val="24"/>
          <w14:textFill>
            <w14:solidFill>
              <w14:schemeClr w14:val="tx1"/>
            </w14:solidFill>
          </w14:textFill>
        </w:rPr>
        <w:t>（9）双方约定构成合同组成部分的其它文件</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双方在履行合同过程中形成的双方授权代表签署的会议纪要、备忘录、补充文件、变更和洽商等书面形式的文件构成本合同的组成部分。</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1.2.2</w:t>
      </w:r>
      <w:r>
        <w:rPr>
          <w:rFonts w:hint="eastAsia"/>
          <w:color w:val="000000" w:themeColor="text1"/>
          <w:sz w:val="24"/>
          <w14:textFill>
            <w14:solidFill>
              <w14:schemeClr w14:val="tx1"/>
            </w14:solidFill>
          </w14:textFill>
        </w:rPr>
        <w:t>当合同文件的条款内容含糊不清或不相一致，并且不能依据合同约定的解释顺序阐述清楚时，在不影响工程正常进行的情况下，由当事人协商解决，当事人经协商未能达成一致，根据</w:t>
      </w:r>
      <w:r>
        <w:rPr>
          <w:color w:val="000000" w:themeColor="text1"/>
          <w:sz w:val="24"/>
          <w14:textFill>
            <w14:solidFill>
              <w14:schemeClr w14:val="tx1"/>
            </w14:solidFill>
          </w14:textFill>
        </w:rPr>
        <w:t>16.3</w:t>
      </w:r>
      <w:r>
        <w:rPr>
          <w:rFonts w:hint="eastAsia"/>
          <w:color w:val="000000" w:themeColor="text1"/>
          <w:sz w:val="24"/>
          <w14:textFill>
            <w14:solidFill>
              <w14:schemeClr w14:val="tx1"/>
            </w14:solidFill>
          </w14:textFill>
        </w:rPr>
        <w:t>款关于争议和裁决的约定解决。</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1.2.3 合同中的条款标题仅为阅读方便，不作为对合同条款进行解释的依据。</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1.3</w:t>
      </w:r>
      <w:r>
        <w:rPr>
          <w:rFonts w:hint="eastAsia"/>
          <w:b/>
          <w:color w:val="000000" w:themeColor="text1"/>
          <w:sz w:val="24"/>
          <w14:textFill>
            <w14:solidFill>
              <w14:schemeClr w14:val="tx1"/>
            </w14:solidFill>
          </w14:textFill>
        </w:rPr>
        <w:t>语言文字</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合同文件以中国的汉语简体语言文字编写、解释和说明。合同当事人在专用条款约定使用两种及以上语言时，汉语为优先解释和说明本合同的主导语言。</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在少数民族地区，当事人可以约定使用少数民族语言编写、解释和说明本合同文件。</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1.4</w:t>
      </w:r>
      <w:r>
        <w:rPr>
          <w:rFonts w:hint="eastAsia"/>
          <w:b/>
          <w:color w:val="000000" w:themeColor="text1"/>
          <w:sz w:val="24"/>
          <w14:textFill>
            <w14:solidFill>
              <w14:schemeClr w14:val="tx1"/>
            </w14:solidFill>
          </w14:textFill>
        </w:rPr>
        <w:t>适用法律</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合同遵循中华人民共和国法律，指中华人民共和国法律、行政法规、部门规章以及工程所在地的地方法规、自治条例、单行条例和地方政府规章。需要明示的国家和地方的具体适用法律的名称在专用条款中约定。</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在基准日期之后，因法律变化导致承包人的费用增加的，发包人应合理增加合同价格；如果因法律变化导致关键路径工期延误的，应合理延长工期。</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1.5</w:t>
      </w:r>
      <w:r>
        <w:rPr>
          <w:rFonts w:hint="eastAsia"/>
          <w:b/>
          <w:color w:val="000000" w:themeColor="text1"/>
          <w:sz w:val="24"/>
          <w14:textFill>
            <w14:solidFill>
              <w14:schemeClr w14:val="tx1"/>
            </w14:solidFill>
          </w14:textFill>
        </w:rPr>
        <w:t>标准、规范</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1.5.1</w:t>
      </w:r>
      <w:r>
        <w:rPr>
          <w:rFonts w:hint="eastAsia"/>
          <w:color w:val="000000" w:themeColor="text1"/>
          <w:sz w:val="24"/>
          <w14:textFill>
            <w14:solidFill>
              <w14:schemeClr w14:val="tx1"/>
            </w14:solidFill>
          </w14:textFill>
        </w:rPr>
        <w:t>适用于本工程的国家标准规范、和（或）行业标准规范、和（或）工程所在地方的标准规范、和（或）企业标准规范的名称（或编号），在专用条款中约定。</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1.5.</w:t>
      </w:r>
      <w:r>
        <w:rPr>
          <w:rFonts w:hint="eastAsia"/>
          <w:color w:val="000000" w:themeColor="text1"/>
          <w:sz w:val="24"/>
          <w14:textFill>
            <w14:solidFill>
              <w14:schemeClr w14:val="tx1"/>
            </w14:solidFill>
          </w14:textFill>
        </w:rPr>
        <w:t>2  发包人使用国外标准、规范的，负责提供原文版本和中文译本，并在专用条款中约定提供的标准、规范的名称、份数和时间。</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1.5.</w:t>
      </w:r>
      <w:r>
        <w:rPr>
          <w:rFonts w:hint="eastAsia"/>
          <w:color w:val="000000" w:themeColor="text1"/>
          <w:sz w:val="24"/>
          <w14:textFill>
            <w14:solidFill>
              <w14:schemeClr w14:val="tx1"/>
            </w14:solidFill>
          </w14:textFill>
        </w:rPr>
        <w:t>3  没有相应成文规定的标准、规范时，由发包人在专用条款中约定的时间向承包人列明技术要求，承包人按约定的时间和技术要求提出实施方法，经发包人认可后执行。承包人需要对实施方法进行研发试验的，或须对施工人员进行特殊培训的，除合同价格已包含此项费用外，双方应另行签订协议作为本合同附件，其费用由发包人承担。</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1.5.4在基准日期之后，因国家颁布新的强制性规范、标准导致承包人的费用增加的，发包人应合理增加合同价格；导致关键路径工期延误的，发包人应合理延长工期</w:t>
      </w:r>
      <w:r>
        <w:rPr>
          <w:color w:val="000000" w:themeColor="text1"/>
          <w:sz w:val="24"/>
          <w14:textFill>
            <w14:solidFill>
              <w14:schemeClr w14:val="tx1"/>
            </w14:solidFill>
          </w14:textFill>
        </w:rPr>
        <w:t>。</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1.6  保密事项</w:t>
      </w:r>
    </w:p>
    <w:p>
      <w:pPr>
        <w:wordWrap w:val="0"/>
        <w:spacing w:before="120" w:beforeLines="50" w:after="120" w:afterLines="50"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当事人一方对在订立和履行合同过程中知悉的另一方的商业秘密、技术秘密，以及任何一方明确要求保密的其它信息，负有保密责任，未经同意，不得对外泄露或用于本合同以外的目的。一方泄露或者在本合同以外使用该商业秘密、技术秘密等保密信息给另一方造成损失的，应承担损害赔偿责任。当事人为履行合同所需要的信息，另一方应予以提供。当事人认为必要时，可签订保密协议，作为合同附件</w:t>
      </w:r>
      <w:r>
        <w:rPr>
          <w:color w:val="000000" w:themeColor="text1"/>
          <w:sz w:val="24"/>
          <w14:textFill>
            <w14:solidFill>
              <w14:schemeClr w14:val="tx1"/>
            </w14:solidFill>
          </w14:textFill>
        </w:rPr>
        <w:t>。</w:t>
      </w:r>
    </w:p>
    <w:p>
      <w:pPr>
        <w:wordWrap w:val="0"/>
        <w:spacing w:before="120" w:beforeLines="50" w:after="120" w:afterLines="50" w:line="300" w:lineRule="auto"/>
        <w:ind w:firstLine="551" w:firstLineChars="196"/>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第</w:t>
      </w:r>
      <w:r>
        <w:rPr>
          <w:b/>
          <w:color w:val="000000" w:themeColor="text1"/>
          <w:sz w:val="28"/>
          <w:szCs w:val="28"/>
          <w14:textFill>
            <w14:solidFill>
              <w14:schemeClr w14:val="tx1"/>
            </w14:solidFill>
          </w14:textFill>
        </w:rPr>
        <w:t>2</w:t>
      </w:r>
      <w:r>
        <w:rPr>
          <w:rFonts w:hint="eastAsia"/>
          <w:b/>
          <w:color w:val="000000" w:themeColor="text1"/>
          <w:sz w:val="28"/>
          <w:szCs w:val="28"/>
          <w14:textFill>
            <w14:solidFill>
              <w14:schemeClr w14:val="tx1"/>
            </w14:solidFill>
          </w14:textFill>
        </w:rPr>
        <w:t>条发包人</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2.1</w:t>
      </w:r>
      <w:r>
        <w:rPr>
          <w:rFonts w:hint="eastAsia"/>
          <w:b/>
          <w:color w:val="000000" w:themeColor="text1"/>
          <w:sz w:val="24"/>
          <w14:textFill>
            <w14:solidFill>
              <w14:schemeClr w14:val="tx1"/>
            </w14:solidFill>
          </w14:textFill>
        </w:rPr>
        <w:t>发包人的主要权利和义务</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2.1.1  负责办理项目的审批、核准或备案手续，取得项目用地的使用权，完成拆迁补偿工作，使项目具备法律规定的及合同约定的开工条件，并提供立项文件</w:t>
      </w:r>
      <w:r>
        <w:rPr>
          <w:color w:val="000000" w:themeColor="text1"/>
          <w:sz w:val="24"/>
          <w14:textFill>
            <w14:solidFill>
              <w14:schemeClr w14:val="tx1"/>
            </w14:solidFill>
          </w14:textFill>
        </w:rPr>
        <w:t>。</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2.1.2  履行合同中约定的合同价格调整、付款、竣工结算义务。</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2.1.3  有权按照合同约定和适用法律关于安全、质量、环境保护和职业健康等强制性标准、规范的规定，对承包人的设计、采购、施工、竣工试验等实施工作提议、修改和变更，但不得违反国家强制性标准、规范的规定。</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2.1.4  有权根据合同约定，对因承包人原因给发包人带来的任何损失和损害，提出赔偿。</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2.1.5  发包人认为必要时，有权以书面形式发出暂停通知</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其中，因发包人原因造成的暂停，给承包人造成的费用增加由发包人承担，造成关键路径延误的，竣工日期相应顺延</w:t>
      </w:r>
      <w:r>
        <w:rPr>
          <w:color w:val="000000" w:themeColor="text1"/>
          <w:sz w:val="24"/>
          <w14:textFill>
            <w14:solidFill>
              <w14:schemeClr w14:val="tx1"/>
            </w14:solidFill>
          </w14:textFill>
        </w:rPr>
        <w:t>。</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2.2</w:t>
      </w:r>
      <w:r>
        <w:rPr>
          <w:rFonts w:hint="eastAsia"/>
          <w:b/>
          <w:color w:val="000000" w:themeColor="text1"/>
          <w:sz w:val="24"/>
          <w14:textFill>
            <w14:solidFill>
              <w14:schemeClr w14:val="tx1"/>
            </w14:solidFill>
          </w14:textFill>
        </w:rPr>
        <w:t>发包人代表</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发包人委派代表，行使发包人委托的权利，履行发包人的义务，但发包人代表无权修改合同。发包人代表依据本合同井在其授权范回内履行其职责</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发包人代表根据合同约定的范围和事项，向承包人发出的书面通知，由其本人签字后送交项目经理</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发包人代表的姓名、职务和职责在专用条款约定。发包人决定替换其代表时，应将新任代表的姓名、职务、职权和任命时间在其到任的</w:t>
      </w:r>
      <w:r>
        <w:rPr>
          <w:color w:val="000000" w:themeColor="text1"/>
          <w:sz w:val="24"/>
          <w14:textFill>
            <w14:solidFill>
              <w14:schemeClr w14:val="tx1"/>
            </w14:solidFill>
          </w14:textFill>
        </w:rPr>
        <w:t>15</w:t>
      </w:r>
      <w:r>
        <w:rPr>
          <w:rFonts w:hint="eastAsia"/>
          <w:color w:val="000000" w:themeColor="text1"/>
          <w:sz w:val="24"/>
          <w14:textFill>
            <w14:solidFill>
              <w14:schemeClr w14:val="tx1"/>
            </w14:solidFill>
          </w14:textFill>
        </w:rPr>
        <w:t>日前，以书面形式通知承包人</w:t>
      </w:r>
      <w:r>
        <w:rPr>
          <w:color w:val="000000" w:themeColor="text1"/>
          <w:sz w:val="24"/>
          <w14:textFill>
            <w14:solidFill>
              <w14:schemeClr w14:val="tx1"/>
            </w14:solidFill>
          </w14:textFill>
        </w:rPr>
        <w:t>。</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2.3</w:t>
      </w:r>
      <w:r>
        <w:rPr>
          <w:rFonts w:hint="eastAsia"/>
          <w:b/>
          <w:color w:val="000000" w:themeColor="text1"/>
          <w:sz w:val="24"/>
          <w14:textFill>
            <w14:solidFill>
              <w14:schemeClr w14:val="tx1"/>
            </w14:solidFill>
          </w14:textFill>
        </w:rPr>
        <w:t>监理人</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2.3.1</w:t>
      </w:r>
      <w:r>
        <w:rPr>
          <w:rFonts w:hint="eastAsia"/>
          <w:color w:val="000000" w:themeColor="text1"/>
          <w:sz w:val="24"/>
          <w14:textFill>
            <w14:solidFill>
              <w14:schemeClr w14:val="tx1"/>
            </w14:solidFill>
          </w14:textFill>
        </w:rPr>
        <w:t>发包人对工程实行监理的，监理人的名称、工程总监、监理范围、内容和权限在专用条款中写明。</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监理人按发包人委托监理的范围、内容、职权利权限，代表发包人对承包人实施监督</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监理人向承包人发出的通知，以书面形式由工程总监签字后送交承包人实施，并抄送发包人</w:t>
      </w:r>
      <w:r>
        <w:rPr>
          <w:color w:val="000000" w:themeColor="text1"/>
          <w:sz w:val="24"/>
          <w14:textFill>
            <w14:solidFill>
              <w14:schemeClr w14:val="tx1"/>
            </w14:solidFill>
          </w14:textFill>
        </w:rPr>
        <w:t>。</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2.3.2  工程总监的职权与发包人代表的职权相重叠或不明确时，由发包人予以协调和明确，并以书面形式通知承包人。</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2.3.3  除专用条款另有约定外，工程总监无权改变本合同当事人的任何权利和义务</w:t>
      </w:r>
      <w:r>
        <w:rPr>
          <w:color w:val="000000" w:themeColor="text1"/>
          <w:sz w:val="24"/>
          <w14:textFill>
            <w14:solidFill>
              <w14:schemeClr w14:val="tx1"/>
            </w14:solidFill>
          </w14:textFill>
        </w:rPr>
        <w:t>。</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2.3.4  发包人更换工程总监时，应提前</w:t>
      </w:r>
      <w:r>
        <w:rPr>
          <w:color w:val="000000" w:themeColor="text1"/>
          <w:sz w:val="24"/>
          <w14:textFill>
            <w14:solidFill>
              <w14:schemeClr w14:val="tx1"/>
            </w14:solidFill>
          </w14:textFill>
        </w:rPr>
        <w:t xml:space="preserve"> 5</w:t>
      </w:r>
      <w:r>
        <w:rPr>
          <w:rFonts w:hint="eastAsia"/>
          <w:color w:val="000000" w:themeColor="text1"/>
          <w:sz w:val="24"/>
          <w14:textFill>
            <w14:solidFill>
              <w14:schemeClr w14:val="tx1"/>
            </w14:solidFill>
          </w14:textFill>
        </w:rPr>
        <w:t>日以书面形式通知承包人，并在通知中写明替换者的姓名、职务、职权、权限和任命时间</w:t>
      </w:r>
      <w:r>
        <w:rPr>
          <w:color w:val="000000" w:themeColor="text1"/>
          <w:sz w:val="24"/>
          <w14:textFill>
            <w14:solidFill>
              <w14:schemeClr w14:val="tx1"/>
            </w14:solidFill>
          </w14:textFill>
        </w:rPr>
        <w:t>。</w:t>
      </w:r>
    </w:p>
    <w:p>
      <w:pPr>
        <w:wordWrap w:val="0"/>
        <w:spacing w:before="120" w:beforeLines="50" w:after="120" w:afterLines="50" w:line="300" w:lineRule="auto"/>
        <w:ind w:firstLine="361" w:firstLineChars="150"/>
        <w:rPr>
          <w:b/>
          <w:color w:val="000000" w:themeColor="text1"/>
          <w:sz w:val="24"/>
          <w14:textFill>
            <w14:solidFill>
              <w14:schemeClr w14:val="tx1"/>
            </w14:solidFill>
          </w14:textFill>
        </w:rPr>
      </w:pPr>
      <w:r>
        <w:rPr>
          <w:b/>
          <w:color w:val="000000" w:themeColor="text1"/>
          <w:sz w:val="24"/>
          <w14:textFill>
            <w14:solidFill>
              <w14:schemeClr w14:val="tx1"/>
            </w14:solidFill>
          </w14:textFill>
        </w:rPr>
        <w:t>2.4</w:t>
      </w:r>
      <w:r>
        <w:rPr>
          <w:rFonts w:hint="eastAsia"/>
          <w:b/>
          <w:color w:val="000000" w:themeColor="text1"/>
          <w:sz w:val="24"/>
          <w14:textFill>
            <w14:solidFill>
              <w14:schemeClr w14:val="tx1"/>
            </w14:solidFill>
          </w14:textFill>
        </w:rPr>
        <w:t>安全保证</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2.4.1</w:t>
      </w:r>
      <w:r>
        <w:rPr>
          <w:rFonts w:hint="eastAsia"/>
          <w:color w:val="000000" w:themeColor="text1"/>
          <w:sz w:val="24"/>
          <w14:textFill>
            <w14:solidFill>
              <w14:schemeClr w14:val="tx1"/>
            </w14:solidFill>
          </w14:textFill>
        </w:rPr>
        <w:t>除专用条款另有约定外，发包人应负责协调处理施工现场周围的地下、地上已有设施和邻近建筑物、构筑物、古树名本、文物及坟墓等的安全保护工作，维护现场周围的正常秩序，并承担相关费用</w:t>
      </w:r>
      <w:r>
        <w:rPr>
          <w:color w:val="000000" w:themeColor="text1"/>
          <w:sz w:val="24"/>
          <w14:textFill>
            <w14:solidFill>
              <w14:schemeClr w14:val="tx1"/>
            </w14:solidFill>
          </w14:textFill>
        </w:rPr>
        <w:t>。</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2.4.2</w:t>
      </w:r>
      <w:r>
        <w:rPr>
          <w:rFonts w:hint="eastAsia"/>
          <w:color w:val="000000" w:themeColor="text1"/>
          <w:sz w:val="24"/>
          <w14:textFill>
            <w14:solidFill>
              <w14:schemeClr w14:val="tx1"/>
            </w14:solidFill>
          </w14:textFill>
        </w:rPr>
        <w:t>除专用条款另有约定外，发包人应负货对工程现场临近发包人正在使用、运行、或由发包人用于生产的建筑物、构筑物、生产装置、设施、设备等，设置隔离设施，竖立禁止入内、禁止动火的明显标志，判以书面形式通知承包人须遵守的安全规定和位置范围。因发包人的原因给承包人造成的损失和伤害，由发包人负责</w:t>
      </w:r>
      <w:r>
        <w:rPr>
          <w:color w:val="000000" w:themeColor="text1"/>
          <w:sz w:val="24"/>
          <w14:textFill>
            <w14:solidFill>
              <w14:schemeClr w14:val="tx1"/>
            </w14:solidFill>
          </w14:textFill>
        </w:rPr>
        <w:t>。</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2.4.3</w:t>
      </w:r>
      <w:r>
        <w:rPr>
          <w:rFonts w:hint="eastAsia"/>
          <w:color w:val="000000" w:themeColor="text1"/>
          <w:sz w:val="24"/>
          <w14:textFill>
            <w14:solidFill>
              <w14:schemeClr w14:val="tx1"/>
            </w14:solidFill>
          </w14:textFill>
        </w:rPr>
        <w:t>本合同未作约定，而在工程主体结构或工程主要装置完成后，发包人要求进行涉及建筑主体及承重结构变动、或涉及重大工艺变化的装修工程时，双方可另行签订委托合同，作为本合同附件。</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发包人自行决定此类装修或发包人与第三方签订委托合同，由发包人或发包人另行委托的第三方提出设计方案及施工的，由此造成的损失、损害由发包人负责</w:t>
      </w:r>
      <w:r>
        <w:rPr>
          <w:color w:val="000000" w:themeColor="text1"/>
          <w:sz w:val="24"/>
          <w14:textFill>
            <w14:solidFill>
              <w14:schemeClr w14:val="tx1"/>
            </w14:solidFill>
          </w14:textFill>
        </w:rPr>
        <w:t>.</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2.4.4</w:t>
      </w:r>
      <w:r>
        <w:rPr>
          <w:rFonts w:hint="eastAsia"/>
          <w:color w:val="000000" w:themeColor="text1"/>
          <w:sz w:val="24"/>
          <w14:textFill>
            <w14:solidFill>
              <w14:schemeClr w14:val="tx1"/>
            </w14:solidFill>
          </w14:textFill>
        </w:rPr>
        <w:t>发包人负责对其代表、雇员、监理人及其委托的其它人员进行安全教育，并遵守承包人工程现场的安全规定。承包人应在工程现场以标牌明示相关安全规定，或将安全规定发送给发包人。因发包人的代表、雇员、监理人及其委托的其它人员未能遵守承包人工程现场的安全规定所发生的人身伤害、安全事故，由发包人负责。</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2.4.5  发包人、发包人代表、雇员、监理人及其委托的其它人员应遵守7.8款健康、安全和环境保护的相关约定。</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2.5</w:t>
      </w:r>
      <w:r>
        <w:rPr>
          <w:rFonts w:hint="eastAsia"/>
          <w:b/>
          <w:color w:val="000000" w:themeColor="text1"/>
          <w:sz w:val="24"/>
          <w14:textFill>
            <w14:solidFill>
              <w14:schemeClr w14:val="tx1"/>
            </w14:solidFill>
          </w14:textFill>
        </w:rPr>
        <w:t>保安责任</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2.5.1</w:t>
      </w:r>
      <w:r>
        <w:rPr>
          <w:rFonts w:hint="eastAsia"/>
          <w:color w:val="000000" w:themeColor="text1"/>
          <w:sz w:val="24"/>
          <w14:textFill>
            <w14:solidFill>
              <w14:schemeClr w14:val="tx1"/>
            </w14:solidFill>
          </w14:textFill>
        </w:rPr>
        <w:t>现场保安工作的责任主体由专用条款约定。承担现场保安工作的方负责与当地有关治安部门的联系、沟通和协调，并承担所发生的相关费用。</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2.5.2  </w:t>
      </w:r>
      <w:r>
        <w:rPr>
          <w:color w:val="000000" w:themeColor="text1"/>
          <w:sz w:val="24"/>
          <w14:textFill>
            <w14:solidFill>
              <w14:schemeClr w14:val="tx1"/>
            </w14:solidFill>
          </w14:textFill>
        </w:rPr>
        <w:t>发包人</w:t>
      </w:r>
      <w:r>
        <w:rPr>
          <w:rFonts w:hint="eastAsia"/>
          <w:color w:val="000000" w:themeColor="text1"/>
          <w:sz w:val="24"/>
          <w14:textFill>
            <w14:solidFill>
              <w14:schemeClr w14:val="tx1"/>
            </w14:solidFill>
          </w14:textFill>
        </w:rPr>
        <w:t>与承包人商定工程</w:t>
      </w:r>
      <w:r>
        <w:rPr>
          <w:color w:val="000000" w:themeColor="text1"/>
          <w:sz w:val="24"/>
          <w14:textFill>
            <w14:solidFill>
              <w14:schemeClr w14:val="tx1"/>
            </w14:solidFill>
          </w14:textFill>
        </w:rPr>
        <w:t>实施阶段</w:t>
      </w:r>
      <w:r>
        <w:rPr>
          <w:rFonts w:hint="eastAsia"/>
          <w:color w:val="000000" w:themeColor="text1"/>
          <w:sz w:val="24"/>
          <w14:textFill>
            <w14:solidFill>
              <w14:schemeClr w14:val="tx1"/>
            </w14:solidFill>
          </w14:textFill>
        </w:rPr>
        <w:t>及区域</w:t>
      </w:r>
      <w:r>
        <w:rPr>
          <w:color w:val="000000" w:themeColor="text1"/>
          <w:sz w:val="24"/>
          <w14:textFill>
            <w14:solidFill>
              <w14:schemeClr w14:val="tx1"/>
            </w14:solidFill>
          </w14:textFill>
        </w:rPr>
        <w:t>的保安责任划分</w:t>
      </w:r>
      <w:r>
        <w:rPr>
          <w:rFonts w:hint="eastAsia"/>
          <w:color w:val="000000" w:themeColor="text1"/>
          <w:sz w:val="24"/>
          <w14:textFill>
            <w14:solidFill>
              <w14:schemeClr w14:val="tx1"/>
            </w14:solidFill>
          </w14:textFill>
        </w:rPr>
        <w:t>，并</w:t>
      </w:r>
      <w:r>
        <w:rPr>
          <w:color w:val="000000" w:themeColor="text1"/>
          <w:sz w:val="24"/>
          <w14:textFill>
            <w14:solidFill>
              <w14:schemeClr w14:val="tx1"/>
            </w14:solidFill>
          </w14:textFill>
        </w:rPr>
        <w:t>编制</w:t>
      </w:r>
      <w:r>
        <w:rPr>
          <w:rFonts w:hint="eastAsia"/>
          <w:color w:val="000000" w:themeColor="text1"/>
          <w:sz w:val="24"/>
          <w14:textFill>
            <w14:solidFill>
              <w14:schemeClr w14:val="tx1"/>
            </w14:solidFill>
          </w14:textFill>
        </w:rPr>
        <w:t>各自的</w:t>
      </w:r>
      <w:r>
        <w:rPr>
          <w:color w:val="000000" w:themeColor="text1"/>
          <w:sz w:val="24"/>
          <w14:textFill>
            <w14:solidFill>
              <w14:schemeClr w14:val="tx1"/>
            </w14:solidFill>
          </w14:textFill>
        </w:rPr>
        <w:t>相关保安制度、责任制度和报告制度</w:t>
      </w:r>
      <w:r>
        <w:rPr>
          <w:rFonts w:hint="eastAsia"/>
          <w:color w:val="000000" w:themeColor="text1"/>
          <w:sz w:val="24"/>
          <w14:textFill>
            <w14:solidFill>
              <w14:schemeClr w14:val="tx1"/>
            </w14:solidFill>
          </w14:textFill>
        </w:rPr>
        <w:t>，作为合同附件。</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2.5.3  </w:t>
      </w:r>
      <w:r>
        <w:rPr>
          <w:color w:val="000000" w:themeColor="text1"/>
          <w:sz w:val="24"/>
          <w14:textFill>
            <w14:solidFill>
              <w14:schemeClr w14:val="tx1"/>
            </w14:solidFill>
          </w14:textFill>
        </w:rPr>
        <w:t>发包人</w:t>
      </w:r>
      <w:r>
        <w:rPr>
          <w:rFonts w:hint="eastAsia"/>
          <w:color w:val="000000" w:themeColor="text1"/>
          <w:sz w:val="24"/>
          <w14:textFill>
            <w14:solidFill>
              <w14:schemeClr w14:val="tx1"/>
            </w14:solidFill>
          </w14:textFill>
        </w:rPr>
        <w:t>按合同约定</w:t>
      </w:r>
      <w:r>
        <w:rPr>
          <w:color w:val="000000" w:themeColor="text1"/>
          <w:sz w:val="24"/>
          <w14:textFill>
            <w14:solidFill>
              <w14:schemeClr w14:val="tx1"/>
            </w14:solidFill>
          </w14:textFill>
        </w:rPr>
        <w:t>占用的区域、接收的单项工程和工程，由发包人承担相关保安</w:t>
      </w:r>
      <w:r>
        <w:rPr>
          <w:rFonts w:hint="eastAsia"/>
          <w:color w:val="000000" w:themeColor="text1"/>
          <w:sz w:val="24"/>
          <w14:textFill>
            <w14:solidFill>
              <w14:schemeClr w14:val="tx1"/>
            </w14:solidFill>
          </w14:textFill>
        </w:rPr>
        <w:t>工作，及因此产生的费用、损害</w:t>
      </w:r>
      <w:r>
        <w:rPr>
          <w:color w:val="000000" w:themeColor="text1"/>
          <w:sz w:val="24"/>
          <w14:textFill>
            <w14:solidFill>
              <w14:schemeClr w14:val="tx1"/>
            </w14:solidFill>
          </w14:textFill>
        </w:rPr>
        <w:t>和责任。</w:t>
      </w:r>
    </w:p>
    <w:p>
      <w:pPr>
        <w:wordWrap w:val="0"/>
        <w:spacing w:before="120" w:beforeLines="50" w:after="120" w:afterLines="50" w:line="300" w:lineRule="auto"/>
        <w:ind w:firstLine="562" w:firstLineChars="200"/>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第</w:t>
      </w:r>
      <w:r>
        <w:rPr>
          <w:b/>
          <w:color w:val="000000" w:themeColor="text1"/>
          <w:sz w:val="28"/>
          <w:szCs w:val="28"/>
          <w14:textFill>
            <w14:solidFill>
              <w14:schemeClr w14:val="tx1"/>
            </w14:solidFill>
          </w14:textFill>
        </w:rPr>
        <w:t>3</w:t>
      </w:r>
      <w:r>
        <w:rPr>
          <w:rFonts w:hint="eastAsia"/>
          <w:b/>
          <w:color w:val="000000" w:themeColor="text1"/>
          <w:sz w:val="28"/>
          <w:szCs w:val="28"/>
          <w14:textFill>
            <w14:solidFill>
              <w14:schemeClr w14:val="tx1"/>
            </w14:solidFill>
          </w14:textFill>
        </w:rPr>
        <w:t>条承包人</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3.1</w:t>
      </w:r>
      <w:r>
        <w:rPr>
          <w:rFonts w:hint="eastAsia"/>
          <w:b/>
          <w:color w:val="000000" w:themeColor="text1"/>
          <w:sz w:val="24"/>
          <w14:textFill>
            <w14:solidFill>
              <w14:schemeClr w14:val="tx1"/>
            </w14:solidFill>
          </w14:textFill>
        </w:rPr>
        <w:t>承包人的主要权利和义务</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3.1.1</w:t>
      </w:r>
      <w:r>
        <w:rPr>
          <w:rFonts w:hint="eastAsia"/>
          <w:color w:val="000000" w:themeColor="text1"/>
          <w:sz w:val="24"/>
          <w14:textFill>
            <w14:solidFill>
              <w14:schemeClr w14:val="tx1"/>
            </w14:solidFill>
          </w14:textFill>
        </w:rPr>
        <w:t>承包人应按照合同约定的标准、规范、工程的功能、规模、考核目标和竣工日期，完成设计、采购、施工、竣工试验和</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或）指导竣工后试验等工作，不得违反国家强制性标准、规范的规定。</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本工程的具体承包范围，应依据合同协议书第一项“工程概况”中有关“工程承包范围”的约定。</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3.1.</w:t>
      </w:r>
      <w:r>
        <w:rPr>
          <w:rFonts w:hint="eastAsia"/>
          <w:color w:val="000000" w:themeColor="text1"/>
          <w:sz w:val="24"/>
          <w14:textFill>
            <w14:solidFill>
              <w14:schemeClr w14:val="tx1"/>
            </w14:solidFill>
          </w14:textFill>
        </w:rPr>
        <w:t>2  承包人应按合同约定，自费修复因承包人原因引起的设计、文件、设备、材料、部件、施工中存在的缺陷、或在竣工试验和竣工后试验中发现的缺陷。</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3.1.</w:t>
      </w:r>
      <w:r>
        <w:rPr>
          <w:rFonts w:hint="eastAsia"/>
          <w:color w:val="000000" w:themeColor="text1"/>
          <w:sz w:val="24"/>
          <w14:textFill>
            <w14:solidFill>
              <w14:schemeClr w14:val="tx1"/>
            </w14:solidFill>
          </w14:textFill>
        </w:rPr>
        <w:t>3  承包人应按合同约定和发包人的要求，提交相关报表。报表的类别、名称、内容、报告期、提交时间和份数，在专用条款中约定。</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3.1.4  承包人有权根据4.6.4款承包人的复工要求、</w:t>
      </w:r>
      <w:r>
        <w:rPr>
          <w:color w:val="000000" w:themeColor="text1"/>
          <w:sz w:val="24"/>
          <w14:textFill>
            <w14:solidFill>
              <w14:schemeClr w14:val="tx1"/>
            </w14:solidFill>
          </w14:textFill>
        </w:rPr>
        <w:t>14</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9</w:t>
      </w:r>
      <w:r>
        <w:rPr>
          <w:rFonts w:hint="eastAsia"/>
          <w:color w:val="000000" w:themeColor="text1"/>
          <w:sz w:val="24"/>
          <w14:textFill>
            <w14:solidFill>
              <w14:schemeClr w14:val="tx1"/>
            </w14:solidFill>
          </w14:textFill>
        </w:rPr>
        <w:t>款付款时间延误和</w:t>
      </w:r>
      <w:r>
        <w:rPr>
          <w:color w:val="000000" w:themeColor="text1"/>
          <w:sz w:val="24"/>
          <w14:textFill>
            <w14:solidFill>
              <w14:schemeClr w14:val="tx1"/>
            </w14:solidFill>
          </w14:textFill>
        </w:rPr>
        <w:t>17</w:t>
      </w:r>
      <w:r>
        <w:rPr>
          <w:rFonts w:hint="eastAsia"/>
          <w:color w:val="000000" w:themeColor="text1"/>
          <w:sz w:val="24"/>
          <w14:textFill>
            <w14:solidFill>
              <w14:schemeClr w14:val="tx1"/>
            </w14:solidFill>
          </w14:textFill>
        </w:rPr>
        <w:t>条不可抗力的约定，以书面形式向发包人发出暂停迫知。除此之外，凡因承包人原因的暂停，造成承包人的费用增加由其自负，造成关键路径延误的应自费赶上</w:t>
      </w:r>
      <w:r>
        <w:rPr>
          <w:color w:val="000000" w:themeColor="text1"/>
          <w:sz w:val="24"/>
          <w14:textFill>
            <w14:solidFill>
              <w14:schemeClr w14:val="tx1"/>
            </w14:solidFill>
          </w14:textFill>
        </w:rPr>
        <w:t>。</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3.1.5  对因发包人原因给承包人带来任何损失、损失或造成工程关键路径延误的，承包人有权要求赔偿和（或）延长竣工日期</w:t>
      </w:r>
      <w:r>
        <w:rPr>
          <w:color w:val="000000" w:themeColor="text1"/>
          <w:sz w:val="24"/>
          <w14:textFill>
            <w14:solidFill>
              <w14:schemeClr w14:val="tx1"/>
            </w14:solidFill>
          </w14:textFill>
        </w:rPr>
        <w:t>。</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3.2</w:t>
      </w:r>
      <w:r>
        <w:rPr>
          <w:rFonts w:hint="eastAsia"/>
          <w:b/>
          <w:color w:val="000000" w:themeColor="text1"/>
          <w:sz w:val="24"/>
          <w14:textFill>
            <w14:solidFill>
              <w14:schemeClr w14:val="tx1"/>
            </w14:solidFill>
          </w14:textFill>
        </w:rPr>
        <w:t>项目经理</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3.2.1</w:t>
      </w:r>
      <w:r>
        <w:rPr>
          <w:rFonts w:hint="eastAsia"/>
          <w:color w:val="000000" w:themeColor="text1"/>
          <w:sz w:val="24"/>
          <w14:textFill>
            <w14:solidFill>
              <w14:schemeClr w14:val="tx1"/>
            </w14:solidFill>
          </w14:textFill>
        </w:rPr>
        <w:t>项目经理，应是当事人双方所确认的人选</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项目经理经授权并代表承包人负责履行本合同</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项目经理的姓名、职责和权限在专用条款中约定。</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项目经理应是承包人的员工，承包人应在合同生效后</w:t>
      </w:r>
      <w:r>
        <w:rPr>
          <w:color w:val="000000" w:themeColor="text1"/>
          <w:sz w:val="24"/>
          <w14:textFill>
            <w14:solidFill>
              <w14:schemeClr w14:val="tx1"/>
            </w14:solidFill>
          </w14:textFill>
        </w:rPr>
        <w:t>10</w:t>
      </w:r>
      <w:r>
        <w:rPr>
          <w:rFonts w:hint="eastAsia"/>
          <w:color w:val="000000" w:themeColor="text1"/>
          <w:sz w:val="24"/>
          <w14:textFill>
            <w14:solidFill>
              <w14:schemeClr w14:val="tx1"/>
            </w14:solidFill>
          </w14:textFill>
        </w:rPr>
        <w:t>日内向发包人提交项目经理与承包人之间的劳动合同，以及承包人为项目经理缴纳社会保险的有效证明，承包人不提交上述文件的，项目经理无权履行职责，由此影响工程进度或发生其它问题的，由承包人承担责任</w:t>
      </w:r>
      <w:r>
        <w:rPr>
          <w:color w:val="000000" w:themeColor="text1"/>
          <w:sz w:val="24"/>
          <w14:textFill>
            <w14:solidFill>
              <w14:schemeClr w14:val="tx1"/>
            </w14:solidFill>
          </w14:textFill>
        </w:rPr>
        <w:t>。</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项目经理应常驻项目现场，且每月在现场时间不得少于专用条款约定的天数</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项目经理不得同时担任其它项目的项目经理</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项目经理确需离开项目现场时应事先取得发包人同意，并指定一名有经验的人员临时代行其职责</w:t>
      </w:r>
      <w:r>
        <w:rPr>
          <w:color w:val="000000" w:themeColor="text1"/>
          <w:sz w:val="24"/>
          <w14:textFill>
            <w14:solidFill>
              <w14:schemeClr w14:val="tx1"/>
            </w14:solidFill>
          </w14:textFill>
        </w:rPr>
        <w:t>。</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承包人违反上述约定的，按照专用条款的约定，承担违约责任</w:t>
      </w:r>
      <w:r>
        <w:rPr>
          <w:color w:val="000000" w:themeColor="text1"/>
          <w:sz w:val="24"/>
          <w14:textFill>
            <w14:solidFill>
              <w14:schemeClr w14:val="tx1"/>
            </w14:solidFill>
          </w14:textFill>
        </w:rPr>
        <w:t>。</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3.2.</w:t>
      </w:r>
      <w:r>
        <w:rPr>
          <w:rFonts w:hint="eastAsia"/>
          <w:color w:val="000000" w:themeColor="text1"/>
          <w:sz w:val="24"/>
          <w14:textFill>
            <w14:solidFill>
              <w14:schemeClr w14:val="tx1"/>
            </w14:solidFill>
          </w14:textFill>
        </w:rPr>
        <w:t>2  项目经理按合同约定的项目进度计划，并按发包人代表和</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或</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工程总监依据合同发出的指令组织项目实施。在紧急情况下，且无法与发包人代表和</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或</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工程总监取得联系时，项目经理有权采取必要的措施保证人身、工程和财产的安全，但须在事后</w:t>
      </w:r>
      <w:r>
        <w:rPr>
          <w:color w:val="000000" w:themeColor="text1"/>
          <w:sz w:val="24"/>
          <w14:textFill>
            <w14:solidFill>
              <w14:schemeClr w14:val="tx1"/>
            </w14:solidFill>
          </w14:textFill>
        </w:rPr>
        <w:t>48</w:t>
      </w:r>
      <w:r>
        <w:rPr>
          <w:rFonts w:hint="eastAsia"/>
          <w:color w:val="000000" w:themeColor="text1"/>
          <w:sz w:val="24"/>
          <w14:textFill>
            <w14:solidFill>
              <w14:schemeClr w14:val="tx1"/>
            </w14:solidFill>
          </w14:textFill>
        </w:rPr>
        <w:t>小时内向发包人代表和</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或</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工程总监送交书面报告。</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3.2.</w:t>
      </w:r>
      <w:r>
        <w:rPr>
          <w:rFonts w:hint="eastAsia"/>
          <w:color w:val="000000" w:themeColor="text1"/>
          <w:sz w:val="24"/>
          <w14:textFill>
            <w14:solidFill>
              <w14:schemeClr w14:val="tx1"/>
            </w14:solidFill>
          </w14:textFill>
        </w:rPr>
        <w:t>3  承包人部更换项目经理时，提前</w:t>
      </w:r>
      <w:r>
        <w:rPr>
          <w:color w:val="000000" w:themeColor="text1"/>
          <w:sz w:val="24"/>
          <w14:textFill>
            <w14:solidFill>
              <w14:schemeClr w14:val="tx1"/>
            </w14:solidFill>
          </w14:textFill>
        </w:rPr>
        <w:t xml:space="preserve"> 15</w:t>
      </w:r>
      <w:r>
        <w:rPr>
          <w:rFonts w:hint="eastAsia"/>
          <w:color w:val="000000" w:themeColor="text1"/>
          <w:sz w:val="24"/>
          <w14:textFill>
            <w14:solidFill>
              <w14:schemeClr w14:val="tx1"/>
            </w14:solidFill>
          </w14:textFill>
        </w:rPr>
        <w:t>日以书面形式通知发包人，并征得发包人的同意，继任的项目经理须继续履行第3.2.1款约定的职责和权限</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未经发包人同意，承包人不得擅自更换项目经理</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承包人擅自更换项目经理的，按专用条款的约定，承担违约责任。</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3.2.</w:t>
      </w:r>
      <w:r>
        <w:rPr>
          <w:rFonts w:hint="eastAsia"/>
          <w:color w:val="000000" w:themeColor="text1"/>
          <w:sz w:val="24"/>
          <w14:textFill>
            <w14:solidFill>
              <w14:schemeClr w14:val="tx1"/>
            </w14:solidFill>
          </w14:textFill>
        </w:rPr>
        <w:t>4  发包人有权以书而形式通知更换其认为不称职的项目经理，应说明更换因由，承包人应在接到更换通知后</w:t>
      </w:r>
      <w:r>
        <w:rPr>
          <w:color w:val="000000" w:themeColor="text1"/>
          <w:sz w:val="24"/>
          <w14:textFill>
            <w14:solidFill>
              <w14:schemeClr w14:val="tx1"/>
            </w14:solidFill>
          </w14:textFill>
        </w:rPr>
        <w:t>15</w:t>
      </w:r>
      <w:r>
        <w:rPr>
          <w:rFonts w:hint="eastAsia"/>
          <w:color w:val="000000" w:themeColor="text1"/>
          <w:sz w:val="24"/>
          <w14:textFill>
            <w14:solidFill>
              <w14:schemeClr w14:val="tx1"/>
            </w14:solidFill>
          </w14:textFill>
        </w:rPr>
        <w:t>日内向发包人提出书面的改进报告。发包人收到改进报告后仍以书面形式通知更换的，承包人应在接到第二次更换通知后的</w:t>
      </w:r>
      <w:r>
        <w:rPr>
          <w:color w:val="000000" w:themeColor="text1"/>
          <w:sz w:val="24"/>
          <w14:textFill>
            <w14:solidFill>
              <w14:schemeClr w14:val="tx1"/>
            </w14:solidFill>
          </w14:textFill>
        </w:rPr>
        <w:t>30</w:t>
      </w:r>
      <w:r>
        <w:rPr>
          <w:rFonts w:hint="eastAsia"/>
          <w:color w:val="000000" w:themeColor="text1"/>
          <w:sz w:val="24"/>
          <w14:textFill>
            <w14:solidFill>
              <w14:schemeClr w14:val="tx1"/>
            </w14:solidFill>
          </w14:textFill>
        </w:rPr>
        <w:t>日内进行更换，并将新任命的项目经理的姓名、简历以书面形式通知发包人</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新任项目经理继续履行第3.2.1款约定的职责和权限</w:t>
      </w:r>
      <w:r>
        <w:rPr>
          <w:color w:val="000000" w:themeColor="text1"/>
          <w:sz w:val="24"/>
          <w14:textFill>
            <w14:solidFill>
              <w14:schemeClr w14:val="tx1"/>
            </w14:solidFill>
          </w14:textFill>
        </w:rPr>
        <w:t>。</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3.</w:t>
      </w:r>
      <w:r>
        <w:rPr>
          <w:rFonts w:hint="eastAsia"/>
          <w:b/>
          <w:color w:val="000000" w:themeColor="text1"/>
          <w:sz w:val="24"/>
          <w14:textFill>
            <w14:solidFill>
              <w14:schemeClr w14:val="tx1"/>
            </w14:solidFill>
          </w14:textFill>
        </w:rPr>
        <w:t>3  工程质量保证</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应按合同约定的质量标准规范，确保设计、采购、加工制造、施工、竣工试验等各项工作的质量，建立有效的质量保证体系，并按照国家有关规定，通过质量保修责任书的形式约定保修范固、保修期限和保修责任</w:t>
      </w:r>
      <w:r>
        <w:rPr>
          <w:color w:val="000000" w:themeColor="text1"/>
          <w:sz w:val="24"/>
          <w14:textFill>
            <w14:solidFill>
              <w14:schemeClr w14:val="tx1"/>
            </w14:solidFill>
          </w14:textFill>
        </w:rPr>
        <w:t>。</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3.</w:t>
      </w:r>
      <w:r>
        <w:rPr>
          <w:rFonts w:hint="eastAsia"/>
          <w:b/>
          <w:color w:val="000000" w:themeColor="text1"/>
          <w:sz w:val="24"/>
          <w14:textFill>
            <w14:solidFill>
              <w14:schemeClr w14:val="tx1"/>
            </w14:solidFill>
          </w14:textFill>
        </w:rPr>
        <w:t>4  安全保证</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4</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1  工程安全性能</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承包人应按照合同约定和国家有关安全生严的法律规定，进行设计、采购、施工、竣工试验，保证工程的安全性能，</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4</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2  安全施工</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承包人应遵守7.8款职业健康、安全和环境保护的约定。</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3.4.3  因承包人未遵守发包人按</w:t>
      </w:r>
      <w:r>
        <w:rPr>
          <w:color w:val="000000" w:themeColor="text1"/>
          <w:sz w:val="24"/>
          <w14:textFill>
            <w14:solidFill>
              <w14:schemeClr w14:val="tx1"/>
            </w14:solidFill>
          </w14:textFill>
        </w:rPr>
        <w:t xml:space="preserve">2.4.2 </w:t>
      </w:r>
      <w:r>
        <w:rPr>
          <w:rFonts w:hint="eastAsia"/>
          <w:color w:val="000000" w:themeColor="text1"/>
          <w:sz w:val="24"/>
          <w14:textFill>
            <w14:solidFill>
              <w14:schemeClr w14:val="tx1"/>
            </w14:solidFill>
          </w14:textFill>
        </w:rPr>
        <w:t>款通知的安全规定和位置范围限定所造成的损失和伤害，由承包人负责。</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3.4.4  承包人全面负责其施工场地的安全管理，保障所有进入施工场地的人员的安全。因承包人原因所发生的人身伤害、安全事故，由承包人负责。</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3.</w:t>
      </w:r>
      <w:r>
        <w:rPr>
          <w:rFonts w:hint="eastAsia"/>
          <w:b/>
          <w:color w:val="000000" w:themeColor="text1"/>
          <w:sz w:val="24"/>
          <w14:textFill>
            <w14:solidFill>
              <w14:schemeClr w14:val="tx1"/>
            </w14:solidFill>
          </w14:textFill>
        </w:rPr>
        <w:t>5  职业健康和环境保护保证</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3.5.1  工程设计</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应按照合同约定，并遵照《建设工程勘察设计管理条例》、《建设工程环境保护条例》及其它相关法律规定进行工程的环境保护设计及职业健康防护设计，保证工程符合环统保护和职业健康相关法律和标准规定。</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5</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职业健康和环境保护</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承包人应遵守7.8款职业健康、安全和环境保护的约定。</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3.6  进度保证</w:t>
      </w:r>
    </w:p>
    <w:p>
      <w:pPr>
        <w:wordWrap w:val="0"/>
        <w:spacing w:before="120" w:beforeLines="50" w:after="120" w:afterLines="50"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承包人按4.1款约定的项目进度计划，合理有序地组织设计、采购、施工、竣工试验所需要的各类资源，以及派出有经验的竣工后试验的指导人员，采用有效的实施方法和组织措施，保证项目进度计划的实现。</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3.7  现场保安</w:t>
      </w:r>
    </w:p>
    <w:p>
      <w:pPr>
        <w:wordWrap w:val="0"/>
        <w:spacing w:before="120" w:beforeLines="50" w:after="120" w:afterLines="50"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承包人承担其进入现场、施工开工至发包人接收单项工程和（或）工程之前的现场保安责任（含承包人的预制加工场地、办公及生活营区）。并负责编制相关的保安制度、责任制度和报告制度，提交给发包人。</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3.8  分包</w:t>
      </w:r>
    </w:p>
    <w:p>
      <w:pPr>
        <w:tabs>
          <w:tab w:val="left" w:pos="6789"/>
        </w:tabs>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3.8.1  分包约定</w:t>
      </w:r>
      <w:r>
        <w:rPr>
          <w:color w:val="000000" w:themeColor="text1"/>
          <w:sz w:val="24"/>
          <w14:textFill>
            <w14:solidFill>
              <w14:schemeClr w14:val="tx1"/>
            </w14:solidFill>
          </w14:textFill>
        </w:rPr>
        <w:tab/>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承包人只能对专用条款约定列出的工作事项（含设计、采购、施工、劳务服务、竣工试验等）进行分包。</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专用条款未列出的分包事项，承包人可在工程实施阶段分批分期就分包事项向发包人提交申请，发包人在接到分包事项申请后的</w:t>
      </w:r>
      <w:r>
        <w:rPr>
          <w:color w:val="000000" w:themeColor="text1"/>
          <w:sz w:val="24"/>
          <w14:textFill>
            <w14:solidFill>
              <w14:schemeClr w14:val="tx1"/>
            </w14:solidFill>
          </w14:textFill>
        </w:rPr>
        <w:t>15</w:t>
      </w:r>
      <w:r>
        <w:rPr>
          <w:rFonts w:hint="eastAsia"/>
          <w:color w:val="000000" w:themeColor="text1"/>
          <w:sz w:val="24"/>
          <w14:textFill>
            <w14:solidFill>
              <w14:schemeClr w14:val="tx1"/>
            </w14:solidFill>
          </w14:textFill>
        </w:rPr>
        <w:t>日内，予以批准或提出意见。发包人未能在</w:t>
      </w:r>
      <w:r>
        <w:rPr>
          <w:color w:val="000000" w:themeColor="text1"/>
          <w:sz w:val="24"/>
          <w14:textFill>
            <w14:solidFill>
              <w14:schemeClr w14:val="tx1"/>
            </w14:solidFill>
          </w14:textFill>
        </w:rPr>
        <w:t>15</w:t>
      </w:r>
      <w:r>
        <w:rPr>
          <w:rFonts w:hint="eastAsia"/>
          <w:color w:val="000000" w:themeColor="text1"/>
          <w:sz w:val="24"/>
          <w14:textFill>
            <w14:solidFill>
              <w14:schemeClr w14:val="tx1"/>
            </w14:solidFill>
          </w14:textFill>
        </w:rPr>
        <w:t>日批准亦未提出意见的，承包人有权在提交该分包事项后的第</w:t>
      </w:r>
      <w:r>
        <w:rPr>
          <w:color w:val="000000" w:themeColor="text1"/>
          <w:sz w:val="24"/>
          <w14:textFill>
            <w14:solidFill>
              <w14:schemeClr w14:val="tx1"/>
            </w14:solidFill>
          </w14:textFill>
        </w:rPr>
        <w:t xml:space="preserve">1 6 </w:t>
      </w:r>
      <w:r>
        <w:rPr>
          <w:rFonts w:hint="eastAsia"/>
          <w:color w:val="000000" w:themeColor="text1"/>
          <w:sz w:val="24"/>
          <w14:textFill>
            <w14:solidFill>
              <w14:schemeClr w14:val="tx1"/>
            </w14:solidFill>
          </w14:textFill>
        </w:rPr>
        <w:t>日开始，将提出的拟分包事项对外分包</w:t>
      </w:r>
      <w:r>
        <w:rPr>
          <w:color w:val="000000" w:themeColor="text1"/>
          <w:sz w:val="24"/>
          <w14:textFill>
            <w14:solidFill>
              <w14:schemeClr w14:val="tx1"/>
            </w14:solidFill>
          </w14:textFill>
        </w:rPr>
        <w:t>.</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8</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分包人资质</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分包人应符合国家法律规定的企业资质等级，否则不能作为分包人。承包人有义务对分包人的资质进行审查。</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3.8.3  </w:t>
      </w:r>
      <w:r>
        <w:rPr>
          <w:color w:val="000000" w:themeColor="text1"/>
          <w:sz w:val="24"/>
          <w14:textFill>
            <w14:solidFill>
              <w14:schemeClr w14:val="tx1"/>
            </w14:solidFill>
          </w14:textFill>
        </w:rPr>
        <w:t>承包人不得将承包的工程</w:t>
      </w:r>
      <w:r>
        <w:rPr>
          <w:rFonts w:hint="eastAsia"/>
          <w:color w:val="000000" w:themeColor="text1"/>
          <w:sz w:val="24"/>
          <w14:textFill>
            <w14:solidFill>
              <w14:schemeClr w14:val="tx1"/>
            </w14:solidFill>
          </w14:textFill>
        </w:rPr>
        <w:t>对外转包，也不得得以肢解方式将承包的全部工程对外分包。</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3.8.4  设计、施工和工程物资等分包人，应严格执行国家有关分包事项的管理规定。</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8</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5  对分包人的付款</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承包人应按分包合同约定，按时向分包人支付合同价款。除非专用条款另有约定外，未经承包人同意，发包人不得以任何形式向分包人支付任何款项。</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3.8.6  承包人对分包人负责</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承包人对分包人的行为向发包人负责，承包人和分包人就分包工作向发包人承担连带责任。</w:t>
      </w:r>
    </w:p>
    <w:p>
      <w:pPr>
        <w:wordWrap w:val="0"/>
        <w:spacing w:before="120" w:beforeLines="50" w:after="120" w:afterLines="50" w:line="300" w:lineRule="auto"/>
        <w:ind w:firstLine="562" w:firstLineChars="200"/>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第4条进度计划、延误和暂停</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4</w:t>
      </w:r>
      <w:r>
        <w:rPr>
          <w:b/>
          <w:color w:val="000000" w:themeColor="text1"/>
          <w:sz w:val="24"/>
          <w14:textFill>
            <w14:solidFill>
              <w14:schemeClr w14:val="tx1"/>
            </w14:solidFill>
          </w14:textFill>
        </w:rPr>
        <w:t>.1</w:t>
      </w:r>
      <w:r>
        <w:rPr>
          <w:rFonts w:hint="eastAsia"/>
          <w:b/>
          <w:color w:val="000000" w:themeColor="text1"/>
          <w:sz w:val="24"/>
          <w14:textFill>
            <w14:solidFill>
              <w14:schemeClr w14:val="tx1"/>
            </w14:solidFill>
          </w14:textFill>
        </w:rPr>
        <w:t>项目进度计划</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w:t>
      </w:r>
      <w:r>
        <w:rPr>
          <w:color w:val="000000" w:themeColor="text1"/>
          <w:sz w:val="24"/>
          <w14:textFill>
            <w14:solidFill>
              <w14:schemeClr w14:val="tx1"/>
            </w14:solidFill>
          </w14:textFill>
        </w:rPr>
        <w:t>.1.1</w:t>
      </w:r>
      <w:r>
        <w:rPr>
          <w:rFonts w:hint="eastAsia"/>
          <w:color w:val="000000" w:themeColor="text1"/>
          <w:sz w:val="24"/>
          <w14:textFill>
            <w14:solidFill>
              <w14:schemeClr w14:val="tx1"/>
            </w14:solidFill>
          </w14:textFill>
        </w:rPr>
        <w:t>项目进度计划</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承包人负责编制项目进度计划，项目进度计划中的施工期限</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含竣工试验</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，应符合合同协议书的约定。关键路径及关键路径变化的确定原则、承包人提交项目进度计划的份数和时间，在专用条款约定。</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项目进度计划经发包人批准后实施，但发包人的批准并不能减轻或免除承包人的合同责任。</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w:t>
      </w:r>
      <w:r>
        <w:rPr>
          <w:color w:val="000000" w:themeColor="text1"/>
          <w:sz w:val="24"/>
          <w14:textFill>
            <w14:solidFill>
              <w14:schemeClr w14:val="tx1"/>
            </w14:solidFill>
          </w14:textFill>
        </w:rPr>
        <w:t>.1.2</w:t>
      </w:r>
      <w:r>
        <w:rPr>
          <w:rFonts w:hint="eastAsia"/>
          <w:color w:val="000000" w:themeColor="text1"/>
          <w:sz w:val="24"/>
          <w14:textFill>
            <w14:solidFill>
              <w14:schemeClr w14:val="tx1"/>
            </w14:solidFill>
          </w14:textFill>
        </w:rPr>
        <w:t>自费赶上项目进度计划</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承包人原因使工程实际进度明显落后于项目进度计划时，承包人有义务、发包人也有权利要求承包人自费采取措施，赶上项目进度计划。</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w:t>
      </w:r>
      <w:r>
        <w:rPr>
          <w:color w:val="000000" w:themeColor="text1"/>
          <w:sz w:val="24"/>
          <w14:textFill>
            <w14:solidFill>
              <w14:schemeClr w14:val="tx1"/>
            </w14:solidFill>
          </w14:textFill>
        </w:rPr>
        <w:t>.1.3</w:t>
      </w:r>
      <w:r>
        <w:rPr>
          <w:rFonts w:hint="eastAsia"/>
          <w:color w:val="000000" w:themeColor="text1"/>
          <w:sz w:val="24"/>
          <w14:textFill>
            <w14:solidFill>
              <w14:schemeClr w14:val="tx1"/>
            </w14:solidFill>
          </w14:textFill>
        </w:rPr>
        <w:t>项目进度计划的调整</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出现下列情况，竣工日期相应顺延，并对项目进度计划进行调整：</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发包人根据5.2.1款提供的项目基础资料和现场障碍资料不真实、不准确、不齐全、不及时，或未能按14.3.1款约定的预付款金额和14.3.2款约定的付款时间付款，导致4.3.2款约定的设计开工日期延误，或4.4.2款约定的采购开始日期延误，或造成施工开工日期延误的。</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（2）根据4</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4款第</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项的约定，因发包人原因，导致某个设计阶段审核会议时间的延误。</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（3）根据4</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4款第</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项的约定，相关设计审查部门批准时间较合同约定的时间延长的。</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（4）根据合同约定的其它延长竣工日期的情况。</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4.1.4  发包人的赶工要求</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合同实施过程中发包人书面提出加快设计、采购、施工、竣工试验的赶工要求，被承包人接受时，承包人应提交赶工方案，采取赶工措施。因赶工引起的费用增加，按</w:t>
      </w:r>
      <w:r>
        <w:rPr>
          <w:color w:val="000000" w:themeColor="text1"/>
          <w:sz w:val="24"/>
          <w14:textFill>
            <w14:solidFill>
              <w14:schemeClr w14:val="tx1"/>
            </w14:solidFill>
          </w14:textFill>
        </w:rPr>
        <w:t xml:space="preserve">13.2.4 </w:t>
      </w:r>
      <w:r>
        <w:rPr>
          <w:rFonts w:hint="eastAsia"/>
          <w:color w:val="000000" w:themeColor="text1"/>
          <w:sz w:val="24"/>
          <w14:textFill>
            <w14:solidFill>
              <w14:schemeClr w14:val="tx1"/>
            </w14:solidFill>
          </w14:textFill>
        </w:rPr>
        <w:t>款的变更约定执行。</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4</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2  设计进度计划</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设计进度计划</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承包人根据批准的项目进度计划和5.3.1款约定的设计审查阶段及发包人组织的设计阶段审查会议的时间安排，编制设计进度计划。设计进度计划经发包人认可后执行。发包人的认可并不能解除承包人的合同责任。</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设计开工日期</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承包人收到发包人按5.2.1款提供的项目基础资料、现场障碍资料，及14.3.2款的预付款收到后的第5日，作为设计开工日期。</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设计开工日期延误</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因发包人未能按</w:t>
      </w:r>
      <w:r>
        <w:rPr>
          <w:color w:val="000000" w:themeColor="text1"/>
          <w:sz w:val="24"/>
          <w14:textFill>
            <w14:solidFill>
              <w14:schemeClr w14:val="tx1"/>
            </w14:solidFill>
          </w14:textFill>
        </w:rPr>
        <w:t>5.2.1</w:t>
      </w:r>
      <w:r>
        <w:rPr>
          <w:rFonts w:hint="eastAsia"/>
          <w:color w:val="000000" w:themeColor="text1"/>
          <w:sz w:val="24"/>
          <w14:textFill>
            <w14:solidFill>
              <w14:schemeClr w14:val="tx1"/>
            </w14:solidFill>
          </w14:textFill>
        </w:rPr>
        <w:t>款的约定提供设计基础资料、现场障碍资料等相关资料、或未按</w:t>
      </w:r>
      <w:r>
        <w:rPr>
          <w:color w:val="000000" w:themeColor="text1"/>
          <w:sz w:val="24"/>
          <w14:textFill>
            <w14:solidFill>
              <w14:schemeClr w14:val="tx1"/>
            </w14:solidFill>
          </w14:textFill>
        </w:rPr>
        <w:t>14.3.1</w:t>
      </w:r>
      <w:r>
        <w:rPr>
          <w:rFonts w:hint="eastAsia"/>
          <w:color w:val="000000" w:themeColor="text1"/>
          <w:sz w:val="24"/>
          <w14:textFill>
            <w14:solidFill>
              <w14:schemeClr w14:val="tx1"/>
            </w14:solidFill>
          </w14:textFill>
        </w:rPr>
        <w:t>款和</w:t>
      </w:r>
      <w:r>
        <w:rPr>
          <w:color w:val="000000" w:themeColor="text1"/>
          <w:sz w:val="24"/>
          <w14:textFill>
            <w14:solidFill>
              <w14:schemeClr w14:val="tx1"/>
            </w14:solidFill>
          </w14:textFill>
        </w:rPr>
        <w:t>14.3.2</w:t>
      </w:r>
      <w:r>
        <w:rPr>
          <w:rFonts w:hint="eastAsia"/>
          <w:color w:val="000000" w:themeColor="text1"/>
          <w:sz w:val="24"/>
          <w14:textFill>
            <w14:solidFill>
              <w14:schemeClr w14:val="tx1"/>
            </w14:solidFill>
          </w14:textFill>
        </w:rPr>
        <w:t>款约定的预付款金额和支付时间支付预付款，造成设计开工日期延误的，设计开工日朗和工程竣工日期相应顺延；因承包人原因造成设计开工日期延误的，按</w:t>
      </w:r>
      <w:r>
        <w:rPr>
          <w:color w:val="000000" w:themeColor="text1"/>
          <w:sz w:val="24"/>
          <w14:textFill>
            <w14:solidFill>
              <w14:schemeClr w14:val="tx1"/>
            </w14:solidFill>
          </w14:textFill>
        </w:rPr>
        <w:t xml:space="preserve">4.1.2 </w:t>
      </w:r>
      <w:r>
        <w:rPr>
          <w:rFonts w:hint="eastAsia"/>
          <w:color w:val="000000" w:themeColor="text1"/>
          <w:sz w:val="24"/>
          <w14:textFill>
            <w14:solidFill>
              <w14:schemeClr w14:val="tx1"/>
            </w14:solidFill>
          </w14:textFill>
        </w:rPr>
        <w:t>款的约定，自费赶上。因发包人原因给承包人造成经济损失的，应支付相应费用。</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设计阶段审查日期的延误</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）因承包人原因，未能按照合同约定的设计审查阶段及其审查会议的时间安排提交相关阶段的设计文件、或提交的相关设计文件不符合相关审核阶段的设计深度要求时，造成设计审查会议延误的，由承包人依据</w:t>
      </w:r>
      <w:r>
        <w:rPr>
          <w:color w:val="000000" w:themeColor="text1"/>
          <w:sz w:val="24"/>
          <w14:textFill>
            <w14:solidFill>
              <w14:schemeClr w14:val="tx1"/>
            </w14:solidFill>
          </w14:textFill>
        </w:rPr>
        <w:t xml:space="preserve">4. 1. 2 </w:t>
      </w:r>
      <w:r>
        <w:rPr>
          <w:rFonts w:hint="eastAsia"/>
          <w:color w:val="000000" w:themeColor="text1"/>
          <w:sz w:val="24"/>
          <w14:textFill>
            <w14:solidFill>
              <w14:schemeClr w14:val="tx1"/>
            </w14:solidFill>
          </w14:textFill>
        </w:rPr>
        <w:t>款的约定，自费采取措施赶上；造成关键路径延误，或给发包人造成损失（审核会议准备费用）的，由承包人承担。</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）因发包人原因，未能按照合同约定的设计阶段审查会议的时间安排，造成某个设计阶段审查会议延误的，竣工日期相应顺延。因此给承包人带来的窝工损失，由发包人承担。</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）政府相关设计审查部门批准时间较合同约定时间延长的，竣工日期相应顺延。因此给双方带来的费用增加，由双方各自承担。</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4.</w:t>
      </w:r>
      <w:r>
        <w:rPr>
          <w:rFonts w:hint="eastAsia"/>
          <w:b/>
          <w:color w:val="000000" w:themeColor="text1"/>
          <w:sz w:val="24"/>
          <w14:textFill>
            <w14:solidFill>
              <w14:schemeClr w14:val="tx1"/>
            </w14:solidFill>
          </w14:textFill>
        </w:rPr>
        <w:t>3  采购进度计划</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4.3.1  采购进度计划</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承包人的采购进度计划符合项目进度计划的时间安排，并与设计、施工、和（或）竣工试验及竣工后试验的进度计划相衔接。采购进度计划的提交份数和日期，在专用条款约定。</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4.3.2  采购开始日期</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采购开始日期在专用条款约定。</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4.3.3  采购进度延误</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因承包人的原因导致采购延误，造成的停工、窝工损失和竣工日期延误，由承包人负责。因发包人原因导致采购延误，给承包人造成的停工、窝工损失，由发包人承担，若造成关键路径延误的，竣工日期相应顺延。</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4.4  施工进度计划</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4.4.1  施工进度计划</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承包人应在现场施工开工1</w:t>
      </w:r>
      <w:r>
        <w:rPr>
          <w:color w:val="000000" w:themeColor="text1"/>
          <w:sz w:val="24"/>
          <w14:textFill>
            <w14:solidFill>
              <w14:schemeClr w14:val="tx1"/>
            </w14:solidFill>
          </w14:textFill>
        </w:rPr>
        <w:t xml:space="preserve">5 </w:t>
      </w:r>
      <w:r>
        <w:rPr>
          <w:rFonts w:hint="eastAsia"/>
          <w:color w:val="000000" w:themeColor="text1"/>
          <w:sz w:val="24"/>
          <w14:textFill>
            <w14:solidFill>
              <w14:schemeClr w14:val="tx1"/>
            </w14:solidFill>
          </w14:textFill>
        </w:rPr>
        <w:t>日前向发包人提交份包括施工进度计划在内的总体施工组织设计。施工进度计划的开竣工时间，应符合合同协议书对施工开工和工程竣工日期的约定，并与项目进度计划的安排协调一致。发包人需承包人提交关键单项工程和（或）关键分部分项工程施工进度计划的，在专用条款中约定提交的份数和时间。</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4</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2  施工开工日期延误</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施工开工日期延误的，根据下列约定确定延长竣工日期：</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）因发包人原因造成承包人不能按时开工的，开竣工日期相应顺延。给承包人造成经济损失的应支付相应费用。</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）因承包人原因不能按时开工的，需说明正当理由，自费采取措施及早开工，竣工日期不予延长。</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）因不可抗力造成施工开工日期延误的，竣工日期相应顺延。</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4.4.3  竣工日期</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（1）承包项目的试试阶段含竣工试验阶段时，按以下方式确定计划竣工日期和实际竣工日期：</w:t>
      </w:r>
    </w:p>
    <w:p>
      <w:pPr>
        <w:wordWrap w:val="0"/>
        <w:spacing w:line="300" w:lineRule="auto"/>
        <w:ind w:firstLine="991" w:firstLineChars="413"/>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1）根据专用条款（9.1款工程接收）约定单项工程竣工日期，为单项工程的计划竣工日期；工程中最后一个单项工程的计划竣工日期，为工程的计划竣工日期；</w:t>
      </w:r>
    </w:p>
    <w:p>
      <w:pPr>
        <w:wordWrap w:val="0"/>
        <w:spacing w:line="300" w:lineRule="auto"/>
        <w:ind w:firstLine="991" w:firstLineChars="413"/>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2）单项工程中最后一项竣工试验通过的日期，为该单项工程的实际竣工日期；</w:t>
      </w:r>
    </w:p>
    <w:p>
      <w:pPr>
        <w:wordWrap w:val="0"/>
        <w:spacing w:line="300" w:lineRule="auto"/>
        <w:ind w:firstLine="991" w:firstLineChars="413"/>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3）工程中最后一个单项工程通过竣工试验的日期，为工程的实际竣工日期。</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（2）承包项目的实施阶段不含竣工试验阶段时，按以下方式确定计划竣工日期和实际竣工日期：</w:t>
      </w:r>
    </w:p>
    <w:p>
      <w:pPr>
        <w:wordWrap w:val="0"/>
        <w:spacing w:line="300" w:lineRule="auto"/>
        <w:ind w:firstLine="849" w:firstLineChars="354"/>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1）根据专用条款（9.1款工程接收）中所约定的单项工程竣工日期，为单项工程的计划竣工日期；工程中最后一个单项工程的计划竣工日期，为工程的计划竣工日期；</w:t>
      </w:r>
    </w:p>
    <w:p>
      <w:pPr>
        <w:wordWrap w:val="0"/>
        <w:spacing w:line="300" w:lineRule="auto"/>
        <w:ind w:firstLine="991" w:firstLineChars="413"/>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2）承包人按合同约定，完成施工图纸规定的单项工程中的全部施工作业，并符合约定的质量标准的日期，为单项工程的实际竣工日期；</w:t>
      </w:r>
    </w:p>
    <w:p>
      <w:pPr>
        <w:wordWrap w:val="0"/>
        <w:spacing w:line="300" w:lineRule="auto"/>
        <w:ind w:firstLine="991" w:firstLineChars="413"/>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3）承包人按合同约定，完成施工图纸规定的工程中最后一个单项工程的全部施工作业，且符合合同约定的质量标准的日期，为工程的实际竣工日期。</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（3）承包人为竣工试验、或竣工后试验预留的施工部位、或发包人要求预留的施工部位、不影响发包人实质操作使用的零星扫尾工程和缺陷修复，不影响竣工日期的确定。</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4.5  误期赔偿</w:t>
      </w:r>
    </w:p>
    <w:p>
      <w:pPr>
        <w:wordWrap w:val="0"/>
        <w:spacing w:before="120" w:beforeLines="50" w:after="120" w:afterLines="50"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因承包人原因，造成工程竣工日期延误的，由承包人承担误期误害赔偿责任。每日延误的赔偿金额，及累计的最高赔偿金额在专用条款中约定。发包人有权从工程进度款、竣工结算款或约定提交的履约保函中扣除赔偿金额。</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4</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6  暂停</w:t>
      </w:r>
    </w:p>
    <w:p>
      <w:pPr>
        <w:wordWrap w:val="0"/>
        <w:spacing w:after="120" w:afterLines="50"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6</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因发包人原因的暂停</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因发包人原因通知的暂停，应列明暂停的日期及预计暂停的期限。双方应遵守2.1.5款和3.1.4款的相关约定。</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6</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因不可抗力造成的暂停</w:t>
      </w:r>
    </w:p>
    <w:p>
      <w:pPr>
        <w:wordWrap w:val="0"/>
        <w:spacing w:line="30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因不可抗力造成工程暂停时，双方根据17.1款不可抗力发生时的义务和</w:t>
      </w:r>
      <w:r>
        <w:rPr>
          <w:color w:val="000000" w:themeColor="text1"/>
          <w:sz w:val="24"/>
          <w14:textFill>
            <w14:solidFill>
              <w14:schemeClr w14:val="tx1"/>
            </w14:solidFill>
          </w14:textFill>
        </w:rPr>
        <w:t>17.2</w:t>
      </w:r>
      <w:r>
        <w:rPr>
          <w:rFonts w:hint="eastAsia"/>
          <w:color w:val="000000" w:themeColor="text1"/>
          <w:sz w:val="24"/>
          <w14:textFill>
            <w14:solidFill>
              <w14:schemeClr w14:val="tx1"/>
            </w14:solidFill>
          </w14:textFill>
        </w:rPr>
        <w:t>款不可抗力的后果的条款的约定，安排各自的工作。</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6</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暂停时承包人的工作</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当发生</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6</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款发包人的暂停和</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6</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款因不可抗力约定的暂停时，承包人应立即停止现场的实施工作。并根据合同约定负责在暂停期间，对工程、工程物资及承包人文件等进行照管和保护。因承包人未能尽到照管、保护的责任，造成损坏、丢失等，使发包人的费用增加，和（或）竣工日期延误的，由承包人负责。</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4.6.4  承包人的复工要求</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根据发包人通知暂停的，承包人有权在暂停</w:t>
      </w:r>
      <w:r>
        <w:rPr>
          <w:color w:val="000000" w:themeColor="text1"/>
          <w:sz w:val="24"/>
          <w14:textFill>
            <w14:solidFill>
              <w14:schemeClr w14:val="tx1"/>
            </w14:solidFill>
          </w14:textFill>
        </w:rPr>
        <w:t>45</w:t>
      </w:r>
      <w:r>
        <w:rPr>
          <w:rFonts w:hint="eastAsia"/>
          <w:color w:val="000000" w:themeColor="text1"/>
          <w:sz w:val="24"/>
          <w14:textFill>
            <w14:solidFill>
              <w14:schemeClr w14:val="tx1"/>
            </w14:solidFill>
          </w14:textFill>
        </w:rPr>
        <w:t>日后向发包人发出要求复工的通知。不能复工时，承包人有权根据</w:t>
      </w:r>
      <w:r>
        <w:rPr>
          <w:color w:val="000000" w:themeColor="text1"/>
          <w:sz w:val="24"/>
          <w14:textFill>
            <w14:solidFill>
              <w14:schemeClr w14:val="tx1"/>
            </w14:solidFill>
          </w14:textFill>
        </w:rPr>
        <w:t>13.2.</w:t>
      </w:r>
      <w:r>
        <w:rPr>
          <w:rFonts w:hint="eastAsia"/>
          <w:color w:val="000000" w:themeColor="text1"/>
          <w:sz w:val="24"/>
          <w14:textFill>
            <w14:solidFill>
              <w14:schemeClr w14:val="tx1"/>
            </w14:solidFill>
          </w14:textFill>
        </w:rPr>
        <w:t>5款调减部分工程的约定，以变更方式调减受暂停影响的部分工程。</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发包人的暂停超过45日且暂停影响到整个工程，或发包人的暂停超过180日，或因不可抗力的暂停致使合同无法履行，承包人有权根据</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8</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2款由承包人解除合同的约定，发出解除合同的通知。</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4.6.5  发包人的复工</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包人发出复工通知后，有权组织承包人对受暂停影响的工程、工程物资进行检查，承包人应将检查结果及需要恢复、修复的内容和估算通知发包人，经发包人确认后，所发生的恢复、修复价款由发包人承担。因恢复、修复造成工程关键路径延误的，竣工日期相应延长。</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4.6.6  因承包人原因的暂停</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因承包人原因所造成部分工程或工程的暂停，所发生的损失、损害及竣工日期延误，由承包人负责。</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4.6.7  工程暂停时的付款</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因发包人原因暂停的复工后，未影响到整个工程实施时，双方应依据</w:t>
      </w:r>
      <w:r>
        <w:rPr>
          <w:color w:val="000000" w:themeColor="text1"/>
          <w:sz w:val="24"/>
          <w14:textFill>
            <w14:solidFill>
              <w14:schemeClr w14:val="tx1"/>
            </w14:solidFill>
          </w14:textFill>
        </w:rPr>
        <w:t>2.1.5</w:t>
      </w:r>
      <w:r>
        <w:rPr>
          <w:rFonts w:hint="eastAsia"/>
          <w:color w:val="000000" w:themeColor="text1"/>
          <w:sz w:val="24"/>
          <w14:textFill>
            <w14:solidFill>
              <w14:schemeClr w14:val="tx1"/>
            </w14:solidFill>
          </w14:textFill>
        </w:rPr>
        <w:t>款的约定商定因该暂停给承包人所增加的合理费用，承包人应将其款项纳入当期的付款申请，由发包人审查支付。</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因发包人原因暂停的复工后，影响到部分工程实施时，且承包人根据</w:t>
      </w:r>
      <w:r>
        <w:rPr>
          <w:color w:val="000000" w:themeColor="text1"/>
          <w:sz w:val="24"/>
          <w14:textFill>
            <w14:solidFill>
              <w14:schemeClr w14:val="tx1"/>
            </w14:solidFill>
          </w14:textFill>
        </w:rPr>
        <w:t>4.6.4</w:t>
      </w:r>
      <w:r>
        <w:rPr>
          <w:rFonts w:hint="eastAsia"/>
          <w:color w:val="000000" w:themeColor="text1"/>
          <w:sz w:val="24"/>
          <w14:textFill>
            <w14:solidFill>
              <w14:schemeClr w14:val="tx1"/>
            </w14:solidFill>
          </w14:textFill>
        </w:rPr>
        <w:t>款要求调减部分工程并经发包人批准，发包人应从合同价格中调减该部分款项，双方还应依据</w:t>
      </w:r>
      <w:r>
        <w:rPr>
          <w:color w:val="000000" w:themeColor="text1"/>
          <w:sz w:val="24"/>
          <w14:textFill>
            <w14:solidFill>
              <w14:schemeClr w14:val="tx1"/>
            </w14:solidFill>
          </w14:textFill>
        </w:rPr>
        <w:t>2.1.5</w:t>
      </w:r>
      <w:r>
        <w:rPr>
          <w:rFonts w:hint="eastAsia"/>
          <w:color w:val="000000" w:themeColor="text1"/>
          <w:sz w:val="24"/>
          <w14:textFill>
            <w14:solidFill>
              <w14:schemeClr w14:val="tx1"/>
            </w14:solidFill>
          </w14:textFill>
        </w:rPr>
        <w:t>款的约定商定承包人因该暂停所增加的合理费用，承包人应将其增减的款项纳入当期付款申请，由发包人审查支付。</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因发包人原因的暂停，致使合同无法履行时，且承包人根据</w:t>
      </w:r>
      <w:r>
        <w:rPr>
          <w:color w:val="000000" w:themeColor="text1"/>
          <w:sz w:val="24"/>
          <w14:textFill>
            <w14:solidFill>
              <w14:schemeClr w14:val="tx1"/>
            </w14:solidFill>
          </w14:textFill>
        </w:rPr>
        <w:t>4.6.4</w:t>
      </w:r>
      <w:r>
        <w:rPr>
          <w:rFonts w:hint="eastAsia"/>
          <w:color w:val="000000" w:themeColor="text1"/>
          <w:sz w:val="24"/>
          <w14:textFill>
            <w14:solidFill>
              <w14:schemeClr w14:val="tx1"/>
            </w14:solidFill>
          </w14:textFill>
        </w:rPr>
        <w:t>款第二段的约定发出解除合同的通知后，双方应根据</w:t>
      </w:r>
      <w:r>
        <w:rPr>
          <w:color w:val="000000" w:themeColor="text1"/>
          <w:sz w:val="24"/>
          <w14:textFill>
            <w14:solidFill>
              <w14:schemeClr w14:val="tx1"/>
            </w14:solidFill>
          </w14:textFill>
        </w:rPr>
        <w:t>18.2</w:t>
      </w:r>
      <w:r>
        <w:rPr>
          <w:rFonts w:hint="eastAsia"/>
          <w:color w:val="000000" w:themeColor="text1"/>
          <w:sz w:val="24"/>
          <w14:textFill>
            <w14:solidFill>
              <w14:schemeClr w14:val="tx1"/>
            </w14:solidFill>
          </w14:textFill>
        </w:rPr>
        <w:t>款由承包人解除合同的相关约定，办理结算和付款。</w:t>
      </w:r>
    </w:p>
    <w:p>
      <w:pPr>
        <w:wordWrap w:val="0"/>
        <w:spacing w:before="120" w:beforeLines="50" w:after="120" w:afterLines="50" w:line="300" w:lineRule="auto"/>
        <w:ind w:firstLine="551" w:firstLineChars="196"/>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第</w:t>
      </w:r>
      <w:r>
        <w:rPr>
          <w:b/>
          <w:color w:val="000000" w:themeColor="text1"/>
          <w:sz w:val="28"/>
          <w:szCs w:val="28"/>
          <w14:textFill>
            <w14:solidFill>
              <w14:schemeClr w14:val="tx1"/>
            </w14:solidFill>
          </w14:textFill>
        </w:rPr>
        <w:t>5</w:t>
      </w:r>
      <w:r>
        <w:rPr>
          <w:rFonts w:hint="eastAsia"/>
          <w:b/>
          <w:color w:val="000000" w:themeColor="text1"/>
          <w:sz w:val="28"/>
          <w:szCs w:val="28"/>
          <w14:textFill>
            <w14:solidFill>
              <w14:schemeClr w14:val="tx1"/>
            </w14:solidFill>
          </w14:textFill>
        </w:rPr>
        <w:t>条技术与设计</w:t>
      </w:r>
    </w:p>
    <w:p>
      <w:pPr>
        <w:wordWrap w:val="0"/>
        <w:spacing w:after="120" w:afterLines="50" w:line="300" w:lineRule="auto"/>
        <w:ind w:firstLine="472" w:firstLineChars="196"/>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5.1  生产工艺技术、建筑设计方案</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5.1.1  承包人提供的工艺技术和（或）建筑设计方案</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负责提供生产工艺技术（含专利技术、专有技术、工艺包）和（或）建筑设计方案（含总体布局、功能分区、建筑造型和主体结构等）时，应对所提供的工艺流程、工艺技术数据、工艺条件、软件、分析手册、操作指导书、设备制造指导书和其它资料要求，和（或）总体布局、功能分区、建筑造型及其结构设计等负责。</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承包人应对专用条款约定的试运行考核保证值、和（或）使用功能保证的说明负责。该试运行考核保证值、和（或）使用功能保证的说明，作为发包人根据</w:t>
      </w:r>
      <w:r>
        <w:rPr>
          <w:color w:val="000000" w:themeColor="text1"/>
          <w:sz w:val="24"/>
          <w14:textFill>
            <w14:solidFill>
              <w14:schemeClr w14:val="tx1"/>
            </w14:solidFill>
          </w14:textFill>
        </w:rPr>
        <w:t>10.3.3</w:t>
      </w:r>
      <w:r>
        <w:rPr>
          <w:rFonts w:hint="eastAsia"/>
          <w:color w:val="000000" w:themeColor="text1"/>
          <w:sz w:val="24"/>
          <w14:textFill>
            <w14:solidFill>
              <w14:schemeClr w14:val="tx1"/>
            </w14:solidFill>
          </w14:textFill>
        </w:rPr>
        <w:t>款进行试运行考核的评价依据。</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5.1.2  发包人提供的工艺技术和（或）建筑设计方案</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包人负责提供的生产工艺技术（含专利技术、专有技术、工艺包）和（或）建筑设计方案（含总体布局、功能分区、建筑造型和主体结构，或发包人委托第三方设计单位提供的建筑设计方案）时，应对所提供的工艺流程、工艺技术数据、工艺条件、软件、分析手册、操作指导书、设备制造指导书和其它承包人的文件资料、发包人的要求，和（或）总体布局、功能分区、建筑造型和主体结构等，或第三方设计单位提供的建筑设计方案负责。</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包人有义务指导、审查由承包人根据发包人提供的上述资料所进行的生产工艺设计和（或）建筑设计，并予以确认。工程和（或）单项工程试运行考核的各项保证值、或使用功能保证说明及双方各自应承担的考核责任，在专用条款中约定，并作为发包人根据</w:t>
      </w:r>
      <w:r>
        <w:rPr>
          <w:color w:val="000000" w:themeColor="text1"/>
          <w:sz w:val="24"/>
          <w14:textFill>
            <w14:solidFill>
              <w14:schemeClr w14:val="tx1"/>
            </w14:solidFill>
          </w14:textFill>
        </w:rPr>
        <w:t>10.3.3</w:t>
      </w:r>
      <w:r>
        <w:rPr>
          <w:rFonts w:hint="eastAsia"/>
          <w:color w:val="000000" w:themeColor="text1"/>
          <w:sz w:val="24"/>
          <w14:textFill>
            <w14:solidFill>
              <w14:schemeClr w14:val="tx1"/>
            </w14:solidFill>
          </w14:textFill>
        </w:rPr>
        <w:t>款进行试运行考核和考核责任的评价依据。</w:t>
      </w:r>
    </w:p>
    <w:p>
      <w:pPr>
        <w:wordWrap w:val="0"/>
        <w:spacing w:before="120" w:beforeLines="50" w:after="120" w:afterLines="50" w:line="300" w:lineRule="auto"/>
        <w:ind w:firstLine="472" w:firstLineChars="196"/>
        <w:rPr>
          <w:b/>
          <w:color w:val="000000" w:themeColor="text1"/>
          <w:sz w:val="24"/>
          <w14:textFill>
            <w14:solidFill>
              <w14:schemeClr w14:val="tx1"/>
            </w14:solidFill>
          </w14:textFill>
        </w:rPr>
      </w:pPr>
      <w:r>
        <w:rPr>
          <w:b/>
          <w:color w:val="000000" w:themeColor="text1"/>
          <w:sz w:val="24"/>
          <w14:textFill>
            <w14:solidFill>
              <w14:schemeClr w14:val="tx1"/>
            </w14:solidFill>
          </w14:textFill>
        </w:rPr>
        <w:t>5.</w:t>
      </w:r>
      <w:r>
        <w:rPr>
          <w:rFonts w:hint="eastAsia"/>
          <w:b/>
          <w:color w:val="000000" w:themeColor="text1"/>
          <w:sz w:val="24"/>
          <w14:textFill>
            <w14:solidFill>
              <w14:schemeClr w14:val="tx1"/>
            </w14:solidFill>
          </w14:textFill>
        </w:rPr>
        <w:t>2  设计</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5.2</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发包人的义务</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提供项目基础资料。发包人应按合同约定、法律或行业规定，向承包人提供设计需要的项目基础资料，并对其真实性、准确性、齐全性和及时性负责。上述项目基础资料不真实、不准确或不齐全时，发包人有义务按约定的时间向承包人提供进一步补充资料。提供项目基础资料的类别、内容、份数和时间在专用条款中约定。其中，工程场地的基准坐标资料</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包括基准控制点、基准控制标高和基准坐标控制线</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，发包人应按约定的时间，有义务配合承包人在现场的实测复验。承包人因纠正坐标资料中的错误，造成费用增加和（或）工期延误，由发包人负责其相关费用增加，竣工日期给予合理延长。</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发包人提供的项目基础资料中有专利商提供的技术或工艺包，或是第三方设计单位提供的建筑造型等，发包人应组织专利商或第三方设计单位与承包人进行数据、条件和资料的交换、协调和交接。</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包人未能按约定时间提供项目基础资料及其补充资料、或提供的资料不真实、不准确、不齐全、或发包人计划变更，造成承包人设计停工、返工或修改的，发包人应按承包人额外增加的设计工作量赔偿其损失。造成工程关键路径延误的，竣工日期相应顺延。</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提供现场障碍资料。除专用条款另有约定外，发包人应按合同约定和适用法律规定，在设计开始前，提供与设计、施工有关的地上、地下已有的建筑物、构筑物等现场障碍资料，并对其真实性、准确性、齐全性和及时性负责。因提供的资料不真实、不准确、不齐全、不及时，造承包人的设计停工、返工和修改的，发包人应按承包人额外增加的设计工作量赔偿其损失。造成工程关键路径延误的，竣工日期相应顺延。提供项目障碍资料的类别、内容、份数和时间安排，在专用条款中约定。</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（3）承包人无法核实发包人所提供的项目基础资料中的数据、条件和资料的，发包人有义务给予进一步确认。</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5.2.</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承包人的义务</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（1）承包人与发包人（及其专利商、第三方设计单位）应以书面形式交接发包人按</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款第（</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）项提供与设计有关的项目基础资料、第（</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项提供的与设计有关的现场障碍资料。对这些资料中的短缺、遗漏、错误、疑问，承包人应在收到发包人提供的上述资料后15日内向发包人提出进一步的要求。因承包人未能在上述时间内提出要求而发生的损失由承包人自行承担；由此造成工程关键路径延误的，竣工日期不予顺延。其中，对工程场地的基准坐标资料（包括基准控制点、基准控制标高和基准坐标控制线），承包人有义务约定实测复验的时间并纠正其错误（如果有），因承包人对此项工作的延误，导致的费用增加和关键路线延误，由承包人承担。</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承包人有义务按照发包人提供的项目基础资料、现场障碍资料和国家有关部门、行业工程建设标准规范规定的设计深度开展工程设计，并对其设计的工艺技术和（或）建筑功能，及工程的安全、环境保护、职业健康的标准，设备材料的质量、工程质量和完成时间负责。因承包人设计的原因，造成的费用增加、竣工日期延误，由承包人承担。</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遵守标准、规范</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（1）1.5款约定的标准、规范，适用于发包人按单项工程接收和（或）整个工程接收。</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在合同实施过程中国家颁布了新的标准或规范时，承包人应向发包人提交有关新标准、新规范的建议书。对其中的强制性标准、规范，承包人应严格遵守，发包人作为变更处理；对于非强制性的标准、规范，发包人可决定采用或不采用，决定采用时，作为变更处理。</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（3）依据适用法律和合同约定的标准、规范所完成的设计图纸、设计文件中的技术数据和技术条件，是工程物资采购质量、施工质量及竣工试验质量的依据。</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4  操作维修手册</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由承包人指导竣工后试验和试运行考核试验，并编制操作维修手册的，发包人应按5.2.1款第（1）项第二段的约定，责令其专利商或发包人的其它承包人向承包人提供其操作指南及分析手册，并对其资料的真实性、准确性、齐全性和及时性负责，专用条款另有约定时除外。发包人提交操作指南、分析手册，及承包人提交操作维修手册的份数、提交期限，在专用条款中约定。</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5.2.5  设计文件的份数和提交时间</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相关设计阶段的设计文件、资料和图纸的提交份数和时间在专用条款中约定。</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5.3.6  设计缺陷的自费修复，自费赶上</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因承包人原因，造成设计文件存在遗漏、错误、缺陷和不足的，承包人应自费修复、弥补、纠正和完善。造成设计进度延误时，应自费采取措施赶上。</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5</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3  设计阶段审查</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3</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本工程的设计阶段、设计阶段审查会议的组织和时间安排，在专用条款约定。发包人负责组织设计阶段审查会议，并承担会议费用及发包人的上级单位、政府有关部门参加审查会议的费用。</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3</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承包人应根据5.3.1款的约定，向发包人提交相关设计审查阶段的设计文件，设计文件应符合国家有关部门、行业工程建设标准规范对相关设计阶段的设计文件、图纸和资料的深度规定。承包人有义务自费参加发包人组织的设计审查会议、向审查者介绍、解答、解释其设计文件，并自费提供审查过程中需提供的补充资料。</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3</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发包人有义务向承包人提供设计审查会议的批准文件和纪要。承包人有义务按相关设计审查阶段批准的文件和纪要，并依据合同约定及相关设计规定，对相关设计进行修改、补充和完善。</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3</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因承包人原因，未能按5.2.5款约定的时间，向发包人提交相关设计审查阶段的完整设计文件、图纸和资料，致使相关设计审查阶段的会议无法进行或无法按期进行，造成的竣工日期延误、窝工损失，及发包人增加的组织会议费用，由承包人承担。</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5.3.5  发包人有权在</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3</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款约定的各设计审查阶段之前，对相关设计阶段的设计文件、图纸和资料提出建议、进行预审和确认，发包人的任何建议、预审和确认，并不能减轻或免除承包人的合同责任和义务。</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5.4  操作维修人员的培训</w:t>
      </w:r>
    </w:p>
    <w:p>
      <w:pPr>
        <w:wordWrap w:val="0"/>
        <w:spacing w:before="120" w:beforeLines="50" w:after="120" w:afterLines="50"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发包人委托承包人对发包人的操作维修人员进行培训的，另行签订培训委托合同，作为本合同的附件。</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5.5  知识产权</w:t>
      </w:r>
    </w:p>
    <w:p>
      <w:pPr>
        <w:wordWrap w:val="0"/>
        <w:spacing w:before="120" w:beforeLines="50" w:after="120" w:afterLines="50"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双方可就本合同涉及的合同一方、或合同双方（含一方或双方相关的专利商、第三方设计单位或设计</w:t>
      </w:r>
      <w:r>
        <w:rPr>
          <w:rFonts w:hint="eastAsia" w:ascii="宋体" w:hAnsi="宋体"/>
          <w:color w:val="000000" w:themeColor="text1"/>
          <w:sz w:val="24"/>
          <w14:textFill>
            <w14:solidFill>
              <w14:schemeClr w14:val="tx1"/>
            </w14:solidFill>
          </w14:textFill>
        </w:rPr>
        <w:t>人)的技</w:t>
      </w:r>
      <w:r>
        <w:rPr>
          <w:rFonts w:hint="eastAsia"/>
          <w:color w:val="000000" w:themeColor="text1"/>
          <w:sz w:val="24"/>
          <w14:textFill>
            <w14:solidFill>
              <w14:schemeClr w14:val="tx1"/>
            </w14:solidFill>
          </w14:textFill>
        </w:rPr>
        <w:t>术专利、建筑设计方案、专有技术、设计文件著作权等知识产权，签订知识产权及保密协议，作为本合同的组成部分。</w:t>
      </w:r>
    </w:p>
    <w:p>
      <w:pPr>
        <w:wordWrap w:val="0"/>
        <w:spacing w:before="120" w:beforeLines="50" w:after="120" w:afterLines="50" w:line="300" w:lineRule="auto"/>
        <w:ind w:firstLine="562" w:firstLineChars="200"/>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第</w:t>
      </w:r>
      <w:r>
        <w:rPr>
          <w:b/>
          <w:color w:val="000000" w:themeColor="text1"/>
          <w:sz w:val="28"/>
          <w:szCs w:val="28"/>
          <w14:textFill>
            <w14:solidFill>
              <w14:schemeClr w14:val="tx1"/>
            </w14:solidFill>
          </w14:textFill>
        </w:rPr>
        <w:t>6</w:t>
      </w:r>
      <w:r>
        <w:rPr>
          <w:rFonts w:hint="eastAsia"/>
          <w:b/>
          <w:color w:val="000000" w:themeColor="text1"/>
          <w:sz w:val="28"/>
          <w:szCs w:val="28"/>
          <w14:textFill>
            <w14:solidFill>
              <w14:schemeClr w14:val="tx1"/>
            </w14:solidFill>
          </w14:textFill>
        </w:rPr>
        <w:t>条工程物资</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6.1  工程物资的提供</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6.1.1  发包人提供的工程物资</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发包人依据5.2.3款第（3）项设计文件规定的技术参数、技术条件、性能要求、使用要求和数量，负责组织工程物资（包括其备品备件、专用工具及厂商提交的技术文件）的采购，负责运抵现场，并对其需用量、质量检查结果和性能负责。</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由发包人负责提供的工程物资的类别、数量，在专用条款中列出。</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因发包人采购提供的工程物资（包括建筑构件等）不符合国家强制性标准、规范的规定，存在质量缺陷、延误抵达现场，给承包人造成窝工、停工、或导致关键路径延误的，按13条变更和合同价调整的约定执行。</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在履行合同过程中，由于国家新颁布的强制性标准、规范，造成发包人负责提供的工程物资（包括建筑构件等）不符合新颁布的强制性标准时，由发包人负资修复或重新订货。如委托承包人修复，作为变更处理。</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（3）发包人请承包人参加境外采购工作时，所发生的费用由发包人承担。</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6.1.2  承包人提供的工程物资</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承包人应依据5.2.3款第（3）项设计文件规定的技术参数、技术条件、性能要求、使用要求和数量，负责组织工程物资采购（包括备品备件、专用工具及厂商提供的技术文件），负责运抵现场，并对其需用量、质量检查结果和性能负责。</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由承包人负责提供的工程物资的类别、数量，在专用条款中列出。</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（2）因承包人提供的工程物资（包括建筑构件等）不符合国家强制性标准、规范的规定或合同约定的标准、规范，所造成的质量缺陷，由承包人自费修复，竣工日期不予延长。</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在履行合同过程中，由于国家新颁布的强制性标准、规范，造成承包人负责提供的工程物资（包括建筑构件等），虽符合合同约定的标准，但不符合新颁布的强制性标准时，由承包人负责修复或重新订货，并作为变更处理。</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（3）由承包人提供的竣工后试验的生产性材料，在专用条款中列出类别和（或）清单。</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6.1.3  承包人对供应商的选择</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承包人应通过招标等竞争性方式选择相关工程物资的供货商或制造厂。对于依法必须进行招标的工程建设项目，应按国家相关规定进行招标。</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承包人不得在设计文件中或以口头暗示方式指定供应商和制造厂，只有唯一厂家的除外。发包人不得以任何方式指定供应商和制造厂。</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6.1.4  工程物资所有权</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根据6.1.2款约定提供的工程物资，在运抵现场的交货地点并支付了采购进度款，其所有权转为发包人所有。在发包人接收工程前，承包人有义务对工程物资进行保管、维护和保养，未经发包人批准不得运出现场。</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6.2  检验</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6.2.1  工厂检验与报告</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承包人遵守相关法律规定，负责6.1.2款约定的永久性工程设备、材料、部件和备品备件，及竣工后试验物资的强制性检查、检验、监测和试验，并向发包人提供相关报告。报告内容、报告期和提交份数，在专用条款中约定。</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（2）承包人邀请发包人参检时，在进行相关加工制造阶段的检查、检验、监测和试验之前，以书面形式通知发包人参检的内容、地点和时间。发包人在接到邀请后的5日内，以书面形式通知承包人参检或不参检。</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（3）发包人承担其参检人员在参检期间的工资、补贴、差旅费和住宿费等，承包人负责办理进入相关厂家的许可，并提供方便。</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（4）发包人委托有资格、有经验的第三方代表发包人自费参检的，应在接到承包人邀请函后5日内，以书面形式通知承包人，并写明受托单位及受托人员的名称、姓名及授予的职权。</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（5）发包人及其委托人的参检，并不能解除承包人对其采购的工程物资的质量责任。</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6.2.2  覆盖和包装的后果</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包人已在6.2.1款约定的日期内以书面形式通知承包人参检，并依据约定日期提前或按时到达指定地点，但加工制造的工程物资未经发包人现场检验已经被覆盖、包装或已运抵启运地点时，发包人有权责令承包人将其运回原地、拆除覆盖、包装，重新进行检查或检验或检测或试验及复原，承包人应承担因此发生的费用。造成工程关键路径延误的，竣工日期不予延长。</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6.2.3  未能按时参检</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包人未能按6.2.1款的约定时间参检，承包人可自行组织检查、检验、检测和试验，质检结果视为是真实的。发包人有权在此后，以变更指令通知承包人重新检查、检验、检测和试验，或增加试验细节或改变试验地点。工程物资经质检合格的，所发生的费用由发包人承担，造成工程关键路径延误的，竣工日期相应顺延；工程物资经质检不合格时，所发生的费用由承包人承担，竣工日期不予延长。</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6.2.4  现场清点与检查</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发包人应在其根据6.1.1款约定负责提供的工程物资运抵现场前5日通知承包人。发包人（或包括为发包人提供工程物资的供应商）与承包人（或包括其分包人）按每批货物的提货单据清点箱件数量及进行外观检查，并根据装箱单清点箱内数量、出厂合格证、图纸、文件资料等，并进行外观检查。经检查清点后双方人员签署交接清单。</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经现场检查清点发现箱件短缺，箱件内的物资数量、图纸、资料短缺，或有外观缺陷的，发包人应负责补齐或自费修复，工程物资在缺陷未能修复之前不得用于工程。当发包人委托承包人修复缺陷时，另行签订追加合同。因上述情况造成工程关键路径延误的，竣工日期相应顺延。</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承包人应在其根据6.1.2款约定负责提供的工程物资运抵现场前5日通知发包人。承包人（或包括为承包人提供工程物资的供应商、或分包人）与发包人（包括代表、或其监理人）按每批货物的提货单据清点箱件数量及进行外观检查，并根据装箱单清点箱内数量、出场合格证、图纸、文件资料等，并进行外观检查。经检查清点后，双方人员签署开箱检验证明。</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经现场检查清点发现箱件短缺，箱件内的数量、图纸、资料短缺，或有外观缺陷的，承包人应负责补齐或自费修复，工程物资在缺陷未能修复之前不得用于工程。因此造成的费用增加、竣工日期延误，由承包人负责。</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6.2.5  质量监督部门及消防、环保等部门的参检</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包人、承包人随时接受质量监督部门、消防部门、环保部门、行业等专业检查人员对制造、安装及试验过程的现场检查，其费用由发包人承担。承包人为此提供方便。造成工程关键路径延误的，竣工日期相应顺延。</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因上述部门在参检中提出的修改、更换等意见所增加的相关费用，应根据6.1.1款或6.1.2款约定的提供工程物资的责任方来承担；因此造成工程关键路径延误的，责任方为承包人时，竣工日期不予延长；责任方为发包人时，竣工日期相应顺延。</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6.3  进口工程物资的采购、报关、清关和商检</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6.3.1  工程物资的进口采购责任方，及采购方式，在专用条款中约定。采购责任方负责报关、清关和商检，另一方有义务协助。</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6.3.2  因工程物资报关、清关和商检的延误，造成工程关键路径延误时，承包人负责进口采购的，竣工日期不予延长，增加的费用由承包人承担；发包人负责进口采购的，竣工日期给予相应延长，承包人由此增加的费用由发包人承担。</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6.4  运输与超限物资运输</w:t>
      </w:r>
    </w:p>
    <w:p>
      <w:pPr>
        <w:wordWrap w:val="0"/>
        <w:spacing w:before="120" w:beforeLines="50" w:after="120" w:afterLines="50"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负责采购的超限工程物资（超重、超长、超宽、超高）的运输，由承包人负责，该超限物资的运输费用及其运输途中的特殊措施、拆迁、赔偿等全部费用，包含在合同价格内。运输过程中的费用增加，由承包人承担。造成工程关键路径延误时，竣工日期不予延长。专用条款另有约定除外。</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6.5  重新订货及后果</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6.5.1  依据6.1.1款及6.3.1款的约定，由发包人负责提供的工程物资存在缺陷时，经发包人组织修复仍不合格的，由发包人负责重新订货并运抵现场。因此造成承包人停工、窝工的，由发包人承担所发生的实际费用；导致关键路径延误时，竣工日期相应顺延。</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6.5.2  依据6.1.2款及6.3.1款的约定，由承包人负责提供的永久性工程设备、材料和部件存在缺陷时，经承包人修复仍不合格的，由承包人负责重新订货并运抵现场。因此造成的费用增加、竣工日期延误，由承包人负责。</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6.6  工程物资保管与剩余</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6.6.1  工程物资保管</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根据6.1.1款由发包人负责提供的工程物资、6.1.2款由承包人负责提供的工程物资的约定并委托承包人保管的，工程物资的类别和数量在专用条款中约定。</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应按说明书的相关规定对工程物资进行保管、维护、保养，防止变形、变质、污染和对人身造成伤害。承包人提交保管维护方案的时间在专用条款中约定，保管维护方案应包括：工程物资分类和保管、保养、保安、领用制度，以及库房、特殊保管库房、堆场、道路、照明、消防、设施、器具等规划。保管所需的一切费用，包含在合同价格内。由发包人提供的库房、堆场、设施和设备，在专用条款中约定。</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6.6.2  剩余工程物资的移交</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承包人保管的工程物资（含承包人负责采购提供的工程物资并受到了采购进度款，及发包人委托保管的工程物资），在竣工试验完成后，剩余部分由承包人无偿移交给发包人，专用条款另有约定时除外。</w:t>
      </w:r>
    </w:p>
    <w:p>
      <w:pPr>
        <w:wordWrap w:val="0"/>
        <w:spacing w:before="120" w:beforeLines="50" w:after="120" w:afterLines="50" w:line="300" w:lineRule="auto"/>
        <w:ind w:firstLine="562" w:firstLineChars="200"/>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第</w:t>
      </w:r>
      <w:r>
        <w:rPr>
          <w:b/>
          <w:color w:val="000000" w:themeColor="text1"/>
          <w:sz w:val="28"/>
          <w:szCs w:val="28"/>
          <w14:textFill>
            <w14:solidFill>
              <w14:schemeClr w14:val="tx1"/>
            </w14:solidFill>
          </w14:textFill>
        </w:rPr>
        <w:t>7</w:t>
      </w:r>
      <w:r>
        <w:rPr>
          <w:rFonts w:hint="eastAsia"/>
          <w:b/>
          <w:color w:val="000000" w:themeColor="text1"/>
          <w:sz w:val="28"/>
          <w:szCs w:val="28"/>
          <w14:textFill>
            <w14:solidFill>
              <w14:schemeClr w14:val="tx1"/>
            </w14:solidFill>
          </w14:textFill>
        </w:rPr>
        <w:t>条施工</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7.1  发包人的义务</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7.1.1  基准坐标资料</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承包人因放线需请发包人与相关单位联系的事项，发包人有义务协助。</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7.1.2  审查总体施工组织设计</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发包人有权对承包人根据</w:t>
      </w:r>
      <w:r>
        <w:rPr>
          <w:color w:val="000000" w:themeColor="text1"/>
          <w:sz w:val="24"/>
          <w14:textFill>
            <w14:solidFill>
              <w14:schemeClr w14:val="tx1"/>
            </w14:solidFill>
          </w14:textFill>
        </w:rPr>
        <w:t>7.</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2款约定提交的总体施工组织设计进行审查，并在接到总体施工组织设计后20日内提出建议和要求。发包人的建议和要求，并不能减轻或免除承包人的任何合同责任。发包人未能在20日内提出任何建议和要求的，承包人有权按提交的总体施工组织设计实施。</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7.1.3  进场条件和进场日期</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除专用条款另有约定外，发包人应根据批准的初步设计和7.2.3款约定由承包人提交的临时占地资料，与承包人约定进场条件，确定进场日期。发包人应提供施工场地、完成进场道路、用地许可、拆迁及补偿等工作，保证承包人能够按时进入现场开始准备工作。进场条件和进场日期在专用条款约定。发包人应协调当地居民的关系，如需对当地居民进行补偿拆迁费、青苗费等，由发包人承担。</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因发包人原因造成承包人的进场时间延误，竣工日期相应顺延。发包人承担承包人因此发生的相关窝工费用。</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7.1.4  提供临时用水、用电等和节点铺设</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除专用条款另有约定外，发包人应按7.2.4款的约定，在承包人进场前将施工临时用水、用电等接至约定的节点位置，并保证其需要。上述临时使用的水、电等的类别、取费单价在专用条款中约定，发包人按实际计量结果收费。发包人无法提供的水、电等在专用条款中约定，相关费用由承包人纳入报价并承担相关责任。</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包人未能按约定的类别和时间完成节点铺设，使开工时间延误，竣工日期相应顺延。未能按约定的品质、数量和时间提供水、电等，给承包人造成的损失由发包人承担，导致工程关键路径延误的，竣工日期相应顺延。</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7.1.5  办理开工等批准手续</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发包人在开工日期前，</w:t>
      </w:r>
      <w:r>
        <w:rPr>
          <w:rFonts w:hint="eastAsia"/>
          <w:color w:val="000000" w:themeColor="text1"/>
          <w:sz w:val="24"/>
          <w14:textFill>
            <w14:solidFill>
              <w14:schemeClr w14:val="tx1"/>
            </w14:solidFill>
          </w14:textFill>
        </w:rPr>
        <w:t>办妥须要由发包人办理的开工批准或施工许可证、工程质量监督手续及其它所需的许可、证件和批文等，承包人协助。</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7.1.6  施工过程中须由发包人办理的批准</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承包人在施工过程中根据7.2.6款的约定，通知须由发包人办理的各项批准手续，由发包人申请办理。</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因发包人未能按时办妥上述批准手续，给承包人造成的窝工损失，由发包人承担。导致工程关键路径延误的，竣工日期相相应顺延。</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7.1.7  提供施工障碍资料</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发包人按合同约定的内容和时间提供与施工场地相关的地下和地上的建筑物、构筑物和其它设施的坐标位置。发包人根据</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款第（</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）项、第（</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项的约定，已经提供的可不再提供。承包人对发包人在合同约定时间之后提供的障碍资料，可依据13.2.3款施工变更的约定提交变更申请，对于承包人的合理请求发包人应予以批准。因发包人未能提供上述施工障碍资料或提供的资料不真实、不准确、不齐全，给承包人造成损失或损害的，由发包人承担赔偿责任。导致工程关键路径延误的，竣工日期相应顺延。</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7.1.8  承包人新发现的施工障碍</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包人根据承包人按照7.2.8款的约定发出的通知，与有关单位进行联系、协调、处理施工场地周围及临近的影响工程实施的建筑物、构筑物、文物建筑、古树、名木、地下管线、线缆、设施以及地下文物、化石和坟墓等的保护工作，并承担相关费用。</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对于新发现的施工障碍，承包人可依据13.2.3款施工变更范围第（3）项的约定提交变更申请，对于承包人的合理请求发包人应予以批准。施工障碍导致工程关键路径延误的，竣工日期相应顺延。</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7.1.9  职业健康、安全、环境保护管理计划确认</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包人在收到承包人根据7.8款约定提交的“职业健康、安全、环境保护”管理计划后20日内对之进行确认。发包人有权检查其实施情况并对检查中发现的问题提出整改建议，承包人应按照发包人合理建议自费整改。</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7.1.10  其它义务</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发包人应履行专用条款中约定的由发包人履行的其它义务。</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7.2  承包人的义务</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7.2.1  放线。</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承包人负责对工程、单项工程、施工部位放线，并对放线的准确性负责。</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7.2.2  施工组织设计。</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承包人应在施工开工</w:t>
      </w:r>
      <w:r>
        <w:rPr>
          <w:color w:val="000000" w:themeColor="text1"/>
          <w:sz w:val="24"/>
          <w14:textFill>
            <w14:solidFill>
              <w14:schemeClr w14:val="tx1"/>
            </w14:solidFill>
          </w14:textFill>
        </w:rPr>
        <w:t>15</w:t>
      </w:r>
      <w:r>
        <w:rPr>
          <w:rFonts w:hint="eastAsia"/>
          <w:color w:val="000000" w:themeColor="text1"/>
          <w:sz w:val="24"/>
          <w14:textFill>
            <w14:solidFill>
              <w14:schemeClr w14:val="tx1"/>
            </w14:solidFill>
          </w14:textFill>
        </w:rPr>
        <w:t>日前或双方约定的其它时间内，向发包人提交总体施工组织设计。随着施工进展向发包人提交主要单项工程和主要分部分项工程的施工组织设计。对发包人提出的合理建议和要求，承包人应自费修改完善。</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总体施工组织设计提交的份数和时间，及需提交施工组织设计的主要单项工程和主要分部分项工程的名称、份数和时间，在专用条款中约定。</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7.2.3  提交临时占地资料</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承包人应按专用条款约定的时间向发包人提交以下临时占用资料：</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（1）根据6.6.1款保管工程物资所需的库房、堆场、道路用地的坐标位置、面积、占用时间、用途说明，并须单列需要由发包人租地的坐标位置、面积、占用时间和用途说明；</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施工用地的坐标位置、面积、占用时间、用途说明，并须单列要求发包人租地的坐标位置、面积、占用时间和用途说明；</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（3）进入施工现场道路的入口坐标位置，并须指明要求发包人铺设与城乡公共道路相连接的道路走向、长度、路宽、等级、桥涵承重、转弯半径和时间要求。</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因承包人未能按时提交上述资料，导致7.1.3款约定的进场日期延误的，由此增加的费用和（或）竣工日期延误，由承包人负责。</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7.2.4 临时用水、用电等</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承包人应在施工开工日期</w:t>
      </w:r>
      <w:r>
        <w:rPr>
          <w:color w:val="000000" w:themeColor="text1"/>
          <w:sz w:val="24"/>
          <w14:textFill>
            <w14:solidFill>
              <w14:schemeClr w14:val="tx1"/>
            </w14:solidFill>
          </w14:textFill>
        </w:rPr>
        <w:t>30</w:t>
      </w:r>
      <w:r>
        <w:rPr>
          <w:rFonts w:hint="eastAsia"/>
          <w:color w:val="000000" w:themeColor="text1"/>
          <w:sz w:val="24"/>
          <w14:textFill>
            <w14:solidFill>
              <w14:schemeClr w14:val="tx1"/>
            </w14:solidFill>
          </w14:textFill>
        </w:rPr>
        <w:t>日前或双方约定的其它时间，按本专用条款中约定的发包人能够提供的临时用水、用电等类别，向发包人提交施工（含工程物资保管）所需的临时用水、用电等的品质、正常用量、高峰用量、使用时间和节点位置等资料。承包人自费负责计量仪器的购买、安装和维护，并依据7.1.4款专用条款中约定的单价向发包人交费，双方另有约定时除外。</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因承包人未能按合约约定提交上述资料，造成发包人费用增加和竣工日期延误时，由承包人负责。</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7.2.5  协助发包人办理开工等批准手续</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承包人应在工程开工</w:t>
      </w:r>
      <w:r>
        <w:rPr>
          <w:color w:val="000000" w:themeColor="text1"/>
          <w:sz w:val="24"/>
          <w14:textFill>
            <w14:solidFill>
              <w14:schemeClr w14:val="tx1"/>
            </w14:solidFill>
          </w14:textFill>
        </w:rPr>
        <w:t>20</w:t>
      </w:r>
      <w:r>
        <w:rPr>
          <w:rFonts w:hint="eastAsia"/>
          <w:color w:val="000000" w:themeColor="text1"/>
          <w:sz w:val="24"/>
          <w14:textFill>
            <w14:solidFill>
              <w14:schemeClr w14:val="tx1"/>
            </w14:solidFill>
          </w14:textFill>
        </w:rPr>
        <w:t>日前，通知发包人向有关部门办理须由发包人办理的开工批准或施工许可证、工程质量监督手续及其它许可、证件、批件等。发包人需要时，承包人有义务提供协助。发包人委托承包人代办并被承包人接受时，双方可另行签订协议，作为本合同的附件。</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7.2.6  施工过程中需通知办理的批准</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在施工过程中因增加场外临时用地，临时要求停水、停电、中断道路交通，爆破作业，或可能损坏道路、管线、电力、邮电、通讯等公共设施的，应提前10日通知发包人办理相关申请批准手续。并按发包人的要求，提供需要承包人提供的相关文件、资料、证件等。</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因承包人未能在10日前通知发包人或未能按时提供由发包人办理申请所需的承包人的相关文件、资料和证件等，造成承包人窝工、停工和竣工日期延误的，由承包人负责。</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7.2.7  提供施工障碍资料</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承包人应按合同约定，在每项地下或地上施工部位开工</w:t>
      </w:r>
      <w:r>
        <w:rPr>
          <w:color w:val="000000" w:themeColor="text1"/>
          <w:sz w:val="24"/>
          <w14:textFill>
            <w14:solidFill>
              <w14:schemeClr w14:val="tx1"/>
            </w14:solidFill>
          </w14:textFill>
        </w:rPr>
        <w:t>20</w:t>
      </w:r>
      <w:r>
        <w:rPr>
          <w:rFonts w:hint="eastAsia"/>
          <w:color w:val="000000" w:themeColor="text1"/>
          <w:sz w:val="24"/>
          <w14:textFill>
            <w14:solidFill>
              <w14:schemeClr w14:val="tx1"/>
            </w14:solidFill>
          </w14:textFill>
        </w:rPr>
        <w:t>日前，向发包人提交施工场地的具体范围及其坐标位置，发包人须对上述范围内提供相关的地下和地下的建筑物、构筑物和其它设施的坐标位置（不包括发包人根据5.2.1款第（1）项、第（2）项中已提供的现场障碍资料）。发包人在合同约定时间之后提出的现场障碍资料，按照13.2.3款的施工变更的约定办理。</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发包人已提供上述相关资料，因承包人未能履行保护义务，造成的损失、损害和责任，由承包人负责。因此造成工程关键路径延误的，承包人按4.1.2款的约定，自费赶上。</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7.2.8  新发现的施工障碍</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对在施工过程中新发现的场地周围及临近影响施工的建筑物、构筑物、文物建筑、古树、名木，以及地下管线、线缆、构筑物、文物、化石和坟墓等，立即采取保护措施，并及时通知发包人。新发现的施工障碍，按照13.2.3款的施工变更约定办理。</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7.2.9  施工资源</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承包人应保证其人力、机具、设备、设施、措施材料、消耗材料、周转材料及其它施工资源，满足实施工程的需求。</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7.2.10  设计文件的说明和解释</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承包人应在施工开工前向施工分包人和监理人说明设计文件的意圈，解释设计文件，及时解决施工过程中出现的有关问题。</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7.2.11  工程的保护与维护</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承包人应在开工之日起至发包人接收工程或单项工程之日止，负责工程或单项工程的照管、保护、维护和保安责任，保证工程或单项工程除不可抗力外，不受到任何损失、损害。</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7.2.12  清理现场</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承包人负责在施工过程中及完工后对现场进行清理、分类堆放，将残余物、废弃物、垃圾等运往发包人、或当地有关部门指定的地点。消理现场的费用在专</w:t>
      </w:r>
    </w:p>
    <w:p>
      <w:pPr>
        <w:wordWrap w:val="0"/>
        <w:spacing w:line="30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用条款中写明。承包人应将不再使用的机具、设备、设施和临时工程等撤离现场，或运到发包人指定的场地。</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7.2.13  其它义务</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承包人应履行专用条款中约定的应由承包人履行的其它相关义务。</w:t>
      </w:r>
    </w:p>
    <w:p>
      <w:pPr>
        <w:wordWrap w:val="0"/>
        <w:spacing w:before="120" w:beforeLines="50" w:after="120" w:afterLines="50" w:line="300" w:lineRule="auto"/>
        <w:ind w:firstLine="472" w:firstLineChars="196"/>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7.3  施工技术方法</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承包人的施工技术方法符合有关操作规程、安全规程及质量标准。</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发包人应在收到承包人提交的该方法后的</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日内予以确认或提出建议，发包人的任何此类确认和建议，并不能减轻或免除承包人的合同责任。</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7.4  人力和机具资源</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7.4.1  承包人应按专用条款约定的格式、内容、份数和提交时间，向发包人提交施工人力资源计划一览表。施工人力资源计划应符合施工进度计划的需要；并按专用条款约定的报表格式、内容、份数和报告期，向发包人提供实际进场的人力资源信息。</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未能按施工人力资源计划一览表投入足够工种和人力，导致实际施工进度明显落后于施工进度计划时，发包人有权通知承包人按计划一览表列出的工种和人数，在合理时间内调派人员进入现场，并自费赶上进度。否则，发包人有权责令承包人将某些单项工程、分部分项工程的施工另行分包，因此发生的费用及延误的时间由承包人承担。</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7.4.2  承包人应按专用条款约定的格式、内容、份数和提交时间，向发包人提交主要施工机具资源计划一览表。施工机具资源计划符合施工进度计划的需要。并按专用条款约定的报表格式、内容、份数和报告期，向发包人提供实际进场的主要施工机具信息。</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未能按施工机具资源计划一览表投入足够的机具，导致实际施工进度落后于施工进度计划时，发包人有权通知承包人按该一览表列出的机具数量，在合理时间内调派机具进入现场。否则，发包人有权向承包人提供相关机具，因此所发生的费用及延误的时间由承包人承担。</w:t>
      </w:r>
    </w:p>
    <w:p>
      <w:pPr>
        <w:wordWrap w:val="0"/>
        <w:spacing w:before="120" w:beforeLines="50" w:after="120" w:afterLines="50" w:line="300" w:lineRule="auto"/>
        <w:ind w:firstLine="472" w:firstLineChars="196"/>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7.5  质量与检验</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7.5.1  质量与检验</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（1）承包人及其分包人随时接受发包人、监理人所进行的安全、质量的监督和检查。承包人应为此类监督、检查提供方便。</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（2）发包人委托第三方对施工质量进行检查、检验、检测和试验时，应以书面形式通知承包人。第三方的验收结果视为发包人的验收结果。</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（3）承包人应遵守施工质量管理的有关规定，负有对其操作人员进行培训、考核、图纸交底、技术交底、操作规程交底、安全程序交底和质量标准交底，及消除事故隐患的责任。</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w:t>
      </w:r>
      <w:r>
        <w:rPr>
          <w:color w:val="000000" w:themeColor="text1"/>
          <w:sz w:val="24"/>
          <w14:textFill>
            <w14:solidFill>
              <w14:schemeClr w14:val="tx1"/>
            </w14:solidFill>
          </w14:textFill>
        </w:rPr>
        <w:t>承包人</w:t>
      </w:r>
      <w:r>
        <w:rPr>
          <w:rFonts w:hint="eastAsia"/>
          <w:color w:val="000000" w:themeColor="text1"/>
          <w:sz w:val="24"/>
          <w14:textFill>
            <w14:solidFill>
              <w14:schemeClr w14:val="tx1"/>
            </w14:solidFill>
          </w14:textFill>
        </w:rPr>
        <w:t>应按照</w:t>
      </w:r>
      <w:r>
        <w:rPr>
          <w:color w:val="000000" w:themeColor="text1"/>
          <w:sz w:val="24"/>
          <w14:textFill>
            <w14:solidFill>
              <w14:schemeClr w14:val="tx1"/>
            </w14:solidFill>
          </w14:textFill>
        </w:rPr>
        <w:t>设计</w:t>
      </w:r>
      <w:r>
        <w:rPr>
          <w:rFonts w:hint="eastAsia"/>
          <w:color w:val="000000" w:themeColor="text1"/>
          <w:sz w:val="24"/>
          <w14:textFill>
            <w14:solidFill>
              <w14:schemeClr w14:val="tx1"/>
            </w14:solidFill>
          </w14:textFill>
        </w:rPr>
        <w:t>文件</w:t>
      </w:r>
      <w:r>
        <w:rPr>
          <w:color w:val="000000" w:themeColor="text1"/>
          <w:sz w:val="24"/>
          <w14:textFill>
            <w14:solidFill>
              <w14:schemeClr w14:val="tx1"/>
            </w14:solidFill>
          </w14:textFill>
        </w:rPr>
        <w:t>、施工标准和合同</w:t>
      </w:r>
      <w:r>
        <w:rPr>
          <w:rFonts w:hint="eastAsia"/>
          <w:color w:val="000000" w:themeColor="text1"/>
          <w:sz w:val="24"/>
          <w14:textFill>
            <w14:solidFill>
              <w14:schemeClr w14:val="tx1"/>
            </w14:solidFill>
          </w14:textFill>
        </w:rPr>
        <w:t>约定</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负责编写施工试验和检测方案，</w:t>
      </w:r>
      <w:r>
        <w:rPr>
          <w:color w:val="000000" w:themeColor="text1"/>
          <w:sz w:val="24"/>
          <w14:textFill>
            <w14:solidFill>
              <w14:schemeClr w14:val="tx1"/>
            </w14:solidFill>
          </w14:textFill>
        </w:rPr>
        <w:t>对</w:t>
      </w:r>
      <w:r>
        <w:rPr>
          <w:rFonts w:hint="eastAsia"/>
          <w:color w:val="000000" w:themeColor="text1"/>
          <w:sz w:val="24"/>
          <w14:textFill>
            <w14:solidFill>
              <w14:schemeClr w14:val="tx1"/>
            </w14:solidFill>
          </w14:textFill>
        </w:rPr>
        <w:t>工程物资（包括</w:t>
      </w:r>
      <w:r>
        <w:rPr>
          <w:color w:val="000000" w:themeColor="text1"/>
          <w:sz w:val="24"/>
          <w14:textFill>
            <w14:solidFill>
              <w14:schemeClr w14:val="tx1"/>
            </w14:solidFill>
          </w14:textFill>
        </w:rPr>
        <w:t>建筑构配件</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进行</w:t>
      </w:r>
      <w:r>
        <w:rPr>
          <w:rFonts w:hint="eastAsia"/>
          <w:color w:val="000000" w:themeColor="text1"/>
          <w:sz w:val="24"/>
          <w14:textFill>
            <w14:solidFill>
              <w14:schemeClr w14:val="tx1"/>
            </w14:solidFill>
          </w14:textFill>
        </w:rPr>
        <w:t>检查、</w:t>
      </w:r>
      <w:r>
        <w:rPr>
          <w:color w:val="000000" w:themeColor="text1"/>
          <w:sz w:val="24"/>
          <w14:textFill>
            <w14:solidFill>
              <w14:schemeClr w14:val="tx1"/>
            </w14:solidFill>
          </w14:textFill>
        </w:rPr>
        <w:t>检验</w:t>
      </w:r>
      <w:r>
        <w:rPr>
          <w:rFonts w:hint="eastAsia"/>
          <w:color w:val="000000" w:themeColor="text1"/>
          <w:sz w:val="24"/>
          <w14:textFill>
            <w14:solidFill>
              <w14:schemeClr w14:val="tx1"/>
            </w14:solidFill>
          </w14:textFill>
        </w:rPr>
        <w:t>、检测和试验</w:t>
      </w:r>
      <w:r>
        <w:rPr>
          <w:color w:val="000000" w:themeColor="text1"/>
          <w:sz w:val="24"/>
          <w14:textFill>
            <w14:solidFill>
              <w14:schemeClr w14:val="tx1"/>
            </w14:solidFill>
          </w14:textFill>
        </w:rPr>
        <w:t>，不合格的不得使用。</w:t>
      </w:r>
      <w:r>
        <w:rPr>
          <w:rFonts w:hint="eastAsia"/>
          <w:color w:val="000000" w:themeColor="text1"/>
          <w:sz w:val="24"/>
          <w14:textFill>
            <w14:solidFill>
              <w14:schemeClr w14:val="tx1"/>
            </w14:solidFill>
          </w14:textFill>
        </w:rPr>
        <w:t>并有义务自费修复和（或）更换</w:t>
      </w:r>
      <w:r>
        <w:rPr>
          <w:color w:val="000000" w:themeColor="text1"/>
          <w:sz w:val="24"/>
          <w14:textFill>
            <w14:solidFill>
              <w14:schemeClr w14:val="tx1"/>
            </w14:solidFill>
          </w14:textFill>
        </w:rPr>
        <w:t>不合格</w:t>
      </w:r>
      <w:r>
        <w:rPr>
          <w:rFonts w:hint="eastAsia"/>
          <w:color w:val="000000" w:themeColor="text1"/>
          <w:sz w:val="24"/>
          <w14:textFill>
            <w14:solidFill>
              <w14:schemeClr w14:val="tx1"/>
            </w14:solidFill>
          </w14:textFill>
        </w:rPr>
        <w:t>的工程物资、因此造成竣工日期延误的，由承包人负责；发包人提供的工程物资经承包人检查、检验、检测和试验不合格的，发包人应自费修复和（或）更换，因此造成关键路径延误的，竣工日期相应顺延。承包人因此增加的费用，由发包人承担。</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承包人的施工应符合合同约定的质量标准。施工质量评定以合同中约定的质量检验评定标准为依据。对不符合质量标准的施工部位，承包人应自费修复、返工、更换等。因此造成竣工日期延误的，由承包人负责。</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7.5.2  质检部位与参检方。质检部位分为：发包人、监理人与承包人三方参检的部位；监理人与承包人两方参检的部位；第三方和（或）承包人一方参检的部位。对施工质量进行检查的部位、检查标准及验收的表格格式在专用条款中约定。</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承包人应将按上述约定，经其一方检查合格的部位报发包人或监理人备案。发包人和工程总监有权随时对备案的部位进行抽查或全面检查。</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7.5.3  通知参检方的参检。承包人自行检查、检验、检测和试验合格的，按7.5.2款专用条款约定的质检部位和参检方，通知相关参检单位在</w:t>
      </w:r>
      <w:r>
        <w:rPr>
          <w:color w:val="000000" w:themeColor="text1"/>
          <w:sz w:val="24"/>
          <w14:textFill>
            <w14:solidFill>
              <w14:schemeClr w14:val="tx1"/>
            </w14:solidFill>
          </w14:textFill>
        </w:rPr>
        <w:t>24</w:t>
      </w:r>
      <w:r>
        <w:rPr>
          <w:rFonts w:hint="eastAsia"/>
          <w:color w:val="000000" w:themeColor="text1"/>
          <w:sz w:val="24"/>
          <w14:textFill>
            <w14:solidFill>
              <w14:schemeClr w14:val="tx1"/>
            </w14:solidFill>
          </w14:textFill>
        </w:rPr>
        <w:t>小时内参加检查。参检方未能按时参加的，承包人应将自检合格的结果于其后的</w:t>
      </w:r>
      <w:r>
        <w:rPr>
          <w:color w:val="000000" w:themeColor="text1"/>
          <w:sz w:val="24"/>
          <w14:textFill>
            <w14:solidFill>
              <w14:schemeClr w14:val="tx1"/>
            </w14:solidFill>
          </w14:textFill>
        </w:rPr>
        <w:t>24</w:t>
      </w:r>
      <w:r>
        <w:rPr>
          <w:rFonts w:hint="eastAsia"/>
          <w:color w:val="000000" w:themeColor="text1"/>
          <w:sz w:val="24"/>
          <w14:textFill>
            <w14:solidFill>
              <w14:schemeClr w14:val="tx1"/>
            </w14:solidFill>
          </w14:textFill>
        </w:rPr>
        <w:t>小时内送交发包人和（或）监理人签字，</w:t>
      </w:r>
      <w:r>
        <w:rPr>
          <w:color w:val="000000" w:themeColor="text1"/>
          <w:sz w:val="24"/>
          <w14:textFill>
            <w14:solidFill>
              <w14:schemeClr w14:val="tx1"/>
            </w14:solidFill>
          </w14:textFill>
        </w:rPr>
        <w:t>24</w:t>
      </w:r>
      <w:r>
        <w:rPr>
          <w:rFonts w:hint="eastAsia"/>
          <w:color w:val="000000" w:themeColor="text1"/>
          <w:sz w:val="24"/>
          <w14:textFill>
            <w14:solidFill>
              <w14:schemeClr w14:val="tx1"/>
            </w14:solidFill>
          </w14:textFill>
        </w:rPr>
        <w:t>小时后未能签字，视为质检结果已被发包人认可。此后</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日内，承包人可发出视为发包人和（或）览理人已确认该质检结果的通知。</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7.5.4  质量检查的权利。发包人及其授权的监理人或第三方，在不妨碍承包人正常作业的情况下，具有对任何施工区域进行质量监督、检查、检验、检测和试验的权利。承包人应为此类质量检查活动提供便利。经质检发现因承包人原因引起的质量缺陷时，发包人有权下达修复、暂停、拆除、返工、重新施工、更换等指令。由此增加的费用由承包人承担，竣工日期不予延民。</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7.5.5  重新进行质量检查。按7.5.3款的约定，经质量检查合格的工程部位，发包人有权在不影响工程正常施工的条件下，重新进行质量检查。检查、检验、检测、试验结果不合格时，因此发生的费用由承包人承担，造成工程关键路径延误的，竣工日期不予延长；检查、检验、检测、试验的结果合格时，承包人增加的费用由发包人承担，工程关键路径延误的，竣工日期相应顺延。</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7.5.6  因发包人代表和（或）监理人的指令失误，或其它非承包人原因发生的追加施工费用，由发包人承担。造成工程关键路径延误，竣工日期相应顺延。</w:t>
      </w:r>
    </w:p>
    <w:p>
      <w:pPr>
        <w:wordWrap w:val="0"/>
        <w:spacing w:before="120" w:beforeLines="50" w:after="120" w:afterLines="50" w:line="300" w:lineRule="auto"/>
        <w:ind w:firstLine="472" w:firstLineChars="196"/>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7.6  隐蔽工程和中间验收</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7.6.1  隐蔽工程和中间验收。需要质检的隐蔽工程和中间验收部位的分类、部位、质检内容、质检标准、质检表格和参检方在专用条款中约定。</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7.6.2  验收通知和验收。承包人对自检合格的隐蔽工程或中间验收部位，应在隐蔽工程或中间验收前的</w:t>
      </w:r>
      <w:r>
        <w:rPr>
          <w:color w:val="000000" w:themeColor="text1"/>
          <w:sz w:val="24"/>
          <w14:textFill>
            <w14:solidFill>
              <w14:schemeClr w14:val="tx1"/>
            </w14:solidFill>
          </w14:textFill>
        </w:rPr>
        <w:t>48</w:t>
      </w:r>
      <w:r>
        <w:rPr>
          <w:rFonts w:hint="eastAsia"/>
          <w:color w:val="000000" w:themeColor="text1"/>
          <w:sz w:val="24"/>
          <w14:textFill>
            <w14:solidFill>
              <w14:schemeClr w14:val="tx1"/>
            </w14:solidFill>
          </w14:textFill>
        </w:rPr>
        <w:t>小时以书面形式通知发包人和（或）监理人验收。通知应包括隐蔽和中间验收的内容、验收时间和地点。验收合格，双方在验收记录上签字后，方可覆盖、进行紧后作业，编制并提交隐蔽工程竣工资料以及发包人或监理人要求提供的相关资料。</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发包人和（或）监理人在验收合格</w:t>
      </w:r>
      <w:r>
        <w:rPr>
          <w:color w:val="000000" w:themeColor="text1"/>
          <w:sz w:val="24"/>
          <w14:textFill>
            <w14:solidFill>
              <w14:schemeClr w14:val="tx1"/>
            </w14:solidFill>
          </w14:textFill>
        </w:rPr>
        <w:t>24</w:t>
      </w:r>
      <w:r>
        <w:rPr>
          <w:rFonts w:hint="eastAsia"/>
          <w:color w:val="000000" w:themeColor="text1"/>
          <w:sz w:val="24"/>
          <w14:textFill>
            <w14:solidFill>
              <w14:schemeClr w14:val="tx1"/>
            </w14:solidFill>
          </w14:textFill>
        </w:rPr>
        <w:t>小时后不在验收记录上签字的，视为发包人和（或）监理人已经认可验收记录，承包人可隐蔽或进行紧后作业。经发包人和（或）监理人验收不合格的，承包人需在发包人和（或）监理人限定的时间内修正，重新通知发包人和（或）监理人验收。</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7.6.3  未能按时参加验收。发包人和（或）监理人不能按时参加隐蔽工程或中间验收部位验收的，应在收到验收通知</w:t>
      </w:r>
      <w:r>
        <w:rPr>
          <w:color w:val="000000" w:themeColor="text1"/>
          <w:sz w:val="24"/>
          <w14:textFill>
            <w14:solidFill>
              <w14:schemeClr w14:val="tx1"/>
            </w14:solidFill>
          </w14:textFill>
        </w:rPr>
        <w:t>24</w:t>
      </w:r>
      <w:r>
        <w:rPr>
          <w:rFonts w:hint="eastAsia"/>
          <w:color w:val="000000" w:themeColor="text1"/>
          <w:sz w:val="24"/>
          <w14:textFill>
            <w14:solidFill>
              <w14:schemeClr w14:val="tx1"/>
            </w14:solidFill>
          </w14:textFill>
        </w:rPr>
        <w:t>小时内以书面形式向承包人提出延期要求，延期不能超过</w:t>
      </w:r>
      <w:r>
        <w:rPr>
          <w:color w:val="000000" w:themeColor="text1"/>
          <w:sz w:val="24"/>
          <w14:textFill>
            <w14:solidFill>
              <w14:schemeClr w14:val="tx1"/>
            </w14:solidFill>
          </w14:textFill>
        </w:rPr>
        <w:t>48</w:t>
      </w:r>
      <w:r>
        <w:rPr>
          <w:rFonts w:hint="eastAsia"/>
          <w:color w:val="000000" w:themeColor="text1"/>
          <w:sz w:val="24"/>
          <w14:textFill>
            <w14:solidFill>
              <w14:schemeClr w14:val="tx1"/>
            </w14:solidFill>
          </w14:textFill>
        </w:rPr>
        <w:t>小时。发包人未能按以上时间提出延期验收，又未能参加验收的，承包人可自行组织验收，其验收记录视为已被发包人、监理人认可。</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因应发包人和（或）监理人要求所进行延期验收造成关键路径延误的，竣工日期相应顺延：给承包人造成的停工、窝工损失，由发包人承担。</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7.6.4  再检验。发包人和（或）监理人在任何时间内，均有权要求对已经验收的隐蔽工程重新检验，承包人应按要求拆除覆盖、剥离或开孔，并在检验后重新覆盖或修复。隐蔽工程经重新检验不合格时，由此发生的费用由承包人承担，竣工日期不予延长；经检验合格时，承包人因此增加的费用由发包人承担、工程关键路径的延误，竣工日期相应顺延。</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7.7  对施工质量结果的争议</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7.7.1  双方对施工质量结果有争议时，应首先协商解决。经协商未达成一致意见的，委托双方一致同意的具有相应资格的工程质量检测机构进行检测。</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检测机构的鉴定结果，责任方为承包人时，因此造成的费用增加或竣工日期延误，由承包人负责；责任方为发包人时，因此造成的费用增加由发包人承担，工程关键路径因争议受到延误的，竣工日期相应顺延。</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7.7.2  根据检测机构的鉴定结果，合同双方均有责任时，根据各方的责任大小，协商分担发生的费用；因此造成工程关键路径延误时，商定对竣工日期的延长时间。双方对分担的费用、竣工日期延长不能达成一致时，按</w:t>
      </w:r>
      <w:r>
        <w:rPr>
          <w:color w:val="000000" w:themeColor="text1"/>
          <w:sz w:val="24"/>
          <w14:textFill>
            <w14:solidFill>
              <w14:schemeClr w14:val="tx1"/>
            </w14:solidFill>
          </w14:textFill>
        </w:rPr>
        <w:t>16.3</w:t>
      </w:r>
      <w:r>
        <w:rPr>
          <w:rFonts w:hint="eastAsia"/>
          <w:color w:val="000000" w:themeColor="text1"/>
          <w:sz w:val="24"/>
          <w14:textFill>
            <w14:solidFill>
              <w14:schemeClr w14:val="tx1"/>
            </w14:solidFill>
          </w14:textFill>
        </w:rPr>
        <w:t>款争议和裁决的约定程序解决。</w:t>
      </w:r>
    </w:p>
    <w:p>
      <w:pPr>
        <w:wordWrap w:val="0"/>
        <w:spacing w:before="120" w:beforeLines="50" w:after="120" w:afterLines="50" w:line="300" w:lineRule="auto"/>
        <w:ind w:firstLine="472" w:firstLineChars="196"/>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7.8  职业健康、安全、环境保护</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7.8.1  职业健康、安全、环境保护管理</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（1）遵守有关健康、安全、环境保护的各项法律规定，是双方的义务。</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职业健康、安全、环境保护管理实施计划。承包人应在现场开工前或约定的其它时间内，将职业健康、安全、环境保护管理实施计划提交给发包人。该计划的管理、实施费用包括在合同价格中。发包人应在收到该计划后</w:t>
      </w:r>
      <w:r>
        <w:rPr>
          <w:color w:val="000000" w:themeColor="text1"/>
          <w:sz w:val="24"/>
          <w14:textFill>
            <w14:solidFill>
              <w14:schemeClr w14:val="tx1"/>
            </w14:solidFill>
          </w14:textFill>
        </w:rPr>
        <w:t>15</w:t>
      </w:r>
      <w:r>
        <w:rPr>
          <w:rFonts w:hint="eastAsia"/>
          <w:color w:val="000000" w:themeColor="text1"/>
          <w:sz w:val="24"/>
          <w14:textFill>
            <w14:solidFill>
              <w14:schemeClr w14:val="tx1"/>
            </w14:solidFill>
          </w14:textFill>
        </w:rPr>
        <w:t>日内提出建议，并于以确认。承包人应根据发包人的建议自费修正</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职业健康、安全、环境保护管理实施计划的提交份数和提交时间，在专用条款中约定。</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（3）在承包人实施职业健康、安全、环境保护管理实施计划的过程中，发包人需要在该计划之外采取特殊措施的，按13条变更和合同价格调整的约定，作为变更处理。</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（4）承包人应确保其在现场的所有雇员及其分包人的雇员都经过了足够的培训并具有经验，能够胜任职业健康、安全、环境保护管理工作。</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（5）承包人应遵守所有与实施本工程和使用施工设备相关的现场职业健康、安全和环境保护的法律规定，并按规定各自办理相关手续。</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承包人应为现场开工部分的工程建立职业健康保障条件、搭设安全设施并采取环保措施等，为发包人办理施工许可证提供条件。因承包人原因导致施工许可的批准推迟，造成费用增加或工程关键路径延误时，由承包人负责。</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（7）承包人应配备专职工程师或管理人员，负责管理、监督、指导职工职业健康、安全保护和环境保护工作。承包人应对其分包人的行为负责。</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（8）承包人应随时接受政府有关行政部门、行业机构、发包人、监理人的职业健康、安全、环境保护检查人员的监督和检查，并为此提供方便。</w:t>
      </w:r>
    </w:p>
    <w:p>
      <w:pPr>
        <w:wordWrap w:val="0"/>
        <w:spacing w:line="300" w:lineRule="auto"/>
        <w:ind w:firstLine="470" w:firstLineChars="196"/>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7.8.2  现场职业健康管理</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承包人</w:t>
      </w:r>
      <w:r>
        <w:rPr>
          <w:rFonts w:hint="eastAsia"/>
          <w:color w:val="000000" w:themeColor="text1"/>
          <w:sz w:val="24"/>
          <w14:textFill>
            <w14:solidFill>
              <w14:schemeClr w14:val="tx1"/>
            </w14:solidFill>
          </w14:textFill>
        </w:rPr>
        <w:t>应遵守适用的职业健康的法律和合同约定（包括对雇用、职业健康、安全、福利等方面的规定），</w:t>
      </w:r>
      <w:r>
        <w:rPr>
          <w:color w:val="000000" w:themeColor="text1"/>
          <w:sz w:val="24"/>
          <w14:textFill>
            <w14:solidFill>
              <w14:schemeClr w14:val="tx1"/>
            </w14:solidFill>
          </w14:textFill>
        </w:rPr>
        <w:t>负责现场实施过程中</w:t>
      </w:r>
      <w:r>
        <w:rPr>
          <w:rFonts w:hint="eastAsia"/>
          <w:color w:val="000000" w:themeColor="text1"/>
          <w:sz w:val="24"/>
          <w14:textFill>
            <w14:solidFill>
              <w14:schemeClr w14:val="tx1"/>
            </w14:solidFill>
          </w14:textFill>
        </w:rPr>
        <w:t>其人员的</w:t>
      </w:r>
      <w:r>
        <w:rPr>
          <w:color w:val="000000" w:themeColor="text1"/>
          <w:sz w:val="24"/>
          <w14:textFill>
            <w14:solidFill>
              <w14:schemeClr w14:val="tx1"/>
            </w14:solidFill>
          </w14:textFill>
        </w:rPr>
        <w:t>职业健康</w:t>
      </w:r>
      <w:r>
        <w:rPr>
          <w:rFonts w:hint="eastAsia"/>
          <w:color w:val="000000" w:themeColor="text1"/>
          <w:sz w:val="24"/>
          <w14:textFill>
            <w14:solidFill>
              <w14:schemeClr w14:val="tx1"/>
            </w14:solidFill>
          </w14:textFill>
        </w:rPr>
        <w:t>和</w:t>
      </w:r>
      <w:r>
        <w:rPr>
          <w:color w:val="000000" w:themeColor="text1"/>
          <w:sz w:val="24"/>
          <w14:textFill>
            <w14:solidFill>
              <w14:schemeClr w14:val="tx1"/>
            </w14:solidFill>
          </w14:textFill>
        </w:rPr>
        <w:t>保护</w:t>
      </w:r>
      <w:r>
        <w:rPr>
          <w:rFonts w:hint="eastAsia"/>
          <w:color w:val="000000" w:themeColor="text1"/>
          <w:sz w:val="24"/>
          <w14:textFill>
            <w14:solidFill>
              <w14:schemeClr w14:val="tx1"/>
            </w14:solidFill>
          </w14:textFill>
        </w:rPr>
        <w:t>。</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（2）承包人应遵守适用的劳动法规，保护其雇员的合法休假权等合法权益，并为其现场人员提供劳动保护用品、防护器具、防暑降温用品、必要的现场食宿条件和安全生产设施。</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（3）承包人应对其施工人员进行相关作业的职业健康知识培训、危险及危害因素交底、安全操作规程交底、采取有效措施，按有关规定提供防止人身伤害的保护用具。</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（4）承包人应在有毒有害作业区域设置警示标志和说明。发包人及其委托人员未经承包人允许、未配备相关保护器具，进入该作业区域所造成的伤害，由发包人承担责任和费用。</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（5）承包人应对有毒有害岗位进行防治检查，对不合格的防护设施、器具、搭设等及时整改，消除危害职业健康的隐患。</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（6）承包人应采取卫生防疫措施，配备医务人员、急救设施，保持食堂的饮食卫生，保持住地及其周围的环境卫生，维护施工人员的健康。</w:t>
      </w:r>
    </w:p>
    <w:p>
      <w:pPr>
        <w:wordWrap w:val="0"/>
        <w:spacing w:line="300" w:lineRule="auto"/>
        <w:ind w:firstLine="470" w:firstLineChars="196"/>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7.8.3  现场安全管理</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发包人、监理人应对其在现场的人员进行安全教育，提供必要的个人安全用品，并对他们所造成的安全事故负责。发包人、监理人不得强令承包人违反安全施工、安全操作及竣工试验和（或）竣工后试验的有关安全规定。因发包人、监理人及其现场工作人员的原因，导致的人身伤害和财产损失，由发包人承担相关责任及所发生的费用。工程关键路径延误时，竣工日期给予顺延。</w:t>
      </w:r>
    </w:p>
    <w:p>
      <w:pPr>
        <w:wordWrap w:val="0"/>
        <w:spacing w:line="30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因承包人原因，违反安全施工、安全操作、竣工试验和（或）竣工后试验的有关安全规定，导致的人身伤害和财产损失，工程关键路径延误时，由承包人承担。</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（2）双方人员应遵守有关禁止通行的须知，包括禁止进入工作场地以及临近工作场地的特定区域。未能遵守此约定，造成伤害、损坏和损失的，由未能遵守此项约定的一方负责。</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w:t>
      </w:r>
      <w:r>
        <w:rPr>
          <w:color w:val="000000" w:themeColor="text1"/>
          <w:sz w:val="24"/>
          <w14:textFill>
            <w14:solidFill>
              <w14:schemeClr w14:val="tx1"/>
            </w14:solidFill>
          </w14:textFill>
        </w:rPr>
        <w:t>承包人</w:t>
      </w:r>
      <w:r>
        <w:rPr>
          <w:rFonts w:hint="eastAsia"/>
          <w:color w:val="000000" w:themeColor="text1"/>
          <w:sz w:val="24"/>
          <w14:textFill>
            <w14:solidFill>
              <w14:schemeClr w14:val="tx1"/>
            </w14:solidFill>
          </w14:textFill>
        </w:rPr>
        <w:t>应按合同约定负责</w:t>
      </w:r>
      <w:r>
        <w:rPr>
          <w:color w:val="000000" w:themeColor="text1"/>
          <w:sz w:val="24"/>
          <w14:textFill>
            <w14:solidFill>
              <w14:schemeClr w14:val="tx1"/>
            </w14:solidFill>
          </w14:textFill>
        </w:rPr>
        <w:t>现场的安全工作，</w:t>
      </w:r>
      <w:r>
        <w:rPr>
          <w:rFonts w:hint="eastAsia"/>
          <w:color w:val="000000" w:themeColor="text1"/>
          <w:sz w:val="24"/>
          <w14:textFill>
            <w14:solidFill>
              <w14:schemeClr w14:val="tx1"/>
            </w14:solidFill>
          </w14:textFill>
        </w:rPr>
        <w:t>包括其分包人的现场。对</w:t>
      </w:r>
      <w:r>
        <w:rPr>
          <w:color w:val="000000" w:themeColor="text1"/>
          <w:sz w:val="24"/>
          <w14:textFill>
            <w14:solidFill>
              <w14:schemeClr w14:val="tx1"/>
            </w14:solidFill>
          </w14:textFill>
        </w:rPr>
        <w:t>有条件的现场实行封闭管理</w:t>
      </w:r>
      <w:r>
        <w:rPr>
          <w:rFonts w:hint="eastAsia"/>
          <w:color w:val="000000" w:themeColor="text1"/>
          <w:sz w:val="24"/>
          <w14:textFill>
            <w14:solidFill>
              <w14:schemeClr w14:val="tx1"/>
            </w14:solidFill>
          </w14:textFill>
        </w:rPr>
        <w:t>。应根据工程特点，在施工组织设计文件中制定相应的安全技术措施，并对专业性较强的工程部分编制专项安全施工组织设计，包括维护安全、防范危险和预防火灾等措施。</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承包人（包括承包人的分包人、供应商及其运输单位）应对其现场内及进出现场途中的道路、桥梁、地下设施等，采取防范措施使其免遭损坏，专用条款另有约定除外。因未按约定采取防范措施所造成的损坏和（或）竣工日期延误，由承包人负责。</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（5）承包人应对其施工人员进行安全操作培训，安全操作规程交底，采取安全防护措施，设置安全警示标志和说明，进行安全检查，消除事故隐患。</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承包人在动力设备、输电线路、地下管道、密封防震车间、高温高压、易燃易爆区域和地段，以及临街交通要道附近作业时，应对施工现场及毗邻的建筑物、构筑物和特殊作业环境可能造成的损害采取安全防护措施。施工开始前承包人须向发包人和（或）监理人提交安全防护措施方案，经认可后实施。发包人和（或）监理人的认可，并不能减轻或免除承包人的责任。</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（7）承包人实施爆破、放射性、带电、毒害性及使用易燃易爆、毒害性、腐蚀性物品作业（含运输、储存、保管）时，应在施工前</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0日以书面形式通知发包人和（或）监理人，并提交相应的安全防护措施方案，经认可后实施。发包人和（或）监理人的认可，并不能减轻或免除承包人的责任。</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8）安全防护检查。承包人应在作业开始前，通知发包人代表和（或）监理人对其提交的安全措施方案，及现场安全设施搭设、安全通道、安全器具和消防器具配置、对周围环境安全可能带来的隐患等进行检查，并根据发包人和（或）监理人提出的整改建议自费整改。发包人和（或）监理人的检查、建议，并不能减轻或免除承包人的合同责任。</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7.8.4  现场的环境保护管理</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承包人负责在现场施工过程中保护现场周围的建筑物、构筑物、文物建筑、古树、名木，及地下管线、线缆、构筑物、文物、化石和坟墓等进行保护。因承包人未能通知发包人，并在未能得到发包人进一步指示的情况下，所造成的损害、损失、赔偿等费用增加，和（或）竣工日期延误，由承包人负责。</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（2）承包人应采取措施，并负责控制和（或）处理现场的粉尘、废气、废水、固体废物和噪声对环境的污染和危害。因此发生的伤害、赔偿、罚款等费用增加，和（或）竣工日期延误，由承包人负责。</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承包人及时或定期将施工现场残留、废弃的垃圾运到发包人或当地有关行政部门指定的地点，防止对周围环境的污染及对作业的影响。因违反上述约定导致当地行政部门的罚款、赔偿等增加的费用，由承包人承担。</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7.8.5  事故处理</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承包人（包括其分包人）的人员，在现场作业过程中发生死亡、伤害事件时，承包人应立即采取救护措施，并立即报告发包人和（或）救援单位，发包人有义务为此项抢救提供必要条件。承包人应维护好现场并采取防止事故蔓延的相应措施。</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）对重大伤亡、重大财产、环境损害及其它安全事故，承包人应按有关规定立即上报有关部门，并立即通知发包人代表和监理人。同时，按政府有关部门的要求处理。</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）合同双方对事故责任有争议时，依据16.3款争议和裁决的约定程序解决。</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）因</w:t>
      </w:r>
      <w:r>
        <w:rPr>
          <w:color w:val="000000" w:themeColor="text1"/>
          <w:sz w:val="24"/>
          <w14:textFill>
            <w14:solidFill>
              <w14:schemeClr w14:val="tx1"/>
            </w14:solidFill>
          </w14:textFill>
        </w:rPr>
        <w:t>承包人的原因致使</w:t>
      </w:r>
      <w:r>
        <w:rPr>
          <w:rFonts w:hint="eastAsia"/>
          <w:color w:val="000000" w:themeColor="text1"/>
          <w:sz w:val="24"/>
          <w14:textFill>
            <w14:solidFill>
              <w14:schemeClr w14:val="tx1"/>
            </w14:solidFill>
          </w14:textFill>
        </w:rPr>
        <w:t>建筑</w:t>
      </w:r>
      <w:r>
        <w:rPr>
          <w:color w:val="000000" w:themeColor="text1"/>
          <w:sz w:val="24"/>
          <w14:textFill>
            <w14:solidFill>
              <w14:schemeClr w14:val="tx1"/>
            </w14:solidFill>
          </w14:textFill>
        </w:rPr>
        <w:t>工程在合理使用期限</w:t>
      </w:r>
      <w:r>
        <w:rPr>
          <w:rFonts w:hint="eastAsia"/>
          <w:color w:val="000000" w:themeColor="text1"/>
          <w:sz w:val="24"/>
          <w14:textFill>
            <w14:solidFill>
              <w14:schemeClr w14:val="tx1"/>
            </w14:solidFill>
          </w14:textFill>
        </w:rPr>
        <w:t>、设备保证期内</w:t>
      </w:r>
      <w:r>
        <w:rPr>
          <w:color w:val="000000" w:themeColor="text1"/>
          <w:sz w:val="24"/>
          <w14:textFill>
            <w14:solidFill>
              <w14:schemeClr w14:val="tx1"/>
            </w14:solidFill>
          </w14:textFill>
        </w:rPr>
        <w:t>造成人身和财产损害的，</w:t>
      </w:r>
      <w:r>
        <w:rPr>
          <w:rFonts w:hint="eastAsia"/>
          <w:color w:val="000000" w:themeColor="text1"/>
          <w:sz w:val="24"/>
          <w14:textFill>
            <w14:solidFill>
              <w14:schemeClr w14:val="tx1"/>
            </w14:solidFill>
          </w14:textFill>
        </w:rPr>
        <w:t>由</w:t>
      </w:r>
      <w:r>
        <w:rPr>
          <w:color w:val="000000" w:themeColor="text1"/>
          <w:sz w:val="24"/>
          <w14:textFill>
            <w14:solidFill>
              <w14:schemeClr w14:val="tx1"/>
            </w14:solidFill>
          </w14:textFill>
        </w:rPr>
        <w:t>承包人承担损害赔偿责任</w:t>
      </w:r>
      <w:r>
        <w:rPr>
          <w:rFonts w:hint="eastAsia"/>
          <w:color w:val="000000" w:themeColor="text1"/>
          <w:sz w:val="24"/>
          <w14:textFill>
            <w14:solidFill>
              <w14:schemeClr w14:val="tx1"/>
            </w14:solidFill>
          </w14:textFill>
        </w:rPr>
        <w:t>。</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（5）因承包人原因发生员工食物中毒及职业健康事件的，承包人应承担相关责任。</w:t>
      </w:r>
    </w:p>
    <w:p>
      <w:pPr>
        <w:wordWrap w:val="0"/>
        <w:spacing w:before="120" w:beforeLines="50" w:after="120" w:afterLines="50" w:line="300" w:lineRule="auto"/>
        <w:ind w:firstLine="562" w:firstLineChars="200"/>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第</w:t>
      </w:r>
      <w:r>
        <w:rPr>
          <w:b/>
          <w:color w:val="000000" w:themeColor="text1"/>
          <w:sz w:val="28"/>
          <w:szCs w:val="28"/>
          <w14:textFill>
            <w14:solidFill>
              <w14:schemeClr w14:val="tx1"/>
            </w14:solidFill>
          </w14:textFill>
        </w:rPr>
        <w:t>8</w:t>
      </w:r>
      <w:r>
        <w:rPr>
          <w:rFonts w:hint="eastAsia"/>
          <w:b/>
          <w:color w:val="000000" w:themeColor="text1"/>
          <w:sz w:val="28"/>
          <w:szCs w:val="28"/>
          <w14:textFill>
            <w14:solidFill>
              <w14:schemeClr w14:val="tx1"/>
            </w14:solidFill>
          </w14:textFill>
        </w:rPr>
        <w:t>条竣工试验</w:t>
      </w:r>
    </w:p>
    <w:p>
      <w:pPr>
        <w:wordWrap w:val="0"/>
        <w:spacing w:before="120" w:beforeLines="50" w:after="120" w:afterLines="50"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本合同工程包含竣工试验，遵守本条约定。</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8.1</w:t>
      </w:r>
      <w:r>
        <w:rPr>
          <w:rFonts w:hint="eastAsia"/>
          <w:b/>
          <w:color w:val="000000" w:themeColor="text1"/>
          <w:sz w:val="24"/>
          <w14:textFill>
            <w14:solidFill>
              <w14:schemeClr w14:val="tx1"/>
            </w14:solidFill>
          </w14:textFill>
        </w:rPr>
        <w:t>竣工试验的义务</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8.1.1</w:t>
      </w:r>
      <w:r>
        <w:rPr>
          <w:rFonts w:hint="eastAsia"/>
          <w:color w:val="000000" w:themeColor="text1"/>
          <w:sz w:val="24"/>
          <w14:textFill>
            <w14:solidFill>
              <w14:schemeClr w14:val="tx1"/>
            </w14:solidFill>
          </w14:textFill>
        </w:rPr>
        <w:t>承包人的义务</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承包人应在单项工程和（或）工程的竣工试验开始前，完成相应单项工程和（或）工程的施工作业（不包括：为竣工试验、竣工后试验必须预留的施工部位、不影响竣工试验的缺陷修复和零星扫尾工程）；并在竣工试验开始前，按合同约定需完成对施工作业部位的检查、检验、检测和试验。</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）承包人应在竣工试验开始前，根据</w:t>
      </w:r>
      <w:r>
        <w:rPr>
          <w:color w:val="000000" w:themeColor="text1"/>
          <w:sz w:val="24"/>
          <w14:textFill>
            <w14:solidFill>
              <w14:schemeClr w14:val="tx1"/>
            </w14:solidFill>
          </w14:textFill>
        </w:rPr>
        <w:t>7.6</w:t>
      </w:r>
      <w:r>
        <w:rPr>
          <w:rFonts w:hint="eastAsia"/>
          <w:color w:val="000000" w:themeColor="text1"/>
          <w:sz w:val="24"/>
          <w14:textFill>
            <w14:solidFill>
              <w14:schemeClr w14:val="tx1"/>
            </w14:solidFill>
          </w14:textFill>
        </w:rPr>
        <w:t>款隐蔽工程和中间验收部位的约定，向发包人提交相关的质检资料及其竣工资料。</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）根据第10条竣工后试验的约定，由承包人指导发包人进行竣工后试验的，承包人须完成5.4款约定的操作维修人员培训，并在竣工试验前提交5</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4款约定的操作维修手册。</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承包人应在达到竣工试验条件20日前，将竣工试验方案提交给发包人。发包人应在10日内对方案提出建议和意见，承包人应根据发包人提出的合理建议和意见，自费对竣工试验方案进行修正。竣工试验方案经发包人确认后，作为合同附件，由承包人负责实施。发包人的确认并不能减轻或免除承包人的合同责任。竣工试验方案应包括以下内容：</w:t>
      </w:r>
    </w:p>
    <w:p>
      <w:pPr>
        <w:wordWrap w:val="0"/>
        <w:spacing w:line="300" w:lineRule="auto"/>
        <w:ind w:firstLine="849" w:firstLineChars="354"/>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1）竣工试验方案编制的依据和原则；</w:t>
      </w:r>
    </w:p>
    <w:p>
      <w:pPr>
        <w:wordWrap w:val="0"/>
        <w:spacing w:line="300" w:lineRule="auto"/>
        <w:ind w:firstLine="849" w:firstLineChars="354"/>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2）组织机构设置、责任分工；</w:t>
      </w:r>
    </w:p>
    <w:p>
      <w:pPr>
        <w:wordWrap w:val="0"/>
        <w:spacing w:line="300" w:lineRule="auto"/>
        <w:ind w:firstLine="849" w:firstLineChars="354"/>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3）单项工程竣工试验的试验程序、试验条件；</w:t>
      </w:r>
    </w:p>
    <w:p>
      <w:pPr>
        <w:wordWrap w:val="0"/>
        <w:spacing w:line="300" w:lineRule="auto"/>
        <w:ind w:firstLine="849" w:firstLineChars="354"/>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4）单件、单体、联动试验的试验程序、试验条件；</w:t>
      </w:r>
    </w:p>
    <w:p>
      <w:pPr>
        <w:wordWrap w:val="0"/>
        <w:spacing w:line="300" w:lineRule="auto"/>
        <w:ind w:firstLine="849" w:firstLineChars="354"/>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5）竣工试验的设备、材料和部件的类别、性能标准、试验及验收格式；</w:t>
      </w:r>
    </w:p>
    <w:p>
      <w:pPr>
        <w:wordWrap w:val="0"/>
        <w:spacing w:line="300" w:lineRule="auto"/>
        <w:ind w:firstLine="849" w:firstLineChars="354"/>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6）水、电、动力等条件的品质和用量要求；</w:t>
      </w:r>
    </w:p>
    <w:p>
      <w:pPr>
        <w:wordWrap w:val="0"/>
        <w:spacing w:line="300" w:lineRule="auto"/>
        <w:ind w:firstLine="849" w:firstLineChars="354"/>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7）安全程序、安全措施及防护设施；</w:t>
      </w:r>
    </w:p>
    <w:p>
      <w:pPr>
        <w:wordWrap w:val="0"/>
        <w:spacing w:line="300" w:lineRule="auto"/>
        <w:ind w:firstLine="849" w:firstLineChars="354"/>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8）竣工试验的进度计划、措施方案、人力及机具计划安排；</w:t>
      </w:r>
    </w:p>
    <w:p>
      <w:pPr>
        <w:wordWrap w:val="0"/>
        <w:spacing w:line="300" w:lineRule="auto"/>
        <w:ind w:firstLine="849" w:firstLineChars="354"/>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9）其它。</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竣工试验方案提交的份数和提交时间，在专用条款中约定。</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（5）承包人的竣工试验包括根据6.1.2款约定的由承包人提供的工程物资的竣工试验，及根据8.1.2款第（3）项发包人委托给承包人进行工程物资的竣工试验。</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（6）承包人按照试验条件、试验程序，及5.2.3款第（3）项约定的标准、规范和数据，完成竣工试验。</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8.1.2</w:t>
      </w:r>
      <w:r>
        <w:rPr>
          <w:rFonts w:hint="eastAsia"/>
          <w:color w:val="000000" w:themeColor="text1"/>
          <w:sz w:val="24"/>
          <w14:textFill>
            <w14:solidFill>
              <w14:schemeClr w14:val="tx1"/>
            </w14:solidFill>
          </w14:textFill>
        </w:rPr>
        <w:t>发包人的义务</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）发包人应按经发包人确认后的竣工试验方案，提供电力、水、动力及由发包人提供的消耗材料等。提供的电力、水、动力及相关消耗材料等须满足竣工试验对其品质、用量及时间的要求。</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当合同约定应由承包人提供的竣工试验的消耗材料和备品备件用完或不足时，发包人有义务提供其库存的竣工试验所需的相关消耗材料和备品备件。其中：因承包人原因造成损坏的或承包人提供不足的，发包人有权从合同价格中扣除相应款项；因合理耗损或发包人原因造成的，发包人应免费提供。</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）发包人委托承包人对根据</w:t>
      </w:r>
      <w:r>
        <w:rPr>
          <w:color w:val="000000" w:themeColor="text1"/>
          <w:sz w:val="24"/>
          <w14:textFill>
            <w14:solidFill>
              <w14:schemeClr w14:val="tx1"/>
            </w14:solidFill>
          </w14:textFill>
        </w:rPr>
        <w:t>6.1.</w:t>
      </w:r>
      <w:r>
        <w:rPr>
          <w:rFonts w:hint="eastAsia"/>
          <w:color w:val="000000" w:themeColor="text1"/>
          <w:sz w:val="24"/>
          <w14:textFill>
            <w14:solidFill>
              <w14:schemeClr w14:val="tx1"/>
            </w14:solidFill>
          </w14:textFill>
        </w:rPr>
        <w:t>1款约定由发包人提供的工程物资进行竣工试验的服务费，已包含在合同价格中。发包人在合同实施过程中委托承包人进行竣工试验的，依据13条变更和合同价格调整的约定，作为变更处理。</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承包人应按发包人提供的试验条件、试验程序对发包人根据本款第（3）项委托给承包人工程物资进行竣工试验，其试验结果须符合5.2.3款第（3）项约定的标准、规范和数据，发包人对该部分的试验结果负责。</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8.1.3</w:t>
      </w:r>
      <w:r>
        <w:rPr>
          <w:rFonts w:hint="eastAsia"/>
          <w:color w:val="000000" w:themeColor="text1"/>
          <w:sz w:val="24"/>
          <w14:textFill>
            <w14:solidFill>
              <w14:schemeClr w14:val="tx1"/>
            </w14:solidFill>
          </w14:textFill>
        </w:rPr>
        <w:t>竣工试验领导机构。竣工试验领导机构负责竣工试验的领导、组织和协调。承包人提供竣工试验所需的人力、机具并负责完成试验。发包人负责组织、协调、提供竣工试验方案中约定的相关条件及竣工试验的验收。</w:t>
      </w:r>
    </w:p>
    <w:p>
      <w:pPr>
        <w:wordWrap w:val="0"/>
        <w:spacing w:before="120" w:beforeLines="50" w:after="120" w:afterLines="50" w:line="300" w:lineRule="auto"/>
        <w:ind w:firstLine="472" w:firstLineChars="196"/>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8.2  竣工试验的检验和验收</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8.2.1  承包人应根据5.2.3款第（3）项约定的标准、规范、数据，及8.1.1款第（4）项竣工试验方案的第5）子项的约定进行检验和验收。</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8.</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承包人应在竣工试验开始前，依据8.1.1款的约定，对各方提供的试验条件进行检查落实，条件满足的，双方人员应签字确认。因发包人提供的竣工试验条件的延误，给承包人带来窝工损失，由发包人负责。导致竣工试验进度延误的，竣工日期相应顺延；因承包人原因未能按时落实竣工试验条件，使竣工试验进度延误时，承包人应按4.1.2款的约定自费赶上。</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8.2.3  承包人应在某项竣工试验开始</w:t>
      </w:r>
      <w:r>
        <w:rPr>
          <w:color w:val="000000" w:themeColor="text1"/>
          <w:sz w:val="24"/>
          <w14:textFill>
            <w14:solidFill>
              <w14:schemeClr w14:val="tx1"/>
            </w14:solidFill>
          </w14:textFill>
        </w:rPr>
        <w:t>36</w:t>
      </w:r>
      <w:r>
        <w:rPr>
          <w:rFonts w:hint="eastAsia"/>
          <w:color w:val="000000" w:themeColor="text1"/>
          <w:sz w:val="24"/>
          <w14:textFill>
            <w14:solidFill>
              <w14:schemeClr w14:val="tx1"/>
            </w14:solidFill>
          </w14:textFill>
        </w:rPr>
        <w:t>小时前，向发包人和（或）监理人发出通知，通知应包括试验的项目、内容、地点和验收时间。发包人和（或）监理人应在接到通知后的</w:t>
      </w:r>
      <w:r>
        <w:rPr>
          <w:color w:val="000000" w:themeColor="text1"/>
          <w:sz w:val="24"/>
          <w14:textFill>
            <w14:solidFill>
              <w14:schemeClr w14:val="tx1"/>
            </w14:solidFill>
          </w14:textFill>
        </w:rPr>
        <w:t>24</w:t>
      </w:r>
      <w:r>
        <w:rPr>
          <w:rFonts w:hint="eastAsia"/>
          <w:color w:val="000000" w:themeColor="text1"/>
          <w:sz w:val="24"/>
          <w14:textFill>
            <w14:solidFill>
              <w14:schemeClr w14:val="tx1"/>
            </w14:solidFill>
          </w14:textFill>
        </w:rPr>
        <w:t>小时内，以书面形式作出回复，试验合格后，双方应在试验记录及验收表格上签字。</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发包人和（或）监理人在验收合格的</w:t>
      </w:r>
      <w:r>
        <w:rPr>
          <w:color w:val="000000" w:themeColor="text1"/>
          <w:sz w:val="24"/>
          <w14:textFill>
            <w14:solidFill>
              <w14:schemeClr w14:val="tx1"/>
            </w14:solidFill>
          </w14:textFill>
        </w:rPr>
        <w:t>24</w:t>
      </w:r>
      <w:r>
        <w:rPr>
          <w:rFonts w:hint="eastAsia"/>
          <w:color w:val="000000" w:themeColor="text1"/>
          <w:sz w:val="24"/>
          <w14:textFill>
            <w14:solidFill>
              <w14:schemeClr w14:val="tx1"/>
            </w14:solidFill>
          </w14:textFill>
        </w:rPr>
        <w:t>小时后，不在试验记录和验收表格上签字，视为发包人和（或）监理人已经认可此项验收，承包人可进行隐蔽和（或）紧后作业。</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验收不合格的，承包人应在发包人和（或）监理人指定的时间内修正，并通知发包人和（或）监理人重新验收。</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8.2.4  发包人和（或）监理人不能按时参加试验和验收时，应在接到通知后的</w:t>
      </w:r>
      <w:r>
        <w:rPr>
          <w:color w:val="000000" w:themeColor="text1"/>
          <w:sz w:val="24"/>
          <w14:textFill>
            <w14:solidFill>
              <w14:schemeClr w14:val="tx1"/>
            </w14:solidFill>
          </w14:textFill>
        </w:rPr>
        <w:t>24</w:t>
      </w:r>
      <w:r>
        <w:rPr>
          <w:rFonts w:hint="eastAsia"/>
          <w:color w:val="000000" w:themeColor="text1"/>
          <w:sz w:val="24"/>
          <w14:textFill>
            <w14:solidFill>
              <w14:schemeClr w14:val="tx1"/>
            </w14:solidFill>
          </w14:textFill>
        </w:rPr>
        <w:t>小时内以书面形式向承包人提出延期要求，延期不能超过</w:t>
      </w:r>
      <w:r>
        <w:rPr>
          <w:color w:val="000000" w:themeColor="text1"/>
          <w:sz w:val="24"/>
          <w14:textFill>
            <w14:solidFill>
              <w14:schemeClr w14:val="tx1"/>
            </w14:solidFill>
          </w14:textFill>
        </w:rPr>
        <w:t>24</w:t>
      </w:r>
      <w:r>
        <w:rPr>
          <w:rFonts w:hint="eastAsia"/>
          <w:color w:val="000000" w:themeColor="text1"/>
          <w:sz w:val="24"/>
          <w14:textFill>
            <w14:solidFill>
              <w14:schemeClr w14:val="tx1"/>
            </w14:solidFill>
          </w14:textFill>
        </w:rPr>
        <w:t>小时。未能按以上时间提出延期试验，又未能参加试验和验收的，承包人可按通知的试验项目内容自行组织试验，试验结果视为经发包人和（或）监理人认可。</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8.2.5  不论发包人和（或）监理人是否参加竣工试验和验收，发包人均有权责令重新试验。如因承包人的原因重新试验不合格，承包人应承担由此所增加的费用，造成竣工试验进度延误时，竣工日期不予延长；如重新试验合格，承包人增加的费用，和（或）竣工日期的延长，按照13条变更和合同价格调整的约定，作为变更处理。</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8.2.6  竣工试验验收日期的约定</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）某项竣工试验的验收日期和时间：按该项竣工试验通过的日期和时间，作为该项竣工试验验收的日期和时间；</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）单项工程竣工试验的验收日期和时间：按其中最后一项竣工试验通过的日期和时间，作为该单项工程竣工试验验收的日期和时间；</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）工程的竣工试验日期和时间。按最后一个单项工程通过竣工试验的日期和时间，作为整个工程竣工试验验收的日期和时间。</w:t>
      </w:r>
    </w:p>
    <w:p>
      <w:pPr>
        <w:wordWrap w:val="0"/>
        <w:spacing w:before="120" w:beforeLines="50" w:after="120" w:afterLines="50" w:line="300" w:lineRule="auto"/>
        <w:ind w:firstLine="472" w:firstLineChars="196"/>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8.3  竣工试验的安全和检查</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8.3.1  承包人应按</w:t>
      </w:r>
      <w:r>
        <w:rPr>
          <w:color w:val="000000" w:themeColor="text1"/>
          <w:sz w:val="24"/>
          <w14:textFill>
            <w14:solidFill>
              <w14:schemeClr w14:val="tx1"/>
            </w14:solidFill>
          </w14:textFill>
        </w:rPr>
        <w:t>7.</w:t>
      </w:r>
      <w:r>
        <w:rPr>
          <w:rFonts w:hint="eastAsia"/>
          <w:color w:val="000000" w:themeColor="text1"/>
          <w:sz w:val="24"/>
          <w14:textFill>
            <w14:solidFill>
              <w14:schemeClr w14:val="tx1"/>
            </w14:solidFill>
          </w14:textFill>
        </w:rPr>
        <w:t>8款职业健康、安全和环境保护的约定，并结合竣工试验的通电、通水、通气、试压、试漏、吹扫、转动等特点，对触电危险、易燃易爆、高温高压、压力试验、机械设备运转等制定竣工试验的安全程序、安全制度、防火措施、事故报告制度及事故处理方案在内的安全操作方案，并将该方案提交给发包人确认，承包人应按照发包人提出的合理建议、意见和要求，自费对方案修正，并经发包人确认后实施。发包人的确认并不能减轻或免除承包人的合同责任。承包人为竣工试验提供安全防护措施和防护用品的费用已包含在合同价格中。</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8.3.2  承包人应对其人员进行竣工试验的安全培训，并对竣工试验的安全操作程序、场地环境、操作制度、应急处理措施等进行交底。</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8.3.3  发包人和（或）监理人有义务按照经确认的竣工试验安全方案中的安全规程、安全制度、安全措施等，对其管理人员和操作维修人员进行竣工试验的安全教育，自费提供参加监督、检查人员的防护设施。</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8.3.4   发包人和（或）监理人有权监督、检查承包人在竣工试验安全方案中列出的工作及落实情况，有权提出安全整改及发出整顿指令。承包人有义务按照指令进行整改、整顿，所增加的费用由承包人承担。因此造成工程竣工试验进度计划延误时，承包人应遵照4.1.2款的约定自费赶上。</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8.3.5  按</w:t>
      </w:r>
      <w:r>
        <w:rPr>
          <w:color w:val="000000" w:themeColor="text1"/>
          <w:sz w:val="24"/>
          <w14:textFill>
            <w14:solidFill>
              <w14:schemeClr w14:val="tx1"/>
            </w14:solidFill>
          </w14:textFill>
        </w:rPr>
        <w:t>8.1.3</w:t>
      </w:r>
      <w:r>
        <w:rPr>
          <w:rFonts w:hint="eastAsia"/>
          <w:color w:val="000000" w:themeColor="text1"/>
          <w:sz w:val="24"/>
          <w14:textFill>
            <w14:solidFill>
              <w14:schemeClr w14:val="tx1"/>
            </w14:solidFill>
          </w14:textFill>
        </w:rPr>
        <w:t>款竣工试验领导机构的决定，双方密切配合开展竣工试验的组织、协调和实施工作，防止人身伤害和事故发生。</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因发包人的原因造成的事故，由发包人承担相应责任、费用和赔偿。造成工程竣工试验进度计划延误时，竣工日期相应顺延。</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因承包人的原因造成的事故，由承包人承担相应责任、费用和赔偿。造成工程竣工试验进度计划延误时，承包人应按4.1.2款的约定自费赶上。</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8.4  延误的竣工试验</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8.4.1  因承包人的原因使某项、某单项工程落后于竣工试验进度计划的，承包人按4.1.2款的约定自费采取措施，赶上竣工试验进度计划。</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8.4.2  因承包人的原因造成竣工试验延误，致使合同约定的工程竣工日期延误时，承包人应根据4.5款误期损害赔偿的约定，承包误期赔偿责任。</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8.4.3  承包人无正当理由，未能按竣工试验领导机构决定的竣工试验进度计划进行某项竣工试验，且在收到试验领导机构发出的通知后的10日内仍未进行该项竣工试验时，造成竣工日期延误时，由承包人承担误期赔偿责任。且发包人有权自行组织该项竣工试验，由此产生的费用由承包人承担。</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8.4.4  发包人未能根据</w:t>
      </w:r>
      <w:r>
        <w:rPr>
          <w:color w:val="000000" w:themeColor="text1"/>
          <w:sz w:val="24"/>
          <w14:textFill>
            <w14:solidFill>
              <w14:schemeClr w14:val="tx1"/>
            </w14:solidFill>
          </w14:textFill>
        </w:rPr>
        <w:t>8.1.2</w:t>
      </w:r>
      <w:r>
        <w:rPr>
          <w:rFonts w:hint="eastAsia"/>
          <w:color w:val="000000" w:themeColor="text1"/>
          <w:sz w:val="24"/>
          <w14:textFill>
            <w14:solidFill>
              <w14:schemeClr w14:val="tx1"/>
            </w14:solidFill>
          </w14:textFill>
        </w:rPr>
        <w:t>款的约定履行其义务，导致承包人竣工试验延误，发包人应承担承包人因此发生的合理费用，竣工试验进度计划延误时，竣工日期相应顺延。</w:t>
      </w:r>
    </w:p>
    <w:p>
      <w:pPr>
        <w:wordWrap w:val="0"/>
        <w:spacing w:before="120" w:beforeLines="50" w:after="120" w:afterLines="50" w:line="300" w:lineRule="auto"/>
        <w:ind w:firstLine="472" w:firstLineChars="196"/>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8.5  重新试验和验收</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8.5.1  承包人未能通过相关的竣工试验，可依据</w:t>
      </w:r>
      <w:r>
        <w:rPr>
          <w:color w:val="000000" w:themeColor="text1"/>
          <w:sz w:val="24"/>
          <w14:textFill>
            <w14:solidFill>
              <w14:schemeClr w14:val="tx1"/>
            </w14:solidFill>
          </w14:textFill>
        </w:rPr>
        <w:t>8.</w:t>
      </w: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款第（6）项的约定重新进行此项试验，并按</w:t>
      </w:r>
      <w:r>
        <w:rPr>
          <w:color w:val="000000" w:themeColor="text1"/>
          <w:sz w:val="24"/>
          <w14:textFill>
            <w14:solidFill>
              <w14:schemeClr w14:val="tx1"/>
            </w14:solidFill>
          </w14:textFill>
        </w:rPr>
        <w:t>8.</w:t>
      </w:r>
      <w:r>
        <w:rPr>
          <w:rFonts w:hint="eastAsia"/>
          <w:color w:val="000000" w:themeColor="text1"/>
          <w:sz w:val="24"/>
          <w14:textFill>
            <w14:solidFill>
              <w14:schemeClr w14:val="tx1"/>
            </w14:solidFill>
          </w14:textFill>
        </w:rPr>
        <w:t>2款的约定进行检验和验收。</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8.5.2  不论发包人和（或）监理人是否参加竣工试验和验收，承包人未能通过的竣工试验，发包人均有权通知承包人再次按8.1.1款第（6）项的约定进行此项竣工试验，并按</w:t>
      </w:r>
      <w:r>
        <w:rPr>
          <w:color w:val="000000" w:themeColor="text1"/>
          <w:sz w:val="24"/>
          <w14:textFill>
            <w14:solidFill>
              <w14:schemeClr w14:val="tx1"/>
            </w14:solidFill>
          </w14:textFill>
        </w:rPr>
        <w:t>8.</w:t>
      </w:r>
      <w:r>
        <w:rPr>
          <w:rFonts w:hint="eastAsia"/>
          <w:color w:val="000000" w:themeColor="text1"/>
          <w:sz w:val="24"/>
          <w14:textFill>
            <w14:solidFill>
              <w14:schemeClr w14:val="tx1"/>
            </w14:solidFill>
          </w14:textFill>
        </w:rPr>
        <w:t>2款的约定进行检验和验收。</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8.6  未能通过竣工试验</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8.6.1 因发包人的下述原因导致竣工试验未能通过的，承包人进行竣工试验的费用由发包人承担，使竣工试验进度计划延误时，竣工日期相应延长：</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（1）发包人未能按确认的竣工试验方案中的技术参数、时间及数量提供电力、动力、水等试验条件，导致竣工试验未能通过；</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（2）发包人指令承包人按发包人的竣工试验条件、试验程序和试验方法进行试验和竣工试验，导致该项竣工试验未能通过；</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（3）发包人对承包人竣工试验的干扰，导致竣工试验未能通过；</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（4）因发包人的其它原因，导致竣工试验未能通过。</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8.6.2 因承包人原因未能通过竣工试验，该项竣工试验允许再进行，但再进行最多为两次，两次试验后仍不符合验收条件的，相关费用、竣工日期及相关事项，下述约定处理：</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）该项竣工试验未能通过，对该项操作或使用不存在实质影响，承包人自费修复。无法修复时，发包人有权扣减该部分的相应付款，视为通过；</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）该项竣工试验未能通过，对该单项工程未产生实质性操作和使用影响，发包人可相应扣减该单项工程的合同价款，可视为通过；若使竣工日期延误的，承包人承担误期损害赔偿责任。</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）该项竣工试验未能通过，对操作或使用有实质性影响，发包人有权指令承包人更换相关部分，并进行竣工试验。发包人因此增加的费用，由承包人承担。使竣工日期延误时，承包人承担误期损害赔偿责任。</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未能通过竣工试验，使单项工程的任何主要部分丧失了生产、使用功能时，发包人有权指令承包人更换相关部分，承包人自行承担因此增加的费用；竣工日期延误，并应承担误期损害赔偿责任。发包人因此增加费用的，由承包人负责赔偿。</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未能通过的工试验，使整个工程丧失了生产和（或）使用功能时，发包人有权指令承包人重新设计、重置相关部分，承包人承担因此增加的费用（包括发包人的费用）；竣工日期延误的，并应承担误期损害赔偿责任。发包人有权根据</w:t>
      </w:r>
      <w:r>
        <w:rPr>
          <w:color w:val="000000" w:themeColor="text1"/>
          <w:sz w:val="24"/>
          <w14:textFill>
            <w14:solidFill>
              <w14:schemeClr w14:val="tx1"/>
            </w14:solidFill>
          </w14:textFill>
        </w:rPr>
        <w:t>16.2.1</w:t>
      </w:r>
      <w:r>
        <w:rPr>
          <w:rFonts w:hint="eastAsia"/>
          <w:color w:val="000000" w:themeColor="text1"/>
          <w:sz w:val="24"/>
          <w14:textFill>
            <w14:solidFill>
              <w14:schemeClr w14:val="tx1"/>
            </w14:solidFill>
          </w14:textFill>
        </w:rPr>
        <w:t>款发包人的索赔约定，向承包人提出索赔，或根据18</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1.2款第（7）项的约定，解除合同。</w:t>
      </w:r>
    </w:p>
    <w:p>
      <w:pPr>
        <w:wordWrap w:val="0"/>
        <w:spacing w:before="120" w:beforeLines="50" w:after="120" w:afterLines="50" w:line="300" w:lineRule="auto"/>
        <w:ind w:firstLine="472" w:firstLineChars="196"/>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8.7  竣工试验结果的争议</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8.7.1  协商解决。双方对竣工试验结果有争议的，应首先通过协商解决。</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8.7.2  委托鉴定机构。双方经协商，对竣工试验结果仍有争议的，共同委托一个具有相应资格的检测机构进行鉴定。经检测鉴定后，按下述约定处理：</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（1）责任方为承包人时，所需的鉴定费用及因此造成发包人增加的合理费用由承包人承担，竣工日期不予延长；</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（2）责任方为发包人时，所需的鉴定费用及因此造成承包人增加的合理费用由发包人承担，竣工日期相应顺延。</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（3）双方均有责任时，根据责任大小协商分担费用，并按竣工试验计划的延误情况协商竣工日期延长。</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8.7.3  当双方对检测机构的鉴定结果有争议，依据16.3款争议和裁决的约定解决。</w:t>
      </w:r>
    </w:p>
    <w:p>
      <w:pPr>
        <w:wordWrap w:val="0"/>
        <w:spacing w:before="120" w:beforeLines="50" w:after="120" w:afterLines="50" w:line="300" w:lineRule="auto"/>
        <w:ind w:firstLine="551" w:firstLineChars="196"/>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第9条工程接收</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9.1</w:t>
      </w:r>
      <w:r>
        <w:rPr>
          <w:rFonts w:hint="eastAsia"/>
          <w:b/>
          <w:color w:val="000000" w:themeColor="text1"/>
          <w:sz w:val="24"/>
          <w14:textFill>
            <w14:solidFill>
              <w14:schemeClr w14:val="tx1"/>
            </w14:solidFill>
          </w14:textFill>
        </w:rPr>
        <w:t>工程接收</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9.1.1</w:t>
      </w:r>
      <w:r>
        <w:rPr>
          <w:rFonts w:hint="eastAsia"/>
          <w:color w:val="000000" w:themeColor="text1"/>
          <w:sz w:val="24"/>
          <w14:textFill>
            <w14:solidFill>
              <w14:schemeClr w14:val="tx1"/>
            </w14:solidFill>
          </w14:textFill>
        </w:rPr>
        <w:t>按单项工程和（或）按工程接收。根据工程项目的具体情况和特点，在专用条款约定按单项工程和（或）按工程进行接收。</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）根据第10条竣工后试验的约定，由承包人负责指导发包人进行单项工程和（或）工程竣工后试验，并承担试运行考核责任的。在专用条款中约定接收单项工程的先后顺序及时间安排，或接收工程的时间安排。</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由发包人负责单项工程和（或）工程竣工后试验及其试运行考核责任的，在专用条款中约定接收工程的日期或接收单项工程的先后顺序及时间安排。</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（2）对不存在竣工试验或竣工后试验的单项工程和（或）工程，承包人完成扫尾工程和缺陷修复，并符合合同约定的验收标准的，按合同约定办理工程接收和竣工验收。</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9.1.2</w:t>
      </w:r>
      <w:r>
        <w:rPr>
          <w:rFonts w:hint="eastAsia"/>
          <w:color w:val="000000" w:themeColor="text1"/>
          <w:sz w:val="24"/>
          <w14:textFill>
            <w14:solidFill>
              <w14:schemeClr w14:val="tx1"/>
            </w14:solidFill>
          </w14:textFill>
        </w:rPr>
        <w:t>接收工程时承包人提交的资料。除按8.1.1款（1）至（3）项约定已经提交的资料外，需提交竣工试验完成的验收资料的类别、内容、份数和提交时间，在专用条款中约定。</w:t>
      </w:r>
    </w:p>
    <w:p>
      <w:pPr>
        <w:wordWrap w:val="0"/>
        <w:spacing w:before="120" w:beforeLines="50" w:after="120" w:afterLines="50" w:line="300" w:lineRule="auto"/>
        <w:ind w:firstLine="472" w:firstLineChars="196"/>
        <w:rPr>
          <w:b/>
          <w:color w:val="000000" w:themeColor="text1"/>
          <w:sz w:val="24"/>
          <w14:textFill>
            <w14:solidFill>
              <w14:schemeClr w14:val="tx1"/>
            </w14:solidFill>
          </w14:textFill>
        </w:rPr>
      </w:pPr>
      <w:r>
        <w:rPr>
          <w:b/>
          <w:color w:val="000000" w:themeColor="text1"/>
          <w:sz w:val="24"/>
          <w14:textFill>
            <w14:solidFill>
              <w14:schemeClr w14:val="tx1"/>
            </w14:solidFill>
          </w14:textFill>
        </w:rPr>
        <w:t>9.2</w:t>
      </w:r>
      <w:r>
        <w:rPr>
          <w:rFonts w:hint="eastAsia"/>
          <w:b/>
          <w:color w:val="000000" w:themeColor="text1"/>
          <w:sz w:val="24"/>
          <w14:textFill>
            <w14:solidFill>
              <w14:schemeClr w14:val="tx1"/>
            </w14:solidFill>
          </w14:textFill>
        </w:rPr>
        <w:t>接收证书</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9.2.1</w:t>
      </w:r>
      <w:r>
        <w:rPr>
          <w:rFonts w:hint="eastAsia"/>
          <w:color w:val="000000" w:themeColor="text1"/>
          <w:sz w:val="24"/>
          <w14:textFill>
            <w14:solidFill>
              <w14:schemeClr w14:val="tx1"/>
            </w14:solidFill>
          </w14:textFill>
        </w:rPr>
        <w:t>承包人应在工程和（或）单项工程具备接收条件后的</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0日内，向发包人提交接收证书申请，发包人应在接到申请后的10日内组织接收，并签发工程和（或）单项工程接收证书。</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单项工程的接收以</w:t>
      </w:r>
      <w:r>
        <w:rPr>
          <w:color w:val="000000" w:themeColor="text1"/>
          <w:sz w:val="24"/>
          <w14:textFill>
            <w14:solidFill>
              <w14:schemeClr w14:val="tx1"/>
            </w14:solidFill>
          </w14:textFill>
        </w:rPr>
        <w:t>8.</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款第（</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）项约定的日期，作为接收日期。</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工程的接收以</w:t>
      </w:r>
      <w:r>
        <w:rPr>
          <w:color w:val="000000" w:themeColor="text1"/>
          <w:sz w:val="24"/>
          <w14:textFill>
            <w14:solidFill>
              <w14:schemeClr w14:val="tx1"/>
            </w14:solidFill>
          </w14:textFill>
        </w:rPr>
        <w:t>8.</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款第（</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）项约定的日期，作为接收日期。</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9.2.2</w:t>
      </w:r>
      <w:r>
        <w:rPr>
          <w:rFonts w:hint="eastAsia"/>
          <w:color w:val="000000" w:themeColor="text1"/>
          <w:sz w:val="24"/>
          <w14:textFill>
            <w14:solidFill>
              <w14:schemeClr w14:val="tx1"/>
            </w14:solidFill>
          </w14:textFill>
        </w:rPr>
        <w:t>扫尾工程和缺陷修复。对工程或（和）单项工程的操作、使用没有实质影响的扫尾工程和缺陷修复，不能作为发包人不接收工程的理由。经发包人与承包人协商确定的承包人完成该扫尾工程和缺陷修复的合理时间，作为接收证书的附件。</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9.3</w:t>
      </w:r>
      <w:r>
        <w:rPr>
          <w:rFonts w:hint="eastAsia"/>
          <w:b/>
          <w:color w:val="000000" w:themeColor="text1"/>
          <w:sz w:val="24"/>
          <w14:textFill>
            <w14:solidFill>
              <w14:schemeClr w14:val="tx1"/>
            </w14:solidFill>
          </w14:textFill>
        </w:rPr>
        <w:t>接收工程的责任</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9.3.1</w:t>
      </w:r>
      <w:r>
        <w:rPr>
          <w:rFonts w:hint="eastAsia"/>
          <w:color w:val="000000" w:themeColor="text1"/>
          <w:sz w:val="24"/>
          <w14:textFill>
            <w14:solidFill>
              <w14:schemeClr w14:val="tx1"/>
            </w14:solidFill>
          </w14:textFill>
        </w:rPr>
        <w:t>保安责任。自单项工程和（或）工程接收之日起，发包人承担其保安责任。</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9.3.2</w:t>
      </w:r>
      <w:r>
        <w:rPr>
          <w:rFonts w:hint="eastAsia"/>
          <w:color w:val="000000" w:themeColor="text1"/>
          <w:sz w:val="24"/>
          <w14:textFill>
            <w14:solidFill>
              <w14:schemeClr w14:val="tx1"/>
            </w14:solidFill>
          </w14:textFill>
        </w:rPr>
        <w:t>照管责任。自单项工程和（或）工程接收之日起，发包人承担其照管责任。发包人负责单项工程和（或）工程的维护、保养、维修，但不包括需由承包人完成的缺陷修复和零星扫尾的工程部位及其区域。</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9.3.3</w:t>
      </w:r>
      <w:r>
        <w:rPr>
          <w:rFonts w:hint="eastAsia"/>
          <w:color w:val="000000" w:themeColor="text1"/>
          <w:sz w:val="24"/>
          <w14:textFill>
            <w14:solidFill>
              <w14:schemeClr w14:val="tx1"/>
            </w14:solidFill>
          </w14:textFill>
        </w:rPr>
        <w:t>投保责任。如合同约定施工期间工程的应投保方是承包人时，承包人应负责对工程进行投保并将保险期限保持到9.2.1款约定的发包人接收工程的日期。该日期之后由发包人负责对工程投保。</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9.4</w:t>
      </w:r>
      <w:r>
        <w:rPr>
          <w:rFonts w:hint="eastAsia"/>
          <w:b/>
          <w:color w:val="000000" w:themeColor="text1"/>
          <w:sz w:val="24"/>
          <w14:textFill>
            <w14:solidFill>
              <w14:schemeClr w14:val="tx1"/>
            </w14:solidFill>
          </w14:textFill>
        </w:rPr>
        <w:t>未能接收工程</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9.4.1</w:t>
      </w:r>
      <w:r>
        <w:rPr>
          <w:rFonts w:hint="eastAsia"/>
          <w:color w:val="000000" w:themeColor="text1"/>
          <w:sz w:val="24"/>
          <w14:textFill>
            <w14:solidFill>
              <w14:schemeClr w14:val="tx1"/>
            </w14:solidFill>
          </w14:textFill>
        </w:rPr>
        <w:t>不接收工程。如发包人收到承包人送交的单项工程和（或）工程接收证书申请后的</w:t>
      </w:r>
      <w:r>
        <w:rPr>
          <w:color w:val="000000" w:themeColor="text1"/>
          <w:sz w:val="24"/>
          <w14:textFill>
            <w14:solidFill>
              <w14:schemeClr w14:val="tx1"/>
            </w14:solidFill>
          </w14:textFill>
        </w:rPr>
        <w:t>15</w:t>
      </w:r>
      <w:r>
        <w:rPr>
          <w:rFonts w:hint="eastAsia"/>
          <w:color w:val="000000" w:themeColor="text1"/>
          <w:sz w:val="24"/>
          <w14:textFill>
            <w14:solidFill>
              <w14:schemeClr w14:val="tx1"/>
            </w14:solidFill>
          </w14:textFill>
        </w:rPr>
        <w:t>日内不组织接收，视为单项工程、和（或）工程的接收证书申请已被发包人认可。从第</w:t>
      </w:r>
      <w:r>
        <w:rPr>
          <w:color w:val="000000" w:themeColor="text1"/>
          <w:sz w:val="24"/>
          <w14:textFill>
            <w14:solidFill>
              <w14:schemeClr w14:val="tx1"/>
            </w14:solidFill>
          </w14:textFill>
        </w:rPr>
        <w:t>16</w:t>
      </w:r>
      <w:r>
        <w:rPr>
          <w:rFonts w:hint="eastAsia"/>
          <w:color w:val="000000" w:themeColor="text1"/>
          <w:sz w:val="24"/>
          <w14:textFill>
            <w14:solidFill>
              <w14:schemeClr w14:val="tx1"/>
            </w14:solidFill>
          </w14:textFill>
        </w:rPr>
        <w:t>日起，发包人应根据9.3款的约定承担相关责任。</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9.4.2</w:t>
      </w:r>
      <w:r>
        <w:rPr>
          <w:rFonts w:hint="eastAsia"/>
          <w:color w:val="000000" w:themeColor="text1"/>
          <w:sz w:val="24"/>
          <w14:textFill>
            <w14:solidFill>
              <w14:schemeClr w14:val="tx1"/>
            </w14:solidFill>
          </w14:textFill>
        </w:rPr>
        <w:t>未按约定接收工程。承包人未按约定提交单项工程和（或）工程接收证书申请的、或未符合单项工程或工程接收条件的，发包人有权拒绝接收单项工程和（或）工程。</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发包人未能遵守本款约定，使用或强令接收不符合接受条件的单项工程和（或）工程的，将承担</w:t>
      </w:r>
      <w:r>
        <w:rPr>
          <w:color w:val="000000" w:themeColor="text1"/>
          <w:sz w:val="24"/>
          <w14:textFill>
            <w14:solidFill>
              <w14:schemeClr w14:val="tx1"/>
            </w14:solidFill>
          </w14:textFill>
        </w:rPr>
        <w:t>9.3</w:t>
      </w:r>
      <w:r>
        <w:rPr>
          <w:rFonts w:hint="eastAsia"/>
          <w:color w:val="000000" w:themeColor="text1"/>
          <w:sz w:val="24"/>
          <w14:textFill>
            <w14:solidFill>
              <w14:schemeClr w14:val="tx1"/>
            </w14:solidFill>
          </w14:textFill>
        </w:rPr>
        <w:t>款接收工程约定的相关责任，以及已被使用或强令接收的单项工程和（或）工程后进行操作、使用等所造成的损失、损坏、损害和（或）赔偿责任。</w:t>
      </w:r>
    </w:p>
    <w:p>
      <w:pPr>
        <w:wordWrap w:val="0"/>
        <w:spacing w:before="120" w:beforeLines="50" w:after="120" w:afterLines="50" w:line="300" w:lineRule="auto"/>
        <w:ind w:firstLine="551" w:firstLineChars="196"/>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第</w:t>
      </w:r>
      <w:r>
        <w:rPr>
          <w:b/>
          <w:color w:val="000000" w:themeColor="text1"/>
          <w:sz w:val="28"/>
          <w:szCs w:val="28"/>
          <w14:textFill>
            <w14:solidFill>
              <w14:schemeClr w14:val="tx1"/>
            </w14:solidFill>
          </w14:textFill>
        </w:rPr>
        <w:t>10</w:t>
      </w:r>
      <w:r>
        <w:rPr>
          <w:rFonts w:hint="eastAsia"/>
          <w:b/>
          <w:color w:val="000000" w:themeColor="text1"/>
          <w:sz w:val="28"/>
          <w:szCs w:val="28"/>
          <w14:textFill>
            <w14:solidFill>
              <w14:schemeClr w14:val="tx1"/>
            </w14:solidFill>
          </w14:textFill>
        </w:rPr>
        <w:t>条竣工后试验</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本合同工程包含竣工后试验的，遵守本条约定。</w:t>
      </w:r>
    </w:p>
    <w:p>
      <w:pPr>
        <w:wordWrap w:val="0"/>
        <w:spacing w:before="120" w:beforeLines="50" w:after="120" w:afterLines="50"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10.</w:t>
      </w:r>
      <w:r>
        <w:rPr>
          <w:rFonts w:hint="eastAsia"/>
          <w:color w:val="000000" w:themeColor="text1"/>
          <w:sz w:val="24"/>
          <w14:textFill>
            <w14:solidFill>
              <w14:schemeClr w14:val="tx1"/>
            </w14:solidFill>
          </w14:textFill>
        </w:rPr>
        <w:t>1  权力与义务</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10.1.1  发包人的权利与义务</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（1）发包人有权对第10.1.2款第（2）项约定的由承包人协助发包人编制的竣工后试验方案进行审查并批准，发包人的批准并不能减轻或免除承包人的合同责任。</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竣工后试验联合协调领导机构由发包人组建，在发包人的组织领导下，由承包人知道，依据批准的竣工后试验方案进行分工、组织完成竣工后试验的各项准备工作、进行竣工后试验和试运行考核。联合协调领导机构的设置方案及其分工职责等作为本合同的组成部分。</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（3）发包人对承包人根据10.1.2款第（4）项提出的建议，有权向承包人发出不接受或接受的通知。</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发包人未能接受承包人的上述建议，承包人有义务扔按本款第（2）项的组织安排执行。承包人因执行发包人的此项安排而发生事故、人身伤害和工程损害时，由发包人承担其责任。</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（4）发包人在竣工后试验阶段向承包人发出的组织安排、指令和通知，应以书面形式送达承包人的项目经理，由项目经理在回执上签署收到日期、时间和签名。</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发包人有权在紧急情况下，以口头、或书面形式向承包人发出紧急指令，承包人应立即执行。如承包人未能按发包人的指令执行，因此造成的事故责任、人身伤害和工程损害，由承包人承担。发包人应在发出口头指令后12小时内，将该口头指令再以书面送达承包人的项目经理。</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（6）发包人在竣工后试验阶段的其它义务和工作，在专用条款中约定。</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10.1.2  承包人的责任和义务</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承包人在发包人组建的竣工后试验联合协调领导机构的统一安排下，派出具有相应资格和经验的人员指导竣工后试验。承包人派出的开车经理或指导人员在竣工后试验期间离开现场，必须事先得到发包人批准。</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承包人应根据合同约定和工程竣工后试验的特点，协助发包人编制竣工后试验方案，并在竣工试验开始前编制完成。竣工后试验方案应包括：工程、单项工程及其相关部位的操作试验程序、资源条件、试验条件、操作规程、安全规程、事故处理程序及进度计划等。竣工后试验方案经发包人审查批准后实施。竣工后试验方案的份数和时间在专用条款约定。</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（3）因承包人未能执行发包人的安排、指令和通知，而发生的事故、人身伤害和工程损害，由承包人承担其责任。</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（4）承包人有义务对发包人的组织安排、指令和通知提出建议，并说明因由。</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（5）在紧急情况下，发包人以口头指令承包人进行的操作、工作及作业，承包人应立即执行。承包人应对此项指令做好记录，并做好实施的记录。发包人应在12小时内，将上述口头指令再以书面形式送达承包人。</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包人未能在12小时内将此项口头指令以书面形式送达承包人时，承包人及其项目经理有权在接到口头指令后的24小时内，以书面形式将该口头指令交发包人，发包人须在回执上签字确认，并签署接到的日期和时间。当发包人未能在24小时内在回执上签字确认，视为已被发包人确认。</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承包人因执行发包人的口头指令而发生事故责任、人身伤害、工程损害和费用增加时，由发包人承担。但承包人错误执行上述口头指令而发生事故责任、人身伤害、工程损害和费用增加时，由承包人负责。</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操作维修手册的缺陷责任。因承包人负责编制的操作维修手册存在缺陷所造成的事故责任、人身伤害和工程损害，由承包人承担；因发包人（包括其专利商）提供的操作指南存在缺陷，造成承包人操作手册的缺陷，因此发生事故责任、人身伤害、工程损害和承包人的费用增加时，由发包人负责。</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（7）承包人根据合同约定和（或）行业规定，在竣工后试验阶段的其它义务和工作，在专用条款中约定。</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10.2</w:t>
      </w:r>
      <w:r>
        <w:rPr>
          <w:rFonts w:hint="eastAsia"/>
          <w:b/>
          <w:color w:val="000000" w:themeColor="text1"/>
          <w:sz w:val="24"/>
          <w14:textFill>
            <w14:solidFill>
              <w14:schemeClr w14:val="tx1"/>
            </w14:solidFill>
          </w14:textFill>
        </w:rPr>
        <w:t>竣工后试验程序</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10.2.1  发包人应根据联合协调领导机构批准的竣工后试验方案，提供全部电力、水、燃料、动力、原材料、辅助材料、消耗材料以及其它试验条件，并组织安排其管理人员、操作维修人员和其它各项准备工作。</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10.2.2  承包人应根据经批准的竣工后试验方案，提供竣工后试验所需要的其它临时辅助设备、设施、工具和器具，及应由承包人完成的其它准备工作。</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10.2.3</w:t>
      </w:r>
      <w:r>
        <w:rPr>
          <w:rFonts w:hint="eastAsia"/>
          <w:color w:val="000000" w:themeColor="text1"/>
          <w:sz w:val="24"/>
          <w14:textFill>
            <w14:solidFill>
              <w14:schemeClr w14:val="tx1"/>
            </w14:solidFill>
          </w14:textFill>
        </w:rPr>
        <w:t>发包人应根据批准的竣工后试验方案，按照单项工程内的任何部分、单项工程、单项工程之间、或（和）工程的竣工后试验程序和试验条件，组织竣工后试验。</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10.2.4  联合协调领导机构组织全面检查并落实工程、单项工程及工程的任何部分竣工后试验所需要的资源条件、试验条件、安全设施条件、消防设施条件、紧急事故处理设施条件和（或）相关措施，保证记录仪器、专用记录表格的齐全和数量的充分。</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10.2.5  竣工后试验日期的通知。发包人应在接收单项工程或（和）接收工程日期后的15日内通知承包人开始竣工后试验的日期。专用条款另有约定时除外。</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因发包人原因未能在接收单项工程和（或）工程的20日内，或在专用条款中约定的日期内进行竣工后试验，发包人应自第</w:t>
      </w:r>
      <w:r>
        <w:rPr>
          <w:color w:val="000000" w:themeColor="text1"/>
          <w:sz w:val="24"/>
          <w14:textFill>
            <w14:solidFill>
              <w14:schemeClr w14:val="tx1"/>
            </w14:solidFill>
          </w14:textFill>
        </w:rPr>
        <w:t>21</w:t>
      </w:r>
      <w:r>
        <w:rPr>
          <w:rFonts w:hint="eastAsia"/>
          <w:color w:val="000000" w:themeColor="text1"/>
          <w:sz w:val="24"/>
          <w14:textFill>
            <w14:solidFill>
              <w14:schemeClr w14:val="tx1"/>
            </w14:solidFill>
          </w14:textFill>
        </w:rPr>
        <w:t>日开始或自专用条款中约定的开始日期后的第二日开始，承担承包人由此发生的相关窝工费用，包括人工费、临时辅助设备、设施的闲置费、管理费及其合理利润。</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10.</w:t>
      </w:r>
      <w:r>
        <w:rPr>
          <w:rFonts w:hint="eastAsia"/>
          <w:b/>
          <w:color w:val="000000" w:themeColor="text1"/>
          <w:sz w:val="24"/>
          <w14:textFill>
            <w14:solidFill>
              <w14:schemeClr w14:val="tx1"/>
            </w14:solidFill>
          </w14:textFill>
        </w:rPr>
        <w:t>3  竣工后试验及试运行考核</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10.3.1</w:t>
      </w:r>
      <w:r>
        <w:rPr>
          <w:rFonts w:hint="eastAsia"/>
          <w:color w:val="000000" w:themeColor="text1"/>
          <w:sz w:val="24"/>
          <w14:textFill>
            <w14:solidFill>
              <w14:schemeClr w14:val="tx1"/>
            </w14:solidFill>
          </w14:textFill>
        </w:rPr>
        <w:t>按照批准的竣工后试验方案的试验程序、试验条件、操作程序进行试验，达到合同约定的工程和（或）单项工程的生产功能和（或）使用功能。</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10.3.2</w:t>
      </w:r>
      <w:r>
        <w:rPr>
          <w:rFonts w:hint="eastAsia"/>
          <w:color w:val="000000" w:themeColor="text1"/>
          <w:sz w:val="24"/>
          <w14:textFill>
            <w14:solidFill>
              <w14:schemeClr w14:val="tx1"/>
            </w14:solidFill>
          </w14:textFill>
        </w:rPr>
        <w:t>发包人的操作人员和承包人的指导人员，在竣工后试验过程中的同一个岗位上的试验条件记录、试验记录及表格上，应如实填写数据、条件、情况、时间、姓名及约定的其它内容。</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10.3.3  试运行考核</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（1）根据5.1.1款约定，由承包人提供生产工艺技术和（或）建筑设计方案的，承包人应保证工程在试运行考核周期内，达到5.1.1款专用条款中约定的考核保证值和（或）使用功能。</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（2）根据5.1.2款约定，由发包人提供生产工艺技术和（或）建筑设计方案的，承包人应保证在试运行考核周期内达到5.1.2款专用条款中约定的，应由承包人承担的工程相关部分的考核保证值和（或）使用功能。</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（3）试运行考核的时间周期由双方根据相关行业对试运行考核周期的规定，在专用条款中约定。</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（4）试运行考核通过后或使用功能通过后，双方应共同整理竣工后试验及其试运行考核结果，并编写评价报告。报告一式两份，经合同双方签字或盖章后各持一份，作为本合同组成部分。发包人并应根据</w:t>
      </w:r>
      <w:r>
        <w:rPr>
          <w:color w:val="000000" w:themeColor="text1"/>
          <w:sz w:val="24"/>
          <w14:textFill>
            <w14:solidFill>
              <w14:schemeClr w14:val="tx1"/>
            </w14:solidFill>
          </w14:textFill>
        </w:rPr>
        <w:t>10.7</w:t>
      </w:r>
      <w:r>
        <w:rPr>
          <w:rFonts w:hint="eastAsia"/>
          <w:color w:val="000000" w:themeColor="text1"/>
          <w:sz w:val="24"/>
          <w14:textFill>
            <w14:solidFill>
              <w14:schemeClr w14:val="tx1"/>
            </w14:solidFill>
          </w14:textFill>
        </w:rPr>
        <w:t>款的约定颁发考核验收证书。</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10.3.4  产品和（或）服务收益的所有权。单项工程和（或）工程竣工后试验及试运行考核期间的任何产品收益和（或）服务收益，均属发包人所有。</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10.</w:t>
      </w:r>
      <w:r>
        <w:rPr>
          <w:rFonts w:hint="eastAsia"/>
          <w:b/>
          <w:color w:val="000000" w:themeColor="text1"/>
          <w:sz w:val="24"/>
          <w14:textFill>
            <w14:solidFill>
              <w14:schemeClr w14:val="tx1"/>
            </w14:solidFill>
          </w14:textFill>
        </w:rPr>
        <w:t>4  竣工后试验的延误</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10.4.1</w:t>
      </w:r>
      <w:r>
        <w:rPr>
          <w:rFonts w:hint="eastAsia"/>
          <w:color w:val="000000" w:themeColor="text1"/>
          <w:sz w:val="24"/>
          <w14:textFill>
            <w14:solidFill>
              <w14:schemeClr w14:val="tx1"/>
            </w14:solidFill>
          </w14:textFill>
        </w:rPr>
        <w:t>根据10.2.5款竣工后试验日期通知的约定，非因承包人原因，发包人未能在发出竣工后试验通知后的90日内开始竣工后试验的，工程和（或）单项工程视为通过了竣工后试验和试运行考核。除非专用条款另有规定。</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10.4.2</w:t>
      </w:r>
      <w:r>
        <w:rPr>
          <w:rFonts w:hint="eastAsia"/>
          <w:color w:val="000000" w:themeColor="text1"/>
          <w:sz w:val="24"/>
          <w14:textFill>
            <w14:solidFill>
              <w14:schemeClr w14:val="tx1"/>
            </w14:solidFill>
          </w14:textFill>
        </w:rPr>
        <w:t>因承包人的原因造成竣工后试验延误时，承包人应采取措施，尽快组织，配合发包人开始并通过竣工后试验。当延误造成发包人的费用增加时，发包人有权根据16.2.1款的约定向承包人提出索赔。</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10.4.3  按10.3.3款第（3）项试运行考核时间周期的约定，在试运行考核期间，因发包人原因导致考核中断或停止，且中断或停止的累计天数超过第10.3.3款第（3）项专用条款中约定的试运行考核周期时，试运行考核应在中断或停止后的60日内重新开始，超过此期限视为单项工程和（或）工程已通过了试运行考核。</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10.</w:t>
      </w:r>
      <w:r>
        <w:rPr>
          <w:rFonts w:hint="eastAsia"/>
          <w:b/>
          <w:color w:val="000000" w:themeColor="text1"/>
          <w:sz w:val="24"/>
          <w14:textFill>
            <w14:solidFill>
              <w14:schemeClr w14:val="tx1"/>
            </w14:solidFill>
          </w14:textFill>
        </w:rPr>
        <w:t>5  重新进行竣工后试验</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10.5.1</w:t>
      </w:r>
      <w:r>
        <w:rPr>
          <w:rFonts w:hint="eastAsia"/>
          <w:color w:val="000000" w:themeColor="text1"/>
          <w:sz w:val="24"/>
          <w14:textFill>
            <w14:solidFill>
              <w14:schemeClr w14:val="tx1"/>
            </w14:solidFill>
          </w14:textFill>
        </w:rPr>
        <w:t>根据5.1.1款或5.1.2款及其专用条款中的约定，因承包人原因导致工程、单项工程或工程的任何部分未能通过竣工后试验，承包人应自费修补其缺陷，由发包人依据第</w:t>
      </w:r>
      <w:r>
        <w:rPr>
          <w:color w:val="000000" w:themeColor="text1"/>
          <w:sz w:val="24"/>
          <w14:textFill>
            <w14:solidFill>
              <w14:schemeClr w14:val="tx1"/>
            </w14:solidFill>
          </w14:textFill>
        </w:rPr>
        <w:t>10.2.3</w:t>
      </w:r>
      <w:r>
        <w:rPr>
          <w:rFonts w:hint="eastAsia"/>
          <w:color w:val="000000" w:themeColor="text1"/>
          <w:sz w:val="24"/>
          <w14:textFill>
            <w14:solidFill>
              <w14:schemeClr w14:val="tx1"/>
            </w14:solidFill>
          </w14:textFill>
        </w:rPr>
        <w:t>款约定的试验程序、试验条件，重新组织进行此项试验。</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10.5.2</w:t>
      </w:r>
      <w:r>
        <w:rPr>
          <w:rFonts w:hint="eastAsia"/>
          <w:color w:val="000000" w:themeColor="text1"/>
          <w:sz w:val="24"/>
          <w14:textFill>
            <w14:solidFill>
              <w14:schemeClr w14:val="tx1"/>
            </w14:solidFill>
          </w14:textFill>
        </w:rPr>
        <w:t>承包人根据10.5.1款重新进行试验，仍未能通过该项试验时，承包人应自费继续修补缺陷，并在发包人的组织领导下，按10.2.3款约定的试验程序、试验条件，再次进行此项试验。</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10.5.3  因承包人原因，重新进行竣工后试验，给发包人增加了额外费用时，发包人有权根据</w:t>
      </w:r>
      <w:r>
        <w:rPr>
          <w:color w:val="000000" w:themeColor="text1"/>
          <w:sz w:val="24"/>
          <w14:textFill>
            <w14:solidFill>
              <w14:schemeClr w14:val="tx1"/>
            </w14:solidFill>
          </w14:textFill>
        </w:rPr>
        <w:t>16.2.1</w:t>
      </w:r>
      <w:r>
        <w:rPr>
          <w:rFonts w:hint="eastAsia"/>
          <w:color w:val="000000" w:themeColor="text1"/>
          <w:sz w:val="24"/>
          <w14:textFill>
            <w14:solidFill>
              <w14:schemeClr w14:val="tx1"/>
            </w14:solidFill>
          </w14:textFill>
        </w:rPr>
        <w:t>款的约定向承包人提出索赔。</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10.</w:t>
      </w:r>
      <w:r>
        <w:rPr>
          <w:rFonts w:hint="eastAsia"/>
          <w:b/>
          <w:color w:val="000000" w:themeColor="text1"/>
          <w:sz w:val="24"/>
          <w14:textFill>
            <w14:solidFill>
              <w14:schemeClr w14:val="tx1"/>
            </w14:solidFill>
          </w14:textFill>
        </w:rPr>
        <w:t>6  未能通过考核</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因承包人原因使工程和（或）单项工程未能通过考核，但尚具有生产功能、使用功能时，按以下约定处理：</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）未能通过试运行考核的赔偿</w:t>
      </w:r>
    </w:p>
    <w:p>
      <w:pPr>
        <w:wordWrap w:val="0"/>
        <w:spacing w:line="300" w:lineRule="auto"/>
        <w:ind w:firstLine="840" w:firstLineChars="3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1）承包人提供的生产工艺技术或建筑设计方案未能通过试运行考核</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提供的生产工艺技术和（或）建筑设计方案未能通过试运行考核时，承包人在根据5.1.1款专用条款约定的工程和（或）单项工程试运行考核保证值和（或）使用功能保证的说明书，并按照在本项专用条款中约定的未能通过试运行考核的赔偿金额、或赔偿计算公式计算的金额，向发包人支付相应赔偿金额后，视为承包人通过了试运行考核。</w:t>
      </w:r>
    </w:p>
    <w:p>
      <w:pPr>
        <w:wordWrap w:val="0"/>
        <w:spacing w:line="300" w:lineRule="auto"/>
        <w:ind w:firstLine="840" w:firstLineChars="3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2）发包人提供的生产工艺技术或建筑设计方案未能通过试运行考核</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包人提供的生产工艺技术和（或）建筑设计方案未能通过试运行考核时，承包人根据5.1.2款专用条款约定的工程和（或）单项工程试运行考核中应由承包人承担的相关责任，并按照在本项专用条款对相关责任约定的赔偿金额、或赔偿公式计算的金额，向发包人支付相应赔偿金额后，视为承包人通过了试运行考核。</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承包人对未能通过试运行考核的工程和（或）单项工程，若提出自费调查、调整和修正并被发包人接受时，双方商定相应的调查、修正和试验期限，发包人应为此提供方便。在通过该项考核之前，发包人可暂不按</w:t>
      </w:r>
      <w:r>
        <w:rPr>
          <w:color w:val="000000" w:themeColor="text1"/>
          <w:sz w:val="24"/>
          <w14:textFill>
            <w14:solidFill>
              <w14:schemeClr w14:val="tx1"/>
            </w14:solidFill>
          </w14:textFill>
        </w:rPr>
        <w:t>10.6</w:t>
      </w:r>
      <w:r>
        <w:rPr>
          <w:rFonts w:hint="eastAsia"/>
          <w:color w:val="000000" w:themeColor="text1"/>
          <w:sz w:val="24"/>
          <w14:textFill>
            <w14:solidFill>
              <w14:schemeClr w14:val="tx1"/>
            </w14:solidFill>
          </w14:textFill>
        </w:rPr>
        <w:t>款第（</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）项约定提出赔偿。</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）发包人接受了本款第（</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）项约定，但在商定的期限内发包人未能给承包人提供方便，致使承包人无法在约定期限内进行调查、调整和修正的，视为该项试运行考核已被通过。</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10.</w:t>
      </w:r>
      <w:r>
        <w:rPr>
          <w:rFonts w:hint="eastAsia"/>
          <w:b/>
          <w:color w:val="000000" w:themeColor="text1"/>
          <w:sz w:val="24"/>
          <w14:textFill>
            <w14:solidFill>
              <w14:schemeClr w14:val="tx1"/>
            </w14:solidFill>
          </w14:textFill>
        </w:rPr>
        <w:t>7  竣工后试验及考核验收证书</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10.7.1</w:t>
      </w:r>
      <w:r>
        <w:rPr>
          <w:rFonts w:hint="eastAsia"/>
          <w:color w:val="000000" w:themeColor="text1"/>
          <w:sz w:val="24"/>
          <w14:textFill>
            <w14:solidFill>
              <w14:schemeClr w14:val="tx1"/>
            </w14:solidFill>
          </w14:textFill>
        </w:rPr>
        <w:t>在专用条款中约定按工程和（或）按单项工程颁发竣工后试验及考核验收证书。</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10.7.2</w:t>
      </w:r>
      <w:r>
        <w:rPr>
          <w:rFonts w:hint="eastAsia"/>
          <w:color w:val="000000" w:themeColor="text1"/>
          <w:sz w:val="24"/>
          <w14:textFill>
            <w14:solidFill>
              <w14:schemeClr w14:val="tx1"/>
            </w14:solidFill>
          </w14:textFill>
        </w:rPr>
        <w:t>发包人根据10.3款、10.4款、10.5.1款、10.5.2款及10.6款的约定对通过或视为通过竣工后试验和（或）试运行考核的，应按10.7.1款颁发竣工后试验及考核验收证书。该证书中写明的试运行考核通过的日期和时间，为实际完成考核或视为通过试运行考核的日期和时间。</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10.8  丧失了生产价值和使用价值</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因承包人的原因，工程和（或）单项工程未能通过竣工后试验，并使整个工程丧失了生产价值或使用价值时，发包人有权提出未能履约的索赔，并扣罚已提交的履约保函。但发包人不得将本合同以外的连带合同损失包括在未履约索赔之中。</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连带合同损失指市场销售合同损失、市场预计盈利、生产流动资金贷款利息、竣工后试验及试运行考核周期以外所签订的原材料、辅助材料、电力、水、燃料等供应合同损失，以及运输合同等损失，适用法律另有规定除外。</w:t>
      </w:r>
    </w:p>
    <w:p>
      <w:pPr>
        <w:wordWrap w:val="0"/>
        <w:spacing w:before="120" w:beforeLines="50" w:after="120" w:afterLines="50" w:line="300" w:lineRule="auto"/>
        <w:ind w:firstLine="551" w:firstLineChars="196"/>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第11条质量保修责任</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11.1质量保修责任书</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11.1.1 质量保修责任书。</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按</w:t>
      </w:r>
      <w:r>
        <w:rPr>
          <w:rFonts w:hint="eastAsia"/>
          <w:color w:val="000000" w:themeColor="text1"/>
          <w:sz w:val="24"/>
          <w14:textFill>
            <w14:solidFill>
              <w14:schemeClr w14:val="tx1"/>
            </w14:solidFill>
          </w14:textFill>
        </w:rPr>
        <w:t>照相关</w:t>
      </w:r>
      <w:r>
        <w:rPr>
          <w:color w:val="000000" w:themeColor="text1"/>
          <w:sz w:val="24"/>
          <w14:textFill>
            <w14:solidFill>
              <w14:schemeClr w14:val="tx1"/>
            </w14:solidFill>
          </w14:textFill>
        </w:rPr>
        <w:t>法律规定</w:t>
      </w:r>
      <w:r>
        <w:rPr>
          <w:rFonts w:hint="eastAsia"/>
          <w:color w:val="000000" w:themeColor="text1"/>
          <w:sz w:val="24"/>
          <w14:textFill>
            <w14:solidFill>
              <w14:schemeClr w14:val="tx1"/>
            </w14:solidFill>
          </w14:textFill>
        </w:rPr>
        <w:t>签订质量保修责任书是竣工验收的条件之一。双方应</w:t>
      </w:r>
      <w:r>
        <w:rPr>
          <w:color w:val="000000" w:themeColor="text1"/>
          <w:sz w:val="24"/>
          <w14:textFill>
            <w14:solidFill>
              <w14:schemeClr w14:val="tx1"/>
            </w14:solidFill>
          </w14:textFill>
        </w:rPr>
        <w:t>按法律规定的保修内容</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范围、期限</w:t>
      </w:r>
      <w:r>
        <w:rPr>
          <w:rFonts w:hint="eastAsia"/>
          <w:color w:val="000000" w:themeColor="text1"/>
          <w:sz w:val="24"/>
          <w14:textFill>
            <w14:solidFill>
              <w14:schemeClr w14:val="tx1"/>
            </w14:solidFill>
          </w14:textFill>
        </w:rPr>
        <w:t>和</w:t>
      </w:r>
      <w:r>
        <w:rPr>
          <w:color w:val="000000" w:themeColor="text1"/>
          <w:sz w:val="24"/>
          <w14:textFill>
            <w14:solidFill>
              <w14:schemeClr w14:val="tx1"/>
            </w14:solidFill>
          </w14:textFill>
        </w:rPr>
        <w:t>责任</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签订质量保修责任书，作为</w:t>
      </w:r>
      <w:r>
        <w:rPr>
          <w:rFonts w:hint="eastAsia"/>
          <w:color w:val="000000" w:themeColor="text1"/>
          <w:sz w:val="24"/>
          <w14:textFill>
            <w14:solidFill>
              <w14:schemeClr w14:val="tx1"/>
            </w14:solidFill>
          </w14:textFill>
        </w:rPr>
        <w:t>本</w:t>
      </w:r>
      <w:r>
        <w:rPr>
          <w:color w:val="000000" w:themeColor="text1"/>
          <w:sz w:val="24"/>
          <w14:textFill>
            <w14:solidFill>
              <w14:schemeClr w14:val="tx1"/>
            </w14:solidFill>
          </w14:textFill>
        </w:rPr>
        <w:t>合同附件。</w:t>
      </w:r>
      <w:r>
        <w:rPr>
          <w:rFonts w:hint="eastAsia"/>
          <w:color w:val="000000" w:themeColor="text1"/>
          <w:sz w:val="24"/>
          <w14:textFill>
            <w14:solidFill>
              <w14:schemeClr w14:val="tx1"/>
            </w14:solidFill>
          </w14:textFill>
        </w:rPr>
        <w:t>9.2.1款接收证书中写明的</w:t>
      </w:r>
      <w:r>
        <w:rPr>
          <w:color w:val="000000" w:themeColor="text1"/>
          <w:sz w:val="24"/>
          <w14:textFill>
            <w14:solidFill>
              <w14:schemeClr w14:val="tx1"/>
            </w14:solidFill>
          </w14:textFill>
        </w:rPr>
        <w:t>单项工程和（或）工程的</w:t>
      </w:r>
      <w:r>
        <w:rPr>
          <w:rFonts w:hint="eastAsia"/>
          <w:color w:val="000000" w:themeColor="text1"/>
          <w:sz w:val="24"/>
          <w14:textFill>
            <w14:solidFill>
              <w14:schemeClr w14:val="tx1"/>
            </w14:solidFill>
          </w14:textFill>
        </w:rPr>
        <w:t>接收</w:t>
      </w:r>
      <w:r>
        <w:rPr>
          <w:color w:val="000000" w:themeColor="text1"/>
          <w:sz w:val="24"/>
          <w14:textFill>
            <w14:solidFill>
              <w14:schemeClr w14:val="tx1"/>
            </w14:solidFill>
          </w14:textFill>
        </w:rPr>
        <w:t>日期，</w:t>
      </w:r>
      <w:r>
        <w:rPr>
          <w:rFonts w:hint="eastAsia"/>
          <w:color w:val="000000" w:themeColor="text1"/>
          <w:sz w:val="24"/>
          <w14:textFill>
            <w14:solidFill>
              <w14:schemeClr w14:val="tx1"/>
            </w14:solidFill>
          </w14:textFill>
        </w:rPr>
        <w:t>或</w:t>
      </w:r>
      <w:r>
        <w:rPr>
          <w:color w:val="000000" w:themeColor="text1"/>
          <w:sz w:val="24"/>
          <w14:textFill>
            <w14:solidFill>
              <w14:schemeClr w14:val="tx1"/>
            </w14:solidFill>
          </w14:textFill>
        </w:rPr>
        <w:t>单项工程和（或）工程</w:t>
      </w:r>
      <w:r>
        <w:rPr>
          <w:rFonts w:hint="eastAsia"/>
          <w:color w:val="000000" w:themeColor="text1"/>
          <w:sz w:val="24"/>
          <w14:textFill>
            <w14:solidFill>
              <w14:schemeClr w14:val="tx1"/>
            </w14:solidFill>
          </w14:textFill>
        </w:rPr>
        <w:t>视为被接收的</w:t>
      </w:r>
      <w:r>
        <w:rPr>
          <w:color w:val="000000" w:themeColor="text1"/>
          <w:sz w:val="24"/>
          <w14:textFill>
            <w14:solidFill>
              <w14:schemeClr w14:val="tx1"/>
            </w14:solidFill>
          </w14:textFill>
        </w:rPr>
        <w:t>日期，是承包人保修责任开始的日期</w:t>
      </w:r>
      <w:r>
        <w:rPr>
          <w:rFonts w:hint="eastAsia"/>
          <w:color w:val="000000" w:themeColor="text1"/>
          <w:sz w:val="24"/>
          <w14:textFill>
            <w14:solidFill>
              <w14:schemeClr w14:val="tx1"/>
            </w14:solidFill>
          </w14:textFill>
        </w:rPr>
        <w:t>，也是缺陷责任期的开始日期</w:t>
      </w:r>
      <w:r>
        <w:rPr>
          <w:color w:val="000000" w:themeColor="text1"/>
          <w:sz w:val="24"/>
          <w14:textFill>
            <w14:solidFill>
              <w14:schemeClr w14:val="tx1"/>
            </w14:solidFill>
          </w14:textFill>
        </w:rPr>
        <w:t>。</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11.1.2  未能提交</w:t>
      </w:r>
      <w:r>
        <w:rPr>
          <w:rFonts w:hint="eastAsia"/>
          <w:color w:val="000000" w:themeColor="text1"/>
          <w:sz w:val="24"/>
          <w14:textFill>
            <w14:solidFill>
              <w14:schemeClr w14:val="tx1"/>
            </w14:solidFill>
          </w14:textFill>
        </w:rPr>
        <w:t>质量保修责任书</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承包人未能提交质量保修责任书、无正当理由不</w:t>
      </w:r>
      <w:r>
        <w:rPr>
          <w:color w:val="000000" w:themeColor="text1"/>
          <w:sz w:val="24"/>
          <w14:textFill>
            <w14:solidFill>
              <w14:schemeClr w14:val="tx1"/>
            </w14:solidFill>
          </w14:textFill>
        </w:rPr>
        <w:t>与发包人签订质量保修责任书，发包人</w:t>
      </w:r>
      <w:r>
        <w:rPr>
          <w:rFonts w:hint="eastAsia"/>
          <w:color w:val="000000" w:themeColor="text1"/>
          <w:sz w:val="24"/>
          <w14:textFill>
            <w14:solidFill>
              <w14:schemeClr w14:val="tx1"/>
            </w14:solidFill>
          </w14:textFill>
        </w:rPr>
        <w:t>可</w:t>
      </w:r>
      <w:r>
        <w:rPr>
          <w:color w:val="000000" w:themeColor="text1"/>
          <w:sz w:val="24"/>
          <w14:textFill>
            <w14:solidFill>
              <w14:schemeClr w14:val="tx1"/>
            </w14:solidFill>
          </w14:textFill>
        </w:rPr>
        <w:t>不与承包人办理竣工结算，不承担</w:t>
      </w:r>
      <w:r>
        <w:rPr>
          <w:rFonts w:hint="eastAsia"/>
          <w:color w:val="000000" w:themeColor="text1"/>
          <w:sz w:val="24"/>
          <w14:textFill>
            <w14:solidFill>
              <w14:schemeClr w14:val="tx1"/>
            </w14:solidFill>
          </w14:textFill>
        </w:rPr>
        <w:t>尚未</w:t>
      </w:r>
      <w:r>
        <w:rPr>
          <w:color w:val="000000" w:themeColor="text1"/>
          <w:sz w:val="24"/>
          <w14:textFill>
            <w14:solidFill>
              <w14:schemeClr w14:val="tx1"/>
            </w14:solidFill>
          </w14:textFill>
        </w:rPr>
        <w:t>支付</w:t>
      </w:r>
      <w:r>
        <w:rPr>
          <w:rFonts w:hint="eastAsia"/>
          <w:color w:val="000000" w:themeColor="text1"/>
          <w:sz w:val="24"/>
          <w14:textFill>
            <w14:solidFill>
              <w14:schemeClr w14:val="tx1"/>
            </w14:solidFill>
          </w14:textFill>
        </w:rPr>
        <w:t>的</w:t>
      </w:r>
      <w:r>
        <w:rPr>
          <w:color w:val="000000" w:themeColor="text1"/>
          <w:sz w:val="24"/>
          <w14:textFill>
            <w14:solidFill>
              <w14:schemeClr w14:val="tx1"/>
            </w14:solidFill>
          </w14:textFill>
        </w:rPr>
        <w:t>竣工结算款项的相应利息</w:t>
      </w:r>
      <w:r>
        <w:rPr>
          <w:rFonts w:hint="eastAsia"/>
          <w:color w:val="000000" w:themeColor="text1"/>
          <w:sz w:val="24"/>
          <w14:textFill>
            <w14:solidFill>
              <w14:schemeClr w14:val="tx1"/>
            </w14:solidFill>
          </w14:textFill>
        </w:rPr>
        <w:t>，即使合同已约定延期支付利息。</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如</w:t>
      </w:r>
      <w:r>
        <w:rPr>
          <w:color w:val="000000" w:themeColor="text1"/>
          <w:sz w:val="24"/>
          <w14:textFill>
            <w14:solidFill>
              <w14:schemeClr w14:val="tx1"/>
            </w14:solidFill>
          </w14:textFill>
        </w:rPr>
        <w:t>承包人提交了质量保修责任书，提请与发包人签订该责任书</w:t>
      </w:r>
      <w:r>
        <w:rPr>
          <w:rFonts w:hint="eastAsia"/>
          <w:color w:val="000000" w:themeColor="text1"/>
          <w:sz w:val="24"/>
          <w14:textFill>
            <w14:solidFill>
              <w14:schemeClr w14:val="tx1"/>
            </w14:solidFill>
          </w14:textFill>
        </w:rPr>
        <w:t>并在合同中约定了延期付款利息</w:t>
      </w:r>
      <w:r>
        <w:rPr>
          <w:color w:val="000000" w:themeColor="text1"/>
          <w:sz w:val="24"/>
          <w14:textFill>
            <w14:solidFill>
              <w14:schemeClr w14:val="tx1"/>
            </w14:solidFill>
          </w14:textFill>
        </w:rPr>
        <w:t>，但因发包人原因未能及时签署质量保修责任书，发包</w:t>
      </w:r>
      <w:r>
        <w:rPr>
          <w:rFonts w:hint="eastAsia"/>
          <w:color w:val="000000" w:themeColor="text1"/>
          <w:sz w:val="24"/>
          <w14:textFill>
            <w14:solidFill>
              <w14:schemeClr w14:val="tx1"/>
            </w14:solidFill>
          </w14:textFill>
        </w:rPr>
        <w:t>人应</w:t>
      </w:r>
      <w:r>
        <w:rPr>
          <w:color w:val="000000" w:themeColor="text1"/>
          <w:sz w:val="24"/>
          <w14:textFill>
            <w14:solidFill>
              <w14:schemeClr w14:val="tx1"/>
            </w14:solidFill>
          </w14:textFill>
        </w:rPr>
        <w:t>从接到该责任书的</w:t>
      </w:r>
      <w:r>
        <w:rPr>
          <w:rFonts w:hint="eastAsia"/>
          <w:color w:val="000000" w:themeColor="text1"/>
          <w:sz w:val="24"/>
          <w14:textFill>
            <w14:solidFill>
              <w14:schemeClr w14:val="tx1"/>
            </w14:solidFill>
          </w14:textFill>
        </w:rPr>
        <w:t>第</w:t>
      </w:r>
      <w:r>
        <w:rPr>
          <w:color w:val="000000" w:themeColor="text1"/>
          <w:sz w:val="24"/>
          <w14:textFill>
            <w14:solidFill>
              <w14:schemeClr w14:val="tx1"/>
            </w14:solidFill>
          </w14:textFill>
        </w:rPr>
        <w:t>11日起承担竣工结算</w:t>
      </w:r>
      <w:r>
        <w:rPr>
          <w:rFonts w:hint="eastAsia"/>
          <w:color w:val="000000" w:themeColor="text1"/>
          <w:sz w:val="24"/>
          <w14:textFill>
            <w14:solidFill>
              <w14:schemeClr w14:val="tx1"/>
            </w14:solidFill>
          </w14:textFill>
        </w:rPr>
        <w:t>款项</w:t>
      </w:r>
      <w:r>
        <w:rPr>
          <w:color w:val="000000" w:themeColor="text1"/>
          <w:sz w:val="24"/>
          <w14:textFill>
            <w14:solidFill>
              <w14:schemeClr w14:val="tx1"/>
            </w14:solidFill>
          </w14:textFill>
        </w:rPr>
        <w:t>延期支付的利息</w:t>
      </w:r>
      <w:r>
        <w:rPr>
          <w:rFonts w:hint="eastAsia"/>
          <w:color w:val="000000" w:themeColor="text1"/>
          <w:sz w:val="24"/>
          <w14:textFill>
            <w14:solidFill>
              <w14:schemeClr w14:val="tx1"/>
            </w14:solidFill>
          </w14:textFill>
        </w:rPr>
        <w:t>。</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11.2</w:t>
      </w:r>
      <w:r>
        <w:rPr>
          <w:rFonts w:hint="eastAsia"/>
          <w:b/>
          <w:color w:val="000000" w:themeColor="text1"/>
          <w:sz w:val="24"/>
          <w14:textFill>
            <w14:solidFill>
              <w14:schemeClr w14:val="tx1"/>
            </w14:solidFill>
          </w14:textFill>
        </w:rPr>
        <w:t>缺陷责任保修金</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11.2.1  </w:t>
      </w:r>
      <w:r>
        <w:rPr>
          <w:rFonts w:hint="eastAsia"/>
          <w:color w:val="000000" w:themeColor="text1"/>
          <w:sz w:val="24"/>
          <w14:textFill>
            <w14:solidFill>
              <w14:schemeClr w14:val="tx1"/>
            </w14:solidFill>
          </w14:textFill>
        </w:rPr>
        <w:t>缺陷责任</w:t>
      </w:r>
      <w:r>
        <w:rPr>
          <w:color w:val="000000" w:themeColor="text1"/>
          <w:sz w:val="24"/>
          <w14:textFill>
            <w14:solidFill>
              <w14:schemeClr w14:val="tx1"/>
            </w14:solidFill>
          </w14:textFill>
        </w:rPr>
        <w:t>保修金</w:t>
      </w:r>
      <w:r>
        <w:rPr>
          <w:rFonts w:hint="eastAsia"/>
          <w:color w:val="000000" w:themeColor="text1"/>
          <w:sz w:val="24"/>
          <w14:textFill>
            <w14:solidFill>
              <w14:schemeClr w14:val="tx1"/>
            </w14:solidFill>
          </w14:textFill>
        </w:rPr>
        <w:t>金</w:t>
      </w:r>
      <w:r>
        <w:rPr>
          <w:color w:val="000000" w:themeColor="text1"/>
          <w:sz w:val="24"/>
          <w14:textFill>
            <w14:solidFill>
              <w14:schemeClr w14:val="tx1"/>
            </w14:solidFill>
          </w14:textFill>
        </w:rPr>
        <w:t>额</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缺陷责任保修金的金额，在专用条款中的约定</w:t>
      </w:r>
      <w:r>
        <w:rPr>
          <w:color w:val="000000" w:themeColor="text1"/>
          <w:sz w:val="24"/>
          <w14:textFill>
            <w14:solidFill>
              <w14:schemeClr w14:val="tx1"/>
            </w14:solidFill>
          </w14:textFill>
        </w:rPr>
        <w:t>。</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11.2.2  </w:t>
      </w:r>
      <w:r>
        <w:rPr>
          <w:rFonts w:hint="eastAsia"/>
          <w:color w:val="000000" w:themeColor="text1"/>
          <w:sz w:val="24"/>
          <w14:textFill>
            <w14:solidFill>
              <w14:schemeClr w14:val="tx1"/>
            </w14:solidFill>
          </w14:textFill>
        </w:rPr>
        <w:t>缺陷责任保修金的暂扣</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缺陷责任</w:t>
      </w:r>
      <w:r>
        <w:rPr>
          <w:color w:val="000000" w:themeColor="text1"/>
          <w:sz w:val="24"/>
          <w14:textFill>
            <w14:solidFill>
              <w14:schemeClr w14:val="tx1"/>
            </w14:solidFill>
          </w14:textFill>
        </w:rPr>
        <w:t>保修金的暂扣</w:t>
      </w:r>
      <w:r>
        <w:rPr>
          <w:rFonts w:hint="eastAsia"/>
          <w:color w:val="000000" w:themeColor="text1"/>
          <w:sz w:val="24"/>
          <w14:textFill>
            <w14:solidFill>
              <w14:schemeClr w14:val="tx1"/>
            </w14:solidFill>
          </w14:textFill>
        </w:rPr>
        <w:t>方式，在专用条款中约定。</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11.2.3  </w:t>
      </w:r>
      <w:r>
        <w:rPr>
          <w:rFonts w:hint="eastAsia"/>
          <w:color w:val="000000" w:themeColor="text1"/>
          <w:sz w:val="24"/>
          <w14:textFill>
            <w14:solidFill>
              <w14:schemeClr w14:val="tx1"/>
            </w14:solidFill>
          </w14:textFill>
        </w:rPr>
        <w:t>缺陷责任</w:t>
      </w:r>
      <w:r>
        <w:rPr>
          <w:color w:val="000000" w:themeColor="text1"/>
          <w:sz w:val="24"/>
          <w14:textFill>
            <w14:solidFill>
              <w14:schemeClr w14:val="tx1"/>
            </w14:solidFill>
          </w14:textFill>
        </w:rPr>
        <w:t>保修金的支付。</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发包人</w:t>
      </w:r>
      <w:r>
        <w:rPr>
          <w:rFonts w:hint="eastAsia"/>
          <w:color w:val="000000" w:themeColor="text1"/>
          <w:sz w:val="24"/>
          <w14:textFill>
            <w14:solidFill>
              <w14:schemeClr w14:val="tx1"/>
            </w14:solidFill>
          </w14:textFill>
        </w:rPr>
        <w:t>应</w:t>
      </w:r>
      <w:r>
        <w:rPr>
          <w:color w:val="000000" w:themeColor="text1"/>
          <w:sz w:val="24"/>
          <w14:textFill>
            <w14:solidFill>
              <w14:schemeClr w14:val="tx1"/>
            </w14:solidFill>
          </w14:textFill>
        </w:rPr>
        <w:t>依据第14.5.2款</w:t>
      </w:r>
      <w:r>
        <w:rPr>
          <w:rFonts w:hint="eastAsia"/>
          <w:color w:val="000000" w:themeColor="text1"/>
          <w:sz w:val="24"/>
          <w14:textFill>
            <w14:solidFill>
              <w14:schemeClr w14:val="tx1"/>
            </w14:solidFill>
          </w14:textFill>
        </w:rPr>
        <w:t>缺陷责任</w:t>
      </w:r>
      <w:r>
        <w:rPr>
          <w:color w:val="000000" w:themeColor="text1"/>
          <w:sz w:val="24"/>
          <w14:textFill>
            <w14:solidFill>
              <w14:schemeClr w14:val="tx1"/>
            </w14:solidFill>
          </w14:textFill>
        </w:rPr>
        <w:t>保修金支付</w:t>
      </w:r>
      <w:r>
        <w:rPr>
          <w:rFonts w:hint="eastAsia"/>
          <w:color w:val="000000" w:themeColor="text1"/>
          <w:sz w:val="24"/>
          <w14:textFill>
            <w14:solidFill>
              <w14:schemeClr w14:val="tx1"/>
            </w14:solidFill>
          </w14:textFill>
        </w:rPr>
        <w:t>的约定</w:t>
      </w:r>
      <w:r>
        <w:rPr>
          <w:color w:val="000000" w:themeColor="text1"/>
          <w:sz w:val="24"/>
          <w14:textFill>
            <w14:solidFill>
              <w14:schemeClr w14:val="tx1"/>
            </w14:solidFill>
          </w14:textFill>
        </w:rPr>
        <w:t>，支付被暂扣的</w:t>
      </w:r>
      <w:r>
        <w:rPr>
          <w:rFonts w:hint="eastAsia"/>
          <w:color w:val="000000" w:themeColor="text1"/>
          <w:sz w:val="24"/>
          <w14:textFill>
            <w14:solidFill>
              <w14:schemeClr w14:val="tx1"/>
            </w14:solidFill>
          </w14:textFill>
        </w:rPr>
        <w:t>缺陷责任保修金</w:t>
      </w:r>
      <w:r>
        <w:rPr>
          <w:color w:val="000000" w:themeColor="text1"/>
          <w:sz w:val="24"/>
          <w14:textFill>
            <w14:solidFill>
              <w14:schemeClr w14:val="tx1"/>
            </w14:solidFill>
          </w14:textFill>
        </w:rPr>
        <w:t>。</w:t>
      </w:r>
    </w:p>
    <w:p>
      <w:pPr>
        <w:wordWrap w:val="0"/>
        <w:spacing w:before="120" w:beforeLines="50" w:after="120" w:afterLines="50" w:line="300" w:lineRule="auto"/>
        <w:ind w:firstLine="551" w:firstLineChars="196"/>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第</w:t>
      </w:r>
      <w:r>
        <w:rPr>
          <w:b/>
          <w:color w:val="000000" w:themeColor="text1"/>
          <w:sz w:val="28"/>
          <w:szCs w:val="28"/>
          <w14:textFill>
            <w14:solidFill>
              <w14:schemeClr w14:val="tx1"/>
            </w14:solidFill>
          </w14:textFill>
        </w:rPr>
        <w:t>12</w:t>
      </w:r>
      <w:r>
        <w:rPr>
          <w:rFonts w:hint="eastAsia"/>
          <w:b/>
          <w:color w:val="000000" w:themeColor="text1"/>
          <w:sz w:val="28"/>
          <w:szCs w:val="28"/>
          <w14:textFill>
            <w14:solidFill>
              <w14:schemeClr w14:val="tx1"/>
            </w14:solidFill>
          </w14:textFill>
        </w:rPr>
        <w:t>条工程竣工验收</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12.1</w:t>
      </w:r>
      <w:r>
        <w:rPr>
          <w:rFonts w:hint="eastAsia"/>
          <w:b/>
          <w:color w:val="000000" w:themeColor="text1"/>
          <w:sz w:val="24"/>
          <w14:textFill>
            <w14:solidFill>
              <w14:schemeClr w14:val="tx1"/>
            </w14:solidFill>
          </w14:textFill>
        </w:rPr>
        <w:t>竣工验收报告及完整的竣工资料</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12.1.1</w:t>
      </w:r>
      <w:r>
        <w:rPr>
          <w:rFonts w:hint="eastAsia"/>
          <w:color w:val="000000" w:themeColor="text1"/>
          <w:sz w:val="24"/>
          <w14:textFill>
            <w14:solidFill>
              <w14:schemeClr w14:val="tx1"/>
            </w14:solidFill>
          </w14:textFill>
        </w:rPr>
        <w:t>工程符合9.1款工程接收的相关约定，和（或）发包人已按10.7款的约定颁发了竣工后试验及考核验收证书，且承包人完成了</w:t>
      </w:r>
      <w:r>
        <w:rPr>
          <w:color w:val="000000" w:themeColor="text1"/>
          <w:sz w:val="24"/>
          <w14:textFill>
            <w14:solidFill>
              <w14:schemeClr w14:val="tx1"/>
            </w14:solidFill>
          </w14:textFill>
        </w:rPr>
        <w:t>9.2.2</w:t>
      </w:r>
      <w:r>
        <w:rPr>
          <w:rFonts w:hint="eastAsia"/>
          <w:color w:val="000000" w:themeColor="text1"/>
          <w:sz w:val="24"/>
          <w14:textFill>
            <w14:solidFill>
              <w14:schemeClr w14:val="tx1"/>
            </w14:solidFill>
          </w14:textFill>
        </w:rPr>
        <w:t>款约定的扫尾工程和缺陷修复，经发包人或监理人验收后，承包人应依据8.1.1款（1）、（2）、（3）项、8.2款竣工试验的检验与验收、10.3.3款第（4）项竣工后试验及其试运行考核结果等资料，向发包人提交竣工验收报告和完整的工程竣工资料。竣工验收报告和完整的竣工资料的格式、内容和份数在专用条款约定。</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12.1.2  发包人应在接到竣工验收报告和完整的竣工资料后</w:t>
      </w:r>
      <w:r>
        <w:rPr>
          <w:color w:val="000000" w:themeColor="text1"/>
          <w:sz w:val="24"/>
          <w14:textFill>
            <w14:solidFill>
              <w14:schemeClr w14:val="tx1"/>
            </w14:solidFill>
          </w14:textFill>
        </w:rPr>
        <w:t>25</w:t>
      </w:r>
      <w:r>
        <w:rPr>
          <w:rFonts w:hint="eastAsia"/>
          <w:color w:val="000000" w:themeColor="text1"/>
          <w:sz w:val="24"/>
          <w14:textFill>
            <w14:solidFill>
              <w14:schemeClr w14:val="tx1"/>
            </w14:solidFill>
          </w14:textFill>
        </w:rPr>
        <w:t>日内提出修改意见或予以确认，承包人应按照发包人的意见自费对竣工验收报告和竣工资料进行修改。</w:t>
      </w:r>
      <w:r>
        <w:rPr>
          <w:color w:val="000000" w:themeColor="text1"/>
          <w:sz w:val="24"/>
          <w14:textFill>
            <w14:solidFill>
              <w14:schemeClr w14:val="tx1"/>
            </w14:solidFill>
          </w14:textFill>
        </w:rPr>
        <w:t>25</w:t>
      </w:r>
      <w:r>
        <w:rPr>
          <w:rFonts w:hint="eastAsia"/>
          <w:color w:val="000000" w:themeColor="text1"/>
          <w:sz w:val="24"/>
          <w14:textFill>
            <w14:solidFill>
              <w14:schemeClr w14:val="tx1"/>
            </w14:solidFill>
          </w14:textFill>
        </w:rPr>
        <w:t>日内发包人未提出修改意见，视为竣工资料和竣工验收报告已被确认。</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12.1.3  分期建设、分期投产或分期使用的工程，按</w:t>
      </w:r>
      <w:r>
        <w:rPr>
          <w:color w:val="000000" w:themeColor="text1"/>
          <w:sz w:val="24"/>
          <w14:textFill>
            <w14:solidFill>
              <w14:schemeClr w14:val="tx1"/>
            </w14:solidFill>
          </w14:textFill>
        </w:rPr>
        <w:t>12.1.1</w:t>
      </w:r>
      <w:r>
        <w:rPr>
          <w:rFonts w:hint="eastAsia"/>
          <w:color w:val="000000" w:themeColor="text1"/>
          <w:sz w:val="24"/>
          <w14:textFill>
            <w14:solidFill>
              <w14:schemeClr w14:val="tx1"/>
            </w14:solidFill>
          </w14:textFill>
        </w:rPr>
        <w:t>款及12.1.2款的约定办理。</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12.2</w:t>
      </w:r>
      <w:r>
        <w:rPr>
          <w:rFonts w:hint="eastAsia"/>
          <w:b/>
          <w:color w:val="000000" w:themeColor="text1"/>
          <w:sz w:val="24"/>
          <w14:textFill>
            <w14:solidFill>
              <w14:schemeClr w14:val="tx1"/>
            </w14:solidFill>
          </w14:textFill>
        </w:rPr>
        <w:t>竣工验收</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12.2.1</w:t>
      </w:r>
      <w:r>
        <w:rPr>
          <w:rFonts w:hint="eastAsia"/>
          <w:color w:val="000000" w:themeColor="text1"/>
          <w:sz w:val="24"/>
          <w14:textFill>
            <w14:solidFill>
              <w14:schemeClr w14:val="tx1"/>
            </w14:solidFill>
          </w14:textFill>
        </w:rPr>
        <w:t>组织竣工验收</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发包人应在接到竣工验收报告和完整的竣工资料，并根据12.1.2款的约定被确认后的30日内，组织竣工验收。</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12.2.2</w:t>
      </w:r>
      <w:r>
        <w:rPr>
          <w:rFonts w:hint="eastAsia"/>
          <w:color w:val="000000" w:themeColor="text1"/>
          <w:sz w:val="24"/>
          <w14:textFill>
            <w14:solidFill>
              <w14:schemeClr w14:val="tx1"/>
            </w14:solidFill>
          </w14:textFill>
        </w:rPr>
        <w:t>延后组织的竣工验收</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发包人未能根据12.2.1款的约定，在30日内组织竣工验收时，按照</w:t>
      </w:r>
      <w:r>
        <w:rPr>
          <w:color w:val="000000" w:themeColor="text1"/>
          <w:sz w:val="24"/>
          <w14:textFill>
            <w14:solidFill>
              <w14:schemeClr w14:val="tx1"/>
            </w14:solidFill>
          </w14:textFill>
        </w:rPr>
        <w:t>14.12.</w:t>
      </w:r>
      <w:r>
        <w:rPr>
          <w:rFonts w:hint="eastAsia"/>
          <w:color w:val="000000" w:themeColor="text1"/>
          <w:sz w:val="24"/>
          <w14:textFill>
            <w14:solidFill>
              <w14:schemeClr w14:val="tx1"/>
            </w14:solidFill>
          </w14:textFill>
        </w:rPr>
        <w:t>1至14.12.3款的约定，</w:t>
      </w:r>
      <w:r>
        <w:rPr>
          <w:color w:val="000000" w:themeColor="text1"/>
          <w:sz w:val="24"/>
          <w14:textFill>
            <w14:solidFill>
              <w14:schemeClr w14:val="tx1"/>
            </w14:solidFill>
          </w14:textFill>
        </w:rPr>
        <w:t>结清竣工结算的款项。</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在12.2.1款约定的时间之后，发包人进行竣工验收时，承包人有义务参加。发包人在验收后的25日内，对承包人的竣工验收报告或竣工资料提出的进一步修改意见，承包人应按照发包人的意见自费修改。</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12.2.</w:t>
      </w:r>
      <w:r>
        <w:rPr>
          <w:rFonts w:hint="eastAsia"/>
          <w:color w:val="000000" w:themeColor="text1"/>
          <w:sz w:val="24"/>
          <w14:textFill>
            <w14:solidFill>
              <w14:schemeClr w14:val="tx1"/>
            </w14:solidFill>
          </w14:textFill>
        </w:rPr>
        <w:t>3分期竣工验收</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分期建设、分期投产或分期使用的合同工程的竣工验收，按12.1.3款、12.2.1款的约定，分期组织竣工验收。</w:t>
      </w:r>
    </w:p>
    <w:p>
      <w:pPr>
        <w:wordWrap w:val="0"/>
        <w:spacing w:before="120" w:beforeLines="50" w:after="120" w:afterLines="50" w:line="300" w:lineRule="auto"/>
        <w:ind w:firstLine="551" w:firstLineChars="196"/>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第</w:t>
      </w:r>
      <w:r>
        <w:rPr>
          <w:b/>
          <w:color w:val="000000" w:themeColor="text1"/>
          <w:sz w:val="28"/>
          <w:szCs w:val="28"/>
          <w14:textFill>
            <w14:solidFill>
              <w14:schemeClr w14:val="tx1"/>
            </w14:solidFill>
          </w14:textFill>
        </w:rPr>
        <w:t>13</w:t>
      </w:r>
      <w:r>
        <w:rPr>
          <w:rFonts w:hint="eastAsia"/>
          <w:b/>
          <w:color w:val="000000" w:themeColor="text1"/>
          <w:sz w:val="28"/>
          <w:szCs w:val="28"/>
          <w14:textFill>
            <w14:solidFill>
              <w14:schemeClr w14:val="tx1"/>
            </w14:solidFill>
          </w14:textFill>
        </w:rPr>
        <w:t>条变更和合同价格调整</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13.1</w:t>
      </w:r>
      <w:r>
        <w:rPr>
          <w:rFonts w:hint="eastAsia"/>
          <w:b/>
          <w:color w:val="000000" w:themeColor="text1"/>
          <w:sz w:val="24"/>
          <w14:textFill>
            <w14:solidFill>
              <w14:schemeClr w14:val="tx1"/>
            </w14:solidFill>
          </w14:textFill>
        </w:rPr>
        <w:t>变更权</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13.1.1</w:t>
      </w:r>
      <w:r>
        <w:rPr>
          <w:rFonts w:hint="eastAsia"/>
          <w:color w:val="000000" w:themeColor="text1"/>
          <w:sz w:val="24"/>
          <w14:textFill>
            <w14:solidFill>
              <w14:schemeClr w14:val="tx1"/>
            </w14:solidFill>
          </w14:textFill>
        </w:rPr>
        <w:t>变更权</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发包人拥有批准变更的权限。自合同生效后至工程竣工验收前的任何时间内，发包人有权依据监理人的建议、承包人的建议，及</w:t>
      </w:r>
      <w:r>
        <w:rPr>
          <w:color w:val="000000" w:themeColor="text1"/>
          <w:sz w:val="24"/>
          <w14:textFill>
            <w14:solidFill>
              <w14:schemeClr w14:val="tx1"/>
            </w14:solidFill>
          </w14:textFill>
        </w:rPr>
        <w:t>13.2</w:t>
      </w:r>
      <w:r>
        <w:rPr>
          <w:rFonts w:hint="eastAsia"/>
          <w:color w:val="000000" w:themeColor="text1"/>
          <w:sz w:val="24"/>
          <w14:textFill>
            <w14:solidFill>
              <w14:schemeClr w14:val="tx1"/>
            </w14:solidFill>
          </w14:textFill>
        </w:rPr>
        <w:t>款约定的变更范围，下达变更指令。变更指令以书面形式发出。</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13.1.2  变更</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由发包人批准并发出的书面变更指令，属于变更。包括发包人直接下达的变更指令、或经发包人批准的由监理人下达的变更指令。</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承包人对自身的设计、采购、施工、竣工试验、竣工后试验存在的缺陷，应自费修正、调整和完善，不属于变更。</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13.1.3  变更建议权</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有义务随时向发包人提交书面变更建议，包括缩短工期，降低发包人的工程、施工、维护、营运的费用，提高竣工工程的效率或价值，给发包人带来的长远利益和其它利益。发包人接到此类建议后，应发出不采纳、采纳或补充进一步资料的书面通知。</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13</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2  变更范围</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13.2.</w:t>
      </w:r>
      <w:r>
        <w:rPr>
          <w:rFonts w:hint="eastAsia"/>
          <w:color w:val="000000" w:themeColor="text1"/>
          <w:sz w:val="24"/>
          <w14:textFill>
            <w14:solidFill>
              <w14:schemeClr w14:val="tx1"/>
            </w14:solidFill>
          </w14:textFill>
        </w:rPr>
        <w:t>1  设计变更范围</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（1）对生产工艺流程的调整，但未扩大或缩小初步设计批准的生产路线和规模、或未扩大或缩小合同约定的生产路线和规模；</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（2）对平面布置、竖面布置、局部使用功能的调整，但未扩大初步设计批准的建筑规模，未改变初步设计批准的使用功能；或未扩大合同约定的建筑规模，未改变合同约定的使用功能；</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（3）对配套工程系统的工艺调整、使用功能调整；</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（4）对区域内基准控制点、基准标高和基准线的调整；</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（5）对设备、材料、部件的性能、规格和数量的调整；</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（6）因执行基准日期之后新颁布的法律、标准、规范引起的变更；</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（7）其它超出合同约定的设计事项；</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（8）上述变更所需的附加工作。</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13.2.2采购变更范围</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（1）承包人已按发包人批准的名单，与相关供货商签订采购合同或已开始加工制造、供货、运输等，发包人通知承包人选择该名单中的另一家供货商；</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（2）因执行基准日期之后新颁布的法律、标准、规范引起的变更；</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（3）发包人要求改变检查、检验、检测、试验的地点和增加的附加试验；</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（4）发包人要求增减合同中约定的备品备件、专用工具、竣工后试验物资的采购数量；</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（5）上述变更所需的附加工作。</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13.2.</w:t>
      </w:r>
      <w:r>
        <w:rPr>
          <w:rFonts w:hint="eastAsia"/>
          <w:color w:val="000000" w:themeColor="text1"/>
          <w:sz w:val="24"/>
          <w14:textFill>
            <w14:solidFill>
              <w14:schemeClr w14:val="tx1"/>
            </w14:solidFill>
          </w14:textFill>
        </w:rPr>
        <w:t>3  施工变更范围</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（1）根据13</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1款的设计变更，造成施工方法改变、设备、材料、部件、人工和工程量的增减；</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（2）发包人要求增加的附加试验、改变试验地点；</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（3）根据</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款第（</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）项、第（</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）项之外，新增加的施工障碍处理；</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（4）发包人对竣工试验经验收或视为验收合格的项目，通知重新进行竣工试验；</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（5）因执行基准日期之后新颁布的法律、标准、规范引起的变更。</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（6）现场其他签证；</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（7）上述变更所需的附加工作。</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13.2.4发包人的赶工指令。承包人接受了发包人的书面指示，以发包人认为必要的方式加快设计、施工或其它任何部分的进度时，承包人为实施该赶工指令需对项目进度计划进行调整，并对所增加的措施和资源提出估算，经发包人批准后，作为变更处理。当发包人未能批准此项变更，承包人有权按合同约定的相关阶段的进度计划执行。</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因承包人原因，实际进度明显落后于上述批准的项目进度计划时，承包人应按4.1.2款的约定，自费赶上；竣工日期延误时，按4.5款的约定承担误期赔偿责任。</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13.2.</w:t>
      </w:r>
      <w:r>
        <w:rPr>
          <w:rFonts w:hint="eastAsia"/>
          <w:color w:val="000000" w:themeColor="text1"/>
          <w:sz w:val="24"/>
          <w14:textFill>
            <w14:solidFill>
              <w14:schemeClr w14:val="tx1"/>
            </w14:solidFill>
          </w14:textFill>
        </w:rPr>
        <w:t>5 调减部分工程。发包人的暂停超过45日，承包人请求复工时仍不能复工，或因不可抗力持续而无法继续施工的，双方可按合同约定以变更方式调减受暂停影响的部分工程。</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13.2.6其它变更。根据工程的具体特点，在专用条款中约定。</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13.3</w:t>
      </w:r>
      <w:r>
        <w:rPr>
          <w:rFonts w:hint="eastAsia"/>
          <w:b/>
          <w:color w:val="000000" w:themeColor="text1"/>
          <w:sz w:val="24"/>
          <w14:textFill>
            <w14:solidFill>
              <w14:schemeClr w14:val="tx1"/>
            </w14:solidFill>
          </w14:textFill>
        </w:rPr>
        <w:t>变更程序</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13.3.1</w:t>
      </w:r>
      <w:r>
        <w:rPr>
          <w:rFonts w:hint="eastAsia"/>
          <w:color w:val="000000" w:themeColor="text1"/>
          <w:sz w:val="24"/>
          <w14:textFill>
            <w14:solidFill>
              <w14:schemeClr w14:val="tx1"/>
            </w14:solidFill>
          </w14:textFill>
        </w:rPr>
        <w:t>变更通知。发包人的变更应事先以书面形式通知承包人。</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13.3.2</w:t>
      </w:r>
      <w:r>
        <w:rPr>
          <w:rFonts w:hint="eastAsia"/>
          <w:color w:val="000000" w:themeColor="text1"/>
          <w:sz w:val="24"/>
          <w14:textFill>
            <w14:solidFill>
              <w14:schemeClr w14:val="tx1"/>
            </w14:solidFill>
          </w14:textFill>
        </w:rPr>
        <w:t>变更通知的建议报告。承包人接到发包人的变更通知后，有义务在10日内向发包人提交书面建议报告，</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如承包人接受发包人变更通知中的变更时，建议报告中应包括：支持此项变更的理由、实施此项变更的工作内容、设备、材料、人力、机具、周转材料、消耗材料等资源消耗，以及相关管理费用和合理利润的估算。相关管理费用和合理利润的百分比，应在专用条款约定。此项变更引起竣工日期延长时，应在报告中说明理由，并提交与此变更相关的进度计划。</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承包人未提交增加费用的估算及竣工日期延长，视为该项变更不涉及合同价格调整和竣工日期延长，发包人不再承担此项变更的任何费用及竣工日期延长的责任。</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（2）如承包人不接受发包人变更通知中的变更时，建议报告中应包括不支持此项变更的理由，理由包括：</w:t>
      </w:r>
    </w:p>
    <w:p>
      <w:pPr>
        <w:wordWrap w:val="0"/>
        <w:spacing w:line="300" w:lineRule="auto"/>
        <w:ind w:firstLine="849" w:firstLineChars="354"/>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1）此变更不符合法律、法规等有关规定；</w:t>
      </w:r>
    </w:p>
    <w:p>
      <w:pPr>
        <w:wordWrap w:val="0"/>
        <w:spacing w:line="300" w:lineRule="auto"/>
        <w:ind w:firstLine="849" w:firstLineChars="354"/>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2）承包人难以取得变更所需的特殊设备、材料、部件；</w:t>
      </w:r>
    </w:p>
    <w:p>
      <w:pPr>
        <w:wordWrap w:val="0"/>
        <w:spacing w:line="300" w:lineRule="auto"/>
        <w:ind w:firstLine="849" w:firstLineChars="354"/>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3）承包人难以取得变更所需的工艺、技术；</w:t>
      </w:r>
    </w:p>
    <w:p>
      <w:pPr>
        <w:wordWrap w:val="0"/>
        <w:spacing w:line="300" w:lineRule="auto"/>
        <w:ind w:firstLine="849" w:firstLineChars="354"/>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4）变更将降低工程的安全性、稳定性、适用性；</w:t>
      </w:r>
    </w:p>
    <w:p>
      <w:pPr>
        <w:wordWrap w:val="0"/>
        <w:spacing w:line="300" w:lineRule="auto"/>
        <w:ind w:firstLine="849" w:firstLineChars="354"/>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5）对生产性能保证值、使用功能保证的实现产生不利影响等。</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13.3.3</w:t>
      </w:r>
      <w:r>
        <w:rPr>
          <w:rFonts w:hint="eastAsia"/>
          <w:color w:val="000000" w:themeColor="text1"/>
          <w:sz w:val="24"/>
          <w14:textFill>
            <w14:solidFill>
              <w14:schemeClr w14:val="tx1"/>
            </w14:solidFill>
          </w14:textFill>
        </w:rPr>
        <w:t>发包人的审查和批准。发包人应在接到承包人根据13.3.2款约定提交的书面建议报告后</w:t>
      </w:r>
      <w:r>
        <w:rPr>
          <w:color w:val="000000" w:themeColor="text1"/>
          <w:sz w:val="24"/>
          <w14:textFill>
            <w14:solidFill>
              <w14:schemeClr w14:val="tx1"/>
            </w14:solidFill>
          </w14:textFill>
        </w:rPr>
        <w:t>10</w:t>
      </w:r>
      <w:r>
        <w:rPr>
          <w:rFonts w:hint="eastAsia"/>
          <w:color w:val="000000" w:themeColor="text1"/>
          <w:sz w:val="24"/>
          <w14:textFill>
            <w14:solidFill>
              <w14:schemeClr w14:val="tx1"/>
            </w14:solidFill>
          </w14:textFill>
        </w:rPr>
        <w:t>日内对此项建议给予审查，并发出批准、撤销、改变、提出进一步要求的书面通知。承包人在等待发包人回复的时间内，不能停止或延误任何工作。</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）发包人接到承包人根据13.3.2款第（1）项的约定提交的建议报告，对其理由、估算、和（或）竣工日期延长经审查批准后，应以书面形式下达变更指令。</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发包人在下达的变更指令中，未能确认承包人对此项变更提出的估算和（或）竣工日期延长亦未提出异议的，自发包人接到此项书面建议报告后的第</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1日开始，视为承包人提交的变更估算、和（或）竣工日期延长，已被发包人批准。</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（2）发包人对承包人根据13.3.2款第（2）项提交的不接受此项变更的理由进行审查后，发出继续执行、改变、提出进一步补充资料的书面通知，承包人应予以执行。</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13.3.4 承包人根据13.1.3 款的约定提交变更建议书的，其变更程序按照本变更程序的约定办理。</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13.4  紧急性变更程序</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13.4.1发包人有权以书面形式或口头形式发出紧急性变更指令，责令承包人立即执行此项变更。承包人接到此类指令后，应立即执行。发包人以口头形式发出紧急性变更指令的，须在48小时内以书面方式确认此项变更，并送交承包人项目经理。</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13.4.2承包人应在紧急性变更指令执行完成后的10日内，向发包人提交实施此项变更的工作内容，资源消耗和估算。因执行此项变更造成工程关键路径延误时，可提出竣工日期延长要求，但应说明理由，并提交与此项变更相关的进度计划。</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承包人未能在此项变更完成后的10日内提交实际消耗的估算、和（或）延长竣工日期的书面资料，视为该项变更不涉及合同价格调整和竣工日期延长，发包人不再承担此项变更的任何责任。</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13.4.3发包人应在接到承包人根据13.4.2款提交的书面资料后的10日内，以书面形式通知承包人被批准的合理估算，和（或）给予竣工日期的合理延长。</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发包人在接到承包人的此项书面报告后的</w:t>
      </w:r>
      <w:r>
        <w:rPr>
          <w:color w:val="000000" w:themeColor="text1"/>
          <w:sz w:val="24"/>
          <w14:textFill>
            <w14:solidFill>
              <w14:schemeClr w14:val="tx1"/>
            </w14:solidFill>
          </w14:textFill>
        </w:rPr>
        <w:t>10</w:t>
      </w:r>
      <w:r>
        <w:rPr>
          <w:rFonts w:hint="eastAsia"/>
          <w:color w:val="000000" w:themeColor="text1"/>
          <w:sz w:val="24"/>
          <w14:textFill>
            <w14:solidFill>
              <w14:schemeClr w14:val="tx1"/>
            </w14:solidFill>
          </w14:textFill>
        </w:rPr>
        <w:t>日内，未能批准承包人的估算和（或）竣工日期延长亦未说明理由的，自接到该报告的第</w:t>
      </w:r>
      <w:r>
        <w:rPr>
          <w:color w:val="000000" w:themeColor="text1"/>
          <w:sz w:val="24"/>
          <w14:textFill>
            <w14:solidFill>
              <w14:schemeClr w14:val="tx1"/>
            </w14:solidFill>
          </w14:textFill>
        </w:rPr>
        <w:t xml:space="preserve">11 </w:t>
      </w:r>
      <w:r>
        <w:rPr>
          <w:rFonts w:hint="eastAsia"/>
          <w:color w:val="000000" w:themeColor="text1"/>
          <w:sz w:val="24"/>
          <w14:textFill>
            <w14:solidFill>
              <w14:schemeClr w14:val="tx1"/>
            </w14:solidFill>
          </w14:textFill>
        </w:rPr>
        <w:t>日后，视为承包人提交的估算、和（或）竣工日期延长已被发包人批准。</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承包人对发包人批准的变更费用、竣工日期的延长存有争议时，双方应友好协商解决，协商不成时，依据16.3款争议和裁决的程序解决。</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13.5  变更价款确定</w:t>
      </w:r>
    </w:p>
    <w:p>
      <w:pPr>
        <w:wordWrap w:val="0"/>
        <w:spacing w:before="120" w:beforeLines="50" w:after="120" w:afterLines="50"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变更价款按以下方法确定：</w:t>
      </w:r>
    </w:p>
    <w:p>
      <w:pPr>
        <w:wordWrap w:val="0"/>
        <w:spacing w:before="120" w:beforeLines="50" w:after="120" w:afterLines="50"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13.5.1 </w:t>
      </w:r>
      <w:r>
        <w:rPr>
          <w:rFonts w:hint="eastAsia"/>
          <w:color w:val="000000" w:themeColor="text1"/>
          <w:sz w:val="24"/>
          <w14:textFill>
            <w14:solidFill>
              <w14:schemeClr w14:val="tx1"/>
            </w14:solidFill>
          </w14:textFill>
        </w:rPr>
        <w:t>合同中已有相应人工、机具、工程量等单价（含取费）的，按合同中已有的相应人工、机具、工程量等单价（含取费）确定变更价款；</w:t>
      </w:r>
    </w:p>
    <w:p>
      <w:pPr>
        <w:wordWrap w:val="0"/>
        <w:spacing w:before="120" w:beforeLines="50" w:after="120" w:afterLines="50"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13.5.</w:t>
      </w:r>
      <w:r>
        <w:rPr>
          <w:rFonts w:hint="eastAsia"/>
          <w:color w:val="000000" w:themeColor="text1"/>
          <w:sz w:val="24"/>
          <w14:textFill>
            <w14:solidFill>
              <w14:schemeClr w14:val="tx1"/>
            </w14:solidFill>
          </w14:textFill>
        </w:rPr>
        <w:t>2合同中无相应人工、机具、工程量等单价（含取费）的，按类似于变更工程的价格确定变更价款；</w:t>
      </w:r>
    </w:p>
    <w:p>
      <w:pPr>
        <w:wordWrap w:val="0"/>
        <w:spacing w:before="120" w:beforeLines="50" w:after="120" w:afterLines="50"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13.5.3 </w:t>
      </w:r>
      <w:r>
        <w:rPr>
          <w:rFonts w:hint="eastAsia"/>
          <w:color w:val="000000" w:themeColor="text1"/>
          <w:sz w:val="24"/>
          <w14:textFill>
            <w14:solidFill>
              <w14:schemeClr w14:val="tx1"/>
            </w14:solidFill>
          </w14:textFill>
        </w:rPr>
        <w:t>合同中无相应人工、机具、工程量等单价（含取费），亦无类似于变更工程的价格的，双方通过协商确定变更价款。</w:t>
      </w:r>
    </w:p>
    <w:p>
      <w:pPr>
        <w:wordWrap w:val="0"/>
        <w:spacing w:before="120" w:beforeLines="50" w:after="120" w:afterLines="50"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13 .5.4 </w:t>
      </w:r>
      <w:r>
        <w:rPr>
          <w:rFonts w:hint="eastAsia"/>
          <w:color w:val="000000" w:themeColor="text1"/>
          <w:sz w:val="24"/>
          <w14:textFill>
            <w14:solidFill>
              <w14:schemeClr w14:val="tx1"/>
            </w14:solidFill>
          </w14:textFill>
        </w:rPr>
        <w:t>专用条款中约定的其它方法。</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13.6  建议变更的利益分享</w:t>
      </w:r>
    </w:p>
    <w:p>
      <w:pPr>
        <w:wordWrap w:val="0"/>
        <w:spacing w:before="120" w:beforeLines="50" w:after="120" w:afterLines="50"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因发包人批准采用承包人根据13.1.3款提出的变更建议，使工程的投资减少、工期缩短、发包人获得长期运营效益或其它利益的，双方可按专用条款的约定进行利益分享，必要时双发可另行签订利益分享补充协议，作为合同附件。</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13.7  合同价格调整</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在下述情况发生后30日内，合同双方均有权将调整合同价格的原因及调整金额，以书面形式通知对方或监理人。经发包人确认的合理金额，作为合同价格的调整金额，并在支付当期工程进度款时支付或扣减调整的金额。一方收到另一方通知后</w:t>
      </w:r>
      <w:r>
        <w:rPr>
          <w:color w:val="000000" w:themeColor="text1"/>
          <w:sz w:val="24"/>
          <w14:textFill>
            <w14:solidFill>
              <w14:schemeClr w14:val="tx1"/>
            </w14:solidFill>
          </w14:textFill>
        </w:rPr>
        <w:t>15</w:t>
      </w:r>
      <w:r>
        <w:rPr>
          <w:rFonts w:hint="eastAsia"/>
          <w:color w:val="000000" w:themeColor="text1"/>
          <w:sz w:val="24"/>
          <w14:textFill>
            <w14:solidFill>
              <w14:schemeClr w14:val="tx1"/>
            </w14:solidFill>
          </w14:textFill>
        </w:rPr>
        <w:t>日内不予确认，也未能提出修改意见的，视为已经同意该项价格的调整。合同价格调整包括以下情况：</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（1）合同签订后，因法律、国家政策和需遵守的行业规定发生变化，影响到合同价格增减的；</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（2）合同执行过程中，工程造价管理部门公布的价格调整，涉及承包人投入成本增减的；</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（3）一周内非承包人原因的停水、停电、停气、道路中断等，造成工程现场停工累计超过8小时的（承包人须提交报告并提供可证实的证明和估算）；</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（4）发包人根据</w:t>
      </w:r>
      <w:r>
        <w:rPr>
          <w:color w:val="000000" w:themeColor="text1"/>
          <w:sz w:val="24"/>
          <w14:textFill>
            <w14:solidFill>
              <w14:schemeClr w14:val="tx1"/>
            </w14:solidFill>
          </w14:textFill>
        </w:rPr>
        <w:t>13.3</w:t>
      </w:r>
      <w:r>
        <w:rPr>
          <w:rFonts w:hint="eastAsia"/>
          <w:color w:val="000000" w:themeColor="text1"/>
          <w:sz w:val="24"/>
          <w14:textFill>
            <w14:solidFill>
              <w14:schemeClr w14:val="tx1"/>
            </w14:solidFill>
          </w14:textFill>
        </w:rPr>
        <w:t>款至13.5款变更程序中批准的变更估算的增减；</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）本合同约定的其它增减的款项调整。</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对于合同中未约定的增减款项，发包人不承担调整合同价格的责任。除非法律另有规定时除外。合同价格的调整不包括合同变更。</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13.8  合同价格调整的争议</w:t>
      </w:r>
    </w:p>
    <w:p>
      <w:pPr>
        <w:wordWrap w:val="0"/>
        <w:spacing w:before="120" w:beforeLines="50" w:after="120" w:afterLines="50"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经协商，双方未能对工程变更的费用、合同价格的调整或竣工日期的延长达成一致，根据</w:t>
      </w:r>
      <w:r>
        <w:rPr>
          <w:color w:val="000000" w:themeColor="text1"/>
          <w:sz w:val="24"/>
          <w14:textFill>
            <w14:solidFill>
              <w14:schemeClr w14:val="tx1"/>
            </w14:solidFill>
          </w14:textFill>
        </w:rPr>
        <w:t>16.3</w:t>
      </w:r>
      <w:r>
        <w:rPr>
          <w:rFonts w:hint="eastAsia"/>
          <w:color w:val="000000" w:themeColor="text1"/>
          <w:sz w:val="24"/>
          <w14:textFill>
            <w14:solidFill>
              <w14:schemeClr w14:val="tx1"/>
            </w14:solidFill>
          </w14:textFill>
        </w:rPr>
        <w:t>款关于争议和裁决的约定解决。</w:t>
      </w:r>
    </w:p>
    <w:p>
      <w:pPr>
        <w:wordWrap w:val="0"/>
        <w:spacing w:before="120" w:beforeLines="50" w:after="120" w:afterLines="50" w:line="300" w:lineRule="auto"/>
        <w:ind w:firstLine="551" w:firstLineChars="196"/>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第</w:t>
      </w:r>
      <w:r>
        <w:rPr>
          <w:b/>
          <w:color w:val="000000" w:themeColor="text1"/>
          <w:sz w:val="28"/>
          <w:szCs w:val="28"/>
          <w14:textFill>
            <w14:solidFill>
              <w14:schemeClr w14:val="tx1"/>
            </w14:solidFill>
          </w14:textFill>
        </w:rPr>
        <w:t>14</w:t>
      </w:r>
      <w:r>
        <w:rPr>
          <w:rFonts w:hint="eastAsia"/>
          <w:b/>
          <w:color w:val="000000" w:themeColor="text1"/>
          <w:sz w:val="28"/>
          <w:szCs w:val="28"/>
          <w14:textFill>
            <w14:solidFill>
              <w14:schemeClr w14:val="tx1"/>
            </w14:solidFill>
          </w14:textFill>
        </w:rPr>
        <w:t>条合同总价和付款</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14.1合同总价和付款</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14.1.1合同总价</w:t>
      </w:r>
    </w:p>
    <w:p>
      <w:pPr>
        <w:spacing w:before="120" w:beforeLines="50" w:after="120" w:afterLines="50" w:line="30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14.1.1</w:t>
      </w:r>
      <w:r>
        <w:rPr>
          <w:rFonts w:hint="eastAsia"/>
          <w:color w:val="000000" w:themeColor="text1"/>
          <w:sz w:val="24"/>
          <w14:textFill>
            <w14:solidFill>
              <w14:schemeClr w14:val="tx1"/>
            </w14:solidFill>
          </w14:textFill>
        </w:rPr>
        <w:t>本合同为总价合同，除根据第</w:t>
      </w:r>
      <w:r>
        <w:rPr>
          <w:color w:val="000000" w:themeColor="text1"/>
          <w:sz w:val="24"/>
          <w14:textFill>
            <w14:solidFill>
              <w14:schemeClr w14:val="tx1"/>
            </w14:solidFill>
          </w14:textFill>
        </w:rPr>
        <w:t>13</w:t>
      </w:r>
      <w:r>
        <w:rPr>
          <w:rFonts w:hint="eastAsia"/>
          <w:color w:val="000000" w:themeColor="text1"/>
          <w:sz w:val="24"/>
          <w14:textFill>
            <w14:solidFill>
              <w14:schemeClr w14:val="tx1"/>
            </w14:solidFill>
          </w14:textFill>
        </w:rPr>
        <w:t>条变更和合同价格的调整，以及合同中其它相关增减金额的约定进行调整外，合同价格不做调整。</w:t>
      </w:r>
    </w:p>
    <w:p>
      <w:pPr>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合同约定可以调整的价格：</w:t>
      </w:r>
    </w:p>
    <w:p>
      <w:pPr>
        <w:spacing w:before="120" w:beforeLines="50" w:after="120" w:afterLines="50"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u w:val="single"/>
          <w14:textFill>
            <w14:solidFill>
              <w14:schemeClr w14:val="tx1"/>
            </w14:solidFill>
          </w14:textFill>
        </w:rPr>
        <w:t>（</w:t>
      </w:r>
      <w:r>
        <w:rPr>
          <w:color w:val="000000" w:themeColor="text1"/>
          <w:sz w:val="24"/>
          <w:u w:val="single"/>
          <w14:textFill>
            <w14:solidFill>
              <w14:schemeClr w14:val="tx1"/>
            </w14:solidFill>
          </w14:textFill>
        </w:rPr>
        <w:t>1</w:t>
      </w:r>
      <w:r>
        <w:rPr>
          <w:rFonts w:hint="eastAsia"/>
          <w:color w:val="000000" w:themeColor="text1"/>
          <w:sz w:val="24"/>
          <w:u w:val="single"/>
          <w14:textFill>
            <w14:solidFill>
              <w14:schemeClr w14:val="tx1"/>
            </w14:solidFill>
          </w14:textFill>
        </w:rPr>
        <w:t>）招标工程以投标截止日前</w:t>
      </w:r>
      <w:r>
        <w:rPr>
          <w:color w:val="000000" w:themeColor="text1"/>
          <w:sz w:val="24"/>
          <w:u w:val="single"/>
          <w14:textFill>
            <w14:solidFill>
              <w14:schemeClr w14:val="tx1"/>
            </w14:solidFill>
          </w14:textFill>
        </w:rPr>
        <w:t>30</w:t>
      </w:r>
      <w:r>
        <w:rPr>
          <w:rFonts w:hint="eastAsia"/>
          <w:color w:val="000000" w:themeColor="text1"/>
          <w:sz w:val="24"/>
          <w:u w:val="single"/>
          <w14:textFill>
            <w14:solidFill>
              <w14:schemeClr w14:val="tx1"/>
            </w14:solidFill>
          </w14:textFill>
        </w:rPr>
        <w:t>天，非招标工程以合同签订前</w:t>
      </w:r>
      <w:r>
        <w:rPr>
          <w:color w:val="000000" w:themeColor="text1"/>
          <w:sz w:val="24"/>
          <w:u w:val="single"/>
          <w14:textFill>
            <w14:solidFill>
              <w14:schemeClr w14:val="tx1"/>
            </w14:solidFill>
          </w14:textFill>
        </w:rPr>
        <w:t>30</w:t>
      </w:r>
      <w:r>
        <w:rPr>
          <w:rFonts w:hint="eastAsia"/>
          <w:color w:val="000000" w:themeColor="text1"/>
          <w:sz w:val="24"/>
          <w:u w:val="single"/>
          <w14:textFill>
            <w14:solidFill>
              <w14:schemeClr w14:val="tx1"/>
            </w14:solidFill>
          </w14:textFill>
        </w:rPr>
        <w:t>天为基准日，其后国家的法律、法规、规章和政策发生变化引起工程造价增减变化的，发承包双方应当按照省级或行业建设主管部门或其授权的工程造价管理机构据此发布的规定调整合同价款。</w:t>
      </w:r>
    </w:p>
    <w:p>
      <w:pPr>
        <w:spacing w:before="120" w:beforeLines="50" w:after="120" w:afterLines="50"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u w:val="single"/>
          <w14:textFill>
            <w14:solidFill>
              <w14:schemeClr w14:val="tx1"/>
            </w14:solidFill>
          </w14:textFill>
        </w:rPr>
        <w:t>因承包人原因导致工期延误，上述第</w:t>
      </w:r>
      <w:r>
        <w:rPr>
          <w:color w:val="000000" w:themeColor="text1"/>
          <w:sz w:val="24"/>
          <w:u w:val="single"/>
          <w14:textFill>
            <w14:solidFill>
              <w14:schemeClr w14:val="tx1"/>
            </w14:solidFill>
          </w14:textFill>
        </w:rPr>
        <w:t>14.1.1-</w:t>
      </w:r>
      <w:r>
        <w:rPr>
          <w:rFonts w:hint="eastAsia"/>
          <w:color w:val="000000" w:themeColor="text1"/>
          <w:sz w:val="24"/>
          <w:u w:val="single"/>
          <w14:textFill>
            <w14:solidFill>
              <w14:schemeClr w14:val="tx1"/>
            </w14:solidFill>
          </w14:textFill>
        </w:rPr>
        <w:t>（</w:t>
      </w:r>
      <w:r>
        <w:rPr>
          <w:color w:val="000000" w:themeColor="text1"/>
          <w:sz w:val="24"/>
          <w:u w:val="single"/>
          <w14:textFill>
            <w14:solidFill>
              <w14:schemeClr w14:val="tx1"/>
            </w14:solidFill>
          </w14:textFill>
        </w:rPr>
        <w:t>1</w:t>
      </w:r>
      <w:r>
        <w:rPr>
          <w:rFonts w:hint="eastAsia"/>
          <w:color w:val="000000" w:themeColor="text1"/>
          <w:sz w:val="24"/>
          <w:u w:val="single"/>
          <w14:textFill>
            <w14:solidFill>
              <w14:schemeClr w14:val="tx1"/>
            </w14:solidFill>
          </w14:textFill>
        </w:rPr>
        <w:t>）条引起工程价款增加，则不予调整合同价款，否则相应调整合同价款。</w:t>
      </w:r>
    </w:p>
    <w:p>
      <w:pPr>
        <w:spacing w:before="120" w:beforeLines="50" w:after="120" w:afterLines="50"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u w:val="single"/>
          <w14:textFill>
            <w14:solidFill>
              <w14:schemeClr w14:val="tx1"/>
            </w14:solidFill>
          </w14:textFill>
        </w:rPr>
        <w:t>（</w:t>
      </w:r>
      <w:r>
        <w:rPr>
          <w:color w:val="000000" w:themeColor="text1"/>
          <w:sz w:val="24"/>
          <w:u w:val="single"/>
          <w14:textFill>
            <w14:solidFill>
              <w14:schemeClr w14:val="tx1"/>
            </w14:solidFill>
          </w14:textFill>
        </w:rPr>
        <w:t>2</w:t>
      </w:r>
      <w:r>
        <w:rPr>
          <w:rFonts w:hint="eastAsia"/>
          <w:color w:val="000000" w:themeColor="text1"/>
          <w:sz w:val="24"/>
          <w:u w:val="single"/>
          <w14:textFill>
            <w14:solidFill>
              <w14:schemeClr w14:val="tx1"/>
            </w14:solidFill>
          </w14:textFill>
        </w:rPr>
        <w:t>）合同履行期间，材料价格与合同工程基准日期相应单价或价格比较出现涨落的按照《关于加强建筑材料价格风险控制的指导意见》</w:t>
      </w:r>
      <w:r>
        <w:rPr>
          <w:color w:val="000000" w:themeColor="text1"/>
          <w:sz w:val="24"/>
          <w:u w:val="single"/>
          <w14:textFill>
            <w14:solidFill>
              <w14:schemeClr w14:val="tx1"/>
            </w14:solidFill>
          </w14:textFill>
        </w:rPr>
        <w:t>[</w:t>
      </w:r>
      <w:r>
        <w:rPr>
          <w:rFonts w:hint="eastAsia"/>
          <w:color w:val="000000" w:themeColor="text1"/>
          <w:sz w:val="24"/>
          <w:u w:val="single"/>
          <w14:textFill>
            <w14:solidFill>
              <w14:schemeClr w14:val="tx1"/>
            </w14:solidFill>
          </w14:textFill>
        </w:rPr>
        <w:t>苏建价（</w:t>
      </w:r>
      <w:r>
        <w:rPr>
          <w:color w:val="000000" w:themeColor="text1"/>
          <w:sz w:val="24"/>
          <w:u w:val="single"/>
          <w14:textFill>
            <w14:solidFill>
              <w14:schemeClr w14:val="tx1"/>
            </w14:solidFill>
          </w14:textFill>
        </w:rPr>
        <w:t>2008</w:t>
      </w:r>
      <w:r>
        <w:rPr>
          <w:rFonts w:hint="eastAsia"/>
          <w:color w:val="000000" w:themeColor="text1"/>
          <w:sz w:val="24"/>
          <w:u w:val="single"/>
          <w14:textFill>
            <w14:solidFill>
              <w14:schemeClr w14:val="tx1"/>
            </w14:solidFill>
          </w14:textFill>
        </w:rPr>
        <w:t>）</w:t>
      </w:r>
      <w:r>
        <w:rPr>
          <w:color w:val="000000" w:themeColor="text1"/>
          <w:sz w:val="24"/>
          <w:u w:val="single"/>
          <w14:textFill>
            <w14:solidFill>
              <w14:schemeClr w14:val="tx1"/>
            </w14:solidFill>
          </w14:textFill>
        </w:rPr>
        <w:t xml:space="preserve">67 </w:t>
      </w:r>
      <w:r>
        <w:rPr>
          <w:rFonts w:hint="eastAsia"/>
          <w:color w:val="000000" w:themeColor="text1"/>
          <w:sz w:val="24"/>
          <w:u w:val="single"/>
          <w14:textFill>
            <w14:solidFill>
              <w14:schemeClr w14:val="tx1"/>
            </w14:solidFill>
          </w14:textFill>
        </w:rPr>
        <w:t>号文</w:t>
      </w:r>
      <w:r>
        <w:rPr>
          <w:color w:val="000000" w:themeColor="text1"/>
          <w:sz w:val="24"/>
          <w:u w:val="single"/>
          <w14:textFill>
            <w14:solidFill>
              <w14:schemeClr w14:val="tx1"/>
            </w14:solidFill>
          </w14:textFill>
        </w:rPr>
        <w:t>]</w:t>
      </w:r>
      <w:r>
        <w:rPr>
          <w:rFonts w:hint="eastAsia"/>
          <w:color w:val="000000" w:themeColor="text1"/>
          <w:sz w:val="24"/>
          <w:u w:val="single"/>
          <w14:textFill>
            <w14:solidFill>
              <w14:schemeClr w14:val="tx1"/>
            </w14:solidFill>
          </w14:textFill>
        </w:rPr>
        <w:t>执行，发承包双方应调整合同价款。</w:t>
      </w:r>
    </w:p>
    <w:p>
      <w:pPr>
        <w:spacing w:before="120" w:beforeLines="50" w:after="120" w:afterLines="50"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u w:val="single"/>
          <w14:textFill>
            <w14:solidFill>
              <w14:schemeClr w14:val="tx1"/>
            </w14:solidFill>
          </w14:textFill>
        </w:rPr>
        <w:t>发生合同工程工期延误的，应按照下列规定确定合同履行期用于调整的价格或单价：</w:t>
      </w:r>
    </w:p>
    <w:p>
      <w:pPr>
        <w:spacing w:before="120" w:beforeLines="50" w:after="120" w:afterLines="50"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u w:val="single"/>
          <w14:textFill>
            <w14:solidFill>
              <w14:schemeClr w14:val="tx1"/>
            </w14:solidFill>
          </w14:textFill>
        </w:rPr>
        <w:t>因发包人原因导致工期延误的，按履行期工程造价管理机构公布的材料价格调整；</w:t>
      </w:r>
    </w:p>
    <w:p>
      <w:pPr>
        <w:spacing w:before="120" w:beforeLines="50" w:after="120" w:afterLines="50"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u w:val="single"/>
          <w14:textFill>
            <w14:solidFill>
              <w14:schemeClr w14:val="tx1"/>
            </w14:solidFill>
          </w14:textFill>
        </w:rPr>
        <w:t>因承包人原因导致工期延误的，应按照下列规定确定合同履行期用于调整的价格或单价则计划进度日期后续工程的价格或单价，采用计划进度日期与实际进度日期两者的较低者。</w:t>
      </w:r>
    </w:p>
    <w:p>
      <w:pPr>
        <w:spacing w:before="120" w:beforeLines="50" w:after="120" w:afterLines="50"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u w:val="single"/>
          <w14:textFill>
            <w14:solidFill>
              <w14:schemeClr w14:val="tx1"/>
            </w14:solidFill>
          </w14:textFill>
        </w:rPr>
        <w:t>补充约定：承包人投标时未列项目，结算时不予计量</w:t>
      </w:r>
      <w:r>
        <w:rPr>
          <w:rFonts w:hint="eastAsia"/>
          <w:color w:val="000000" w:themeColor="text1"/>
          <w:sz w:val="24"/>
          <w:u w:val="single"/>
          <w14:textFill>
            <w14:solidFill>
              <w14:schemeClr w14:val="tx1"/>
            </w14:solidFill>
          </w14:textFill>
        </w:rPr>
        <w:t>。</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14.1.2付款</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（1）合同价款的货币币种为人民币，由发包人在中国境内支付给承包人。</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（2）发包人应依据合同约定的应付款类别和付款时间安排，向承包人支付合同价款。承包人指定的银行账户，在专用条款中约定。</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14.2</w:t>
      </w:r>
      <w:r>
        <w:rPr>
          <w:rFonts w:hint="eastAsia"/>
          <w:b/>
          <w:color w:val="000000" w:themeColor="text1"/>
          <w:sz w:val="24"/>
          <w14:textFill>
            <w14:solidFill>
              <w14:schemeClr w14:val="tx1"/>
            </w14:solidFill>
          </w14:textFill>
        </w:rPr>
        <w:t>担保</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14.2.1</w:t>
      </w:r>
      <w:r>
        <w:rPr>
          <w:rFonts w:hint="eastAsia"/>
          <w:color w:val="000000" w:themeColor="text1"/>
          <w:sz w:val="24"/>
          <w14:textFill>
            <w14:solidFill>
              <w14:schemeClr w14:val="tx1"/>
            </w14:solidFill>
          </w14:textFill>
        </w:rPr>
        <w:t>履约保函</w:t>
      </w:r>
    </w:p>
    <w:p>
      <w:pPr>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合同约定由承包人向发包人提交履约保函时，履约保函的格式、金额和提交时间，在专用条款中约定。</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14.2.2 </w:t>
      </w:r>
      <w:r>
        <w:rPr>
          <w:rFonts w:hint="eastAsia"/>
          <w:color w:val="000000" w:themeColor="text1"/>
          <w:sz w:val="24"/>
          <w14:textFill>
            <w14:solidFill>
              <w14:schemeClr w14:val="tx1"/>
            </w14:solidFill>
          </w14:textFill>
        </w:rPr>
        <w:t>支付保函</w:t>
      </w:r>
    </w:p>
    <w:p>
      <w:pPr>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合同约定由承包人向发包人提交履约保函时，发包人向承包人提交支付保函。支付保函的格式、内容和提交时间在专用条款中约定。</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14.2.3 </w:t>
      </w:r>
      <w:r>
        <w:rPr>
          <w:rFonts w:hint="eastAsia"/>
          <w:color w:val="000000" w:themeColor="text1"/>
          <w:sz w:val="24"/>
          <w14:textFill>
            <w14:solidFill>
              <w14:schemeClr w14:val="tx1"/>
            </w14:solidFill>
          </w14:textFill>
        </w:rPr>
        <w:t>预付款保函</w:t>
      </w:r>
    </w:p>
    <w:p>
      <w:pPr>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合同约定由承包人向发包人提交预付款保函时，预付款保函的格式、金额和提交时间在专用条款中约定。</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14.3  </w:t>
      </w:r>
      <w:r>
        <w:rPr>
          <w:rFonts w:hint="eastAsia"/>
          <w:b/>
          <w:color w:val="000000" w:themeColor="text1"/>
          <w:sz w:val="24"/>
          <w14:textFill>
            <w14:solidFill>
              <w14:schemeClr w14:val="tx1"/>
            </w14:solidFill>
          </w14:textFill>
        </w:rPr>
        <w:t>预付款</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14.3.1 </w:t>
      </w:r>
      <w:r>
        <w:rPr>
          <w:rFonts w:hint="eastAsia"/>
          <w:color w:val="000000" w:themeColor="text1"/>
          <w:sz w:val="24"/>
          <w14:textFill>
            <w14:solidFill>
              <w14:schemeClr w14:val="tx1"/>
            </w14:solidFill>
          </w14:textFill>
        </w:rPr>
        <w:t>预付款金额</w:t>
      </w:r>
    </w:p>
    <w:p>
      <w:pPr>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发包人同意将按合同价格的一定比例作为预付款金额，具体金额在专用条款中约定。</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14.3.2</w:t>
      </w:r>
      <w:r>
        <w:rPr>
          <w:rFonts w:hint="eastAsia"/>
          <w:color w:val="000000" w:themeColor="text1"/>
          <w:sz w:val="24"/>
          <w14:textFill>
            <w14:solidFill>
              <w14:schemeClr w14:val="tx1"/>
            </w14:solidFill>
          </w14:textFill>
        </w:rPr>
        <w:t>预付款支付</w:t>
      </w:r>
    </w:p>
    <w:p>
      <w:pPr>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合同约定了预付款保函时，在合同生效后，发包人收到承包人提交的预付款保函后</w:t>
      </w:r>
      <w:r>
        <w:rPr>
          <w:color w:val="000000" w:themeColor="text1"/>
          <w:sz w:val="24"/>
          <w14:textFill>
            <w14:solidFill>
              <w14:schemeClr w14:val="tx1"/>
            </w14:solidFill>
          </w14:textFill>
        </w:rPr>
        <w:t>10</w:t>
      </w:r>
      <w:r>
        <w:rPr>
          <w:rFonts w:hint="eastAsia"/>
          <w:color w:val="000000" w:themeColor="text1"/>
          <w:sz w:val="24"/>
          <w14:textFill>
            <w14:solidFill>
              <w14:schemeClr w14:val="tx1"/>
            </w14:solidFill>
          </w14:textFill>
        </w:rPr>
        <w:t>日内，根据</w:t>
      </w:r>
      <w:r>
        <w:rPr>
          <w:color w:val="000000" w:themeColor="text1"/>
          <w:sz w:val="24"/>
          <w14:textFill>
            <w14:solidFill>
              <w14:schemeClr w14:val="tx1"/>
            </w14:solidFill>
          </w14:textFill>
        </w:rPr>
        <w:t>14.3.1</w:t>
      </w:r>
      <w:r>
        <w:rPr>
          <w:rFonts w:hint="eastAsia"/>
          <w:color w:val="000000" w:themeColor="text1"/>
          <w:sz w:val="24"/>
          <w14:textFill>
            <w14:solidFill>
              <w14:schemeClr w14:val="tx1"/>
            </w14:solidFill>
          </w14:textFill>
        </w:rPr>
        <w:t>款约定的预付款金额，一次支付给承包人；未约定预付款保函时，发包人应在合同生效后</w:t>
      </w:r>
      <w:r>
        <w:rPr>
          <w:color w:val="000000" w:themeColor="text1"/>
          <w:sz w:val="24"/>
          <w14:textFill>
            <w14:solidFill>
              <w14:schemeClr w14:val="tx1"/>
            </w14:solidFill>
          </w14:textFill>
        </w:rPr>
        <w:t>10</w:t>
      </w:r>
      <w:r>
        <w:rPr>
          <w:rFonts w:hint="eastAsia"/>
          <w:color w:val="000000" w:themeColor="text1"/>
          <w:sz w:val="24"/>
          <w14:textFill>
            <w14:solidFill>
              <w14:schemeClr w14:val="tx1"/>
            </w14:solidFill>
          </w14:textFill>
        </w:rPr>
        <w:t>日内，根据</w:t>
      </w:r>
      <w:r>
        <w:rPr>
          <w:color w:val="000000" w:themeColor="text1"/>
          <w:sz w:val="24"/>
          <w14:textFill>
            <w14:solidFill>
              <w14:schemeClr w14:val="tx1"/>
            </w14:solidFill>
          </w14:textFill>
        </w:rPr>
        <w:t>14.3.1</w:t>
      </w:r>
      <w:r>
        <w:rPr>
          <w:rFonts w:hint="eastAsia"/>
          <w:color w:val="000000" w:themeColor="text1"/>
          <w:sz w:val="24"/>
          <w14:textFill>
            <w14:solidFill>
              <w14:schemeClr w14:val="tx1"/>
            </w14:solidFill>
          </w14:textFill>
        </w:rPr>
        <w:t>款约定的预付款金额，一次支付给承包人。</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14.3.3</w:t>
      </w:r>
      <w:r>
        <w:rPr>
          <w:rFonts w:hint="eastAsia"/>
          <w:color w:val="000000" w:themeColor="text1"/>
          <w:sz w:val="24"/>
          <w14:textFill>
            <w14:solidFill>
              <w14:schemeClr w14:val="tx1"/>
            </w14:solidFill>
          </w14:textFill>
        </w:rPr>
        <w:t>预付款抵扣</w:t>
      </w:r>
    </w:p>
    <w:p>
      <w:pPr>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）预付款的抵扣方式、抵扣比例和抵扣时间安排，在专用条款中约定。</w:t>
      </w:r>
    </w:p>
    <w:p>
      <w:pPr>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）在发包人签发工程接收证书或合同解除时，预付款尚未抵扣完的，发包人有权要求承包人支付尚未抵扣完的预付款。承包人未能支付的，发包人有权按如下程序扣回预付款的余额：</w:t>
      </w:r>
    </w:p>
    <w:p>
      <w:pPr>
        <w:spacing w:line="300" w:lineRule="auto"/>
        <w:ind w:firstLine="991" w:firstLineChars="413"/>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）从应付给承包人的款项中或属于承包人的款项中一次或多次扣除；</w:t>
      </w:r>
    </w:p>
    <w:p>
      <w:pPr>
        <w:spacing w:line="300" w:lineRule="auto"/>
        <w:ind w:firstLine="991" w:firstLineChars="413"/>
        <w:rPr>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）应付给承包人的款项或属于承包人的款项不足以抵扣时，发包人有权从预付款保函（如约定提交）中扣除尚未抵扣完的预付款；</w:t>
      </w:r>
    </w:p>
    <w:p>
      <w:pPr>
        <w:spacing w:line="300" w:lineRule="auto"/>
        <w:ind w:firstLine="991" w:firstLineChars="413"/>
        <w:rPr>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）应付给承包人或属于承包人的款项不足以抵扣且合同未约定承包人提交预付款保函时，承包人应与发包人签订支付尚未抵扣完的预付款支付时间安排协议书；</w:t>
      </w:r>
    </w:p>
    <w:p>
      <w:pPr>
        <w:spacing w:line="300" w:lineRule="auto"/>
        <w:ind w:firstLine="991" w:firstLineChars="413"/>
        <w:rPr>
          <w:color w:val="000000" w:themeColor="text1"/>
          <w:sz w:val="24"/>
          <w14:textFill>
            <w14:solidFill>
              <w14:schemeClr w14:val="tx1"/>
            </w14:solidFill>
          </w14:textFill>
        </w:rPr>
      </w:pP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）承包人未能按上述协议书执行，发包人有权从履约保函（如有）中抵扣尚未扣完的预付款。</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14.4  工程进度款</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14.4.1</w:t>
      </w:r>
      <w:r>
        <w:rPr>
          <w:rFonts w:hint="eastAsia"/>
          <w:color w:val="000000" w:themeColor="text1"/>
          <w:sz w:val="24"/>
          <w14:textFill>
            <w14:solidFill>
              <w14:schemeClr w14:val="tx1"/>
            </w14:solidFill>
          </w14:textFill>
        </w:rPr>
        <w:t>工程进度款。工程进度款支付方式、支付条件和支付时间等，在专用条款中约定。</w:t>
      </w:r>
    </w:p>
    <w:p>
      <w:pPr>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14.4.2</w:t>
      </w:r>
      <w:r>
        <w:rPr>
          <w:rFonts w:hint="eastAsia"/>
          <w:color w:val="000000" w:themeColor="text1"/>
          <w:sz w:val="24"/>
          <w14:textFill>
            <w14:solidFill>
              <w14:schemeClr w14:val="tx1"/>
            </w14:solidFill>
          </w14:textFill>
        </w:rPr>
        <w:t>根据工程具体情况，应付的其它进度款，在专用条款约定。</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14.5  缺陷责任保修金的暂扣与支付</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14.5.1  </w:t>
      </w:r>
      <w:r>
        <w:rPr>
          <w:rFonts w:hint="eastAsia"/>
          <w:color w:val="000000" w:themeColor="text1"/>
          <w:sz w:val="24"/>
          <w14:textFill>
            <w14:solidFill>
              <w14:schemeClr w14:val="tx1"/>
            </w14:solidFill>
          </w14:textFill>
        </w:rPr>
        <w:t>缺陷责任保修金的暂时扣减。发包人可根据11.2.1</w:t>
      </w:r>
      <w:r>
        <w:rPr>
          <w:color w:val="000000" w:themeColor="text1"/>
          <w:sz w:val="24"/>
          <w14:textFill>
            <w14:solidFill>
              <w14:schemeClr w14:val="tx1"/>
            </w14:solidFill>
          </w14:textFill>
        </w:rPr>
        <w:t>款</w:t>
      </w:r>
      <w:r>
        <w:rPr>
          <w:rFonts w:hint="eastAsia"/>
          <w:color w:val="000000" w:themeColor="text1"/>
          <w:sz w:val="24"/>
          <w14:textFill>
            <w14:solidFill>
              <w14:schemeClr w14:val="tx1"/>
            </w14:solidFill>
          </w14:textFill>
        </w:rPr>
        <w:t>约定的缺陷责任保修金金额和11.2.2款缺陷责任保修金</w:t>
      </w:r>
      <w:r>
        <w:rPr>
          <w:color w:val="000000" w:themeColor="text1"/>
          <w:sz w:val="24"/>
          <w14:textFill>
            <w14:solidFill>
              <w14:schemeClr w14:val="tx1"/>
            </w14:solidFill>
          </w14:textFill>
        </w:rPr>
        <w:t>暂扣的</w:t>
      </w:r>
      <w:r>
        <w:rPr>
          <w:rFonts w:hint="eastAsia"/>
          <w:color w:val="000000" w:themeColor="text1"/>
          <w:sz w:val="24"/>
          <w14:textFill>
            <w14:solidFill>
              <w14:schemeClr w14:val="tx1"/>
            </w14:solidFill>
          </w14:textFill>
        </w:rPr>
        <w:t>约定，暂时扣减缺陷责任保修金。</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14.5.2 </w:t>
      </w:r>
      <w:r>
        <w:rPr>
          <w:rFonts w:hint="eastAsia"/>
          <w:color w:val="000000" w:themeColor="text1"/>
          <w:sz w:val="24"/>
          <w14:textFill>
            <w14:solidFill>
              <w14:schemeClr w14:val="tx1"/>
            </w14:solidFill>
          </w14:textFill>
        </w:rPr>
        <w:t>缺陷责任</w:t>
      </w:r>
      <w:r>
        <w:rPr>
          <w:color w:val="000000" w:themeColor="text1"/>
          <w:sz w:val="24"/>
          <w14:textFill>
            <w14:solidFill>
              <w14:schemeClr w14:val="tx1"/>
            </w14:solidFill>
          </w14:textFill>
        </w:rPr>
        <w:t>保修金的支付</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发包人应</w:t>
      </w:r>
      <w:r>
        <w:rPr>
          <w:color w:val="000000" w:themeColor="text1"/>
          <w:sz w:val="24"/>
          <w14:textFill>
            <w14:solidFill>
              <w14:schemeClr w14:val="tx1"/>
            </w14:solidFill>
          </w14:textFill>
        </w:rPr>
        <w:t>在办理工程竣工验收和竣工结算时，</w:t>
      </w:r>
      <w:r>
        <w:rPr>
          <w:rFonts w:hint="eastAsia"/>
          <w:color w:val="000000" w:themeColor="text1"/>
          <w:sz w:val="24"/>
          <w14:textFill>
            <w14:solidFill>
              <w14:schemeClr w14:val="tx1"/>
            </w14:solidFill>
          </w14:textFill>
        </w:rPr>
        <w:t>将按</w:t>
      </w:r>
      <w:r>
        <w:rPr>
          <w:color w:val="000000" w:themeColor="text1"/>
          <w:sz w:val="24"/>
          <w14:textFill>
            <w14:solidFill>
              <w14:schemeClr w14:val="tx1"/>
            </w14:solidFill>
          </w14:textFill>
        </w:rPr>
        <w:t>14.5.1款暂时扣减的全部</w:t>
      </w:r>
      <w:r>
        <w:rPr>
          <w:rFonts w:hint="eastAsia"/>
          <w:color w:val="000000" w:themeColor="text1"/>
          <w:sz w:val="24"/>
          <w14:textFill>
            <w14:solidFill>
              <w14:schemeClr w14:val="tx1"/>
            </w14:solidFill>
          </w14:textFill>
        </w:rPr>
        <w:t>缺陷责任保修金</w:t>
      </w:r>
      <w:r>
        <w:rPr>
          <w:color w:val="000000" w:themeColor="text1"/>
          <w:sz w:val="24"/>
          <w14:textFill>
            <w14:solidFill>
              <w14:schemeClr w14:val="tx1"/>
            </w14:solidFill>
          </w14:textFill>
        </w:rPr>
        <w:t>金额的一半支付给承包人</w:t>
      </w:r>
      <w:r>
        <w:rPr>
          <w:rFonts w:hint="eastAsia"/>
          <w:color w:val="000000" w:themeColor="text1"/>
          <w:sz w:val="24"/>
          <w14:textFill>
            <w14:solidFill>
              <w14:schemeClr w14:val="tx1"/>
            </w14:solidFill>
          </w14:textFill>
        </w:rPr>
        <w:t>，专用条款</w:t>
      </w:r>
      <w:r>
        <w:rPr>
          <w:color w:val="000000" w:themeColor="text1"/>
          <w:sz w:val="24"/>
          <w14:textFill>
            <w14:solidFill>
              <w14:schemeClr w14:val="tx1"/>
            </w14:solidFill>
          </w14:textFill>
        </w:rPr>
        <w:t>另有</w:t>
      </w:r>
      <w:r>
        <w:rPr>
          <w:rFonts w:hint="eastAsia"/>
          <w:color w:val="000000" w:themeColor="text1"/>
          <w:sz w:val="24"/>
          <w14:textFill>
            <w14:solidFill>
              <w14:schemeClr w14:val="tx1"/>
            </w14:solidFill>
          </w14:textFill>
        </w:rPr>
        <w:t>约定</w:t>
      </w:r>
      <w:r>
        <w:rPr>
          <w:color w:val="000000" w:themeColor="text1"/>
          <w:sz w:val="24"/>
          <w14:textFill>
            <w14:solidFill>
              <w14:schemeClr w14:val="tx1"/>
            </w14:solidFill>
          </w14:textFill>
        </w:rPr>
        <w:t>时除外。此后，承包人未能按发包人</w:t>
      </w:r>
      <w:r>
        <w:rPr>
          <w:rFonts w:hint="eastAsia"/>
          <w:color w:val="000000" w:themeColor="text1"/>
          <w:sz w:val="24"/>
          <w14:textFill>
            <w14:solidFill>
              <w14:schemeClr w14:val="tx1"/>
            </w14:solidFill>
          </w14:textFill>
        </w:rPr>
        <w:t>通知</w:t>
      </w:r>
      <w:r>
        <w:rPr>
          <w:color w:val="000000" w:themeColor="text1"/>
          <w:sz w:val="24"/>
          <w14:textFill>
            <w14:solidFill>
              <w14:schemeClr w14:val="tx1"/>
            </w14:solidFill>
          </w14:textFill>
        </w:rPr>
        <w:t>修复</w:t>
      </w:r>
      <w:r>
        <w:rPr>
          <w:rFonts w:hint="eastAsia"/>
          <w:color w:val="000000" w:themeColor="text1"/>
          <w:sz w:val="24"/>
          <w14:textFill>
            <w14:solidFill>
              <w14:schemeClr w14:val="tx1"/>
            </w14:solidFill>
          </w14:textFill>
        </w:rPr>
        <w:t>缺陷责任期内出现的缺陷或委托发包人修复该缺陷的，修复缺陷的费用，</w:t>
      </w:r>
      <w:r>
        <w:rPr>
          <w:color w:val="000000" w:themeColor="text1"/>
          <w:sz w:val="24"/>
          <w14:textFill>
            <w14:solidFill>
              <w14:schemeClr w14:val="tx1"/>
            </w14:solidFill>
          </w14:textFill>
        </w:rPr>
        <w:t>从余下的</w:t>
      </w:r>
      <w:r>
        <w:rPr>
          <w:rFonts w:hint="eastAsia"/>
          <w:color w:val="000000" w:themeColor="text1"/>
          <w:sz w:val="24"/>
          <w14:textFill>
            <w14:solidFill>
              <w14:schemeClr w14:val="tx1"/>
            </w14:solidFill>
          </w14:textFill>
        </w:rPr>
        <w:t>缺陷责任</w:t>
      </w:r>
      <w:r>
        <w:rPr>
          <w:color w:val="000000" w:themeColor="text1"/>
          <w:sz w:val="24"/>
          <w14:textFill>
            <w14:solidFill>
              <w14:schemeClr w14:val="tx1"/>
            </w14:solidFill>
          </w14:textFill>
        </w:rPr>
        <w:t>保修金</w:t>
      </w:r>
      <w:r>
        <w:rPr>
          <w:rFonts w:hint="eastAsia"/>
          <w:color w:val="000000" w:themeColor="text1"/>
          <w:sz w:val="24"/>
          <w14:textFill>
            <w14:solidFill>
              <w14:schemeClr w14:val="tx1"/>
            </w14:solidFill>
          </w14:textFill>
        </w:rPr>
        <w:t>金</w:t>
      </w:r>
      <w:r>
        <w:rPr>
          <w:color w:val="000000" w:themeColor="text1"/>
          <w:sz w:val="24"/>
          <w14:textFill>
            <w14:solidFill>
              <w14:schemeClr w14:val="tx1"/>
            </w14:solidFill>
          </w14:textFill>
        </w:rPr>
        <w:t>额中扣除。发包人</w:t>
      </w:r>
      <w:r>
        <w:rPr>
          <w:rFonts w:hint="eastAsia"/>
          <w:color w:val="000000" w:themeColor="text1"/>
          <w:sz w:val="24"/>
          <w14:textFill>
            <w14:solidFill>
              <w14:schemeClr w14:val="tx1"/>
            </w14:solidFill>
          </w14:textFill>
        </w:rPr>
        <w:t>应</w:t>
      </w:r>
      <w:r>
        <w:rPr>
          <w:color w:val="000000" w:themeColor="text1"/>
          <w:sz w:val="24"/>
          <w14:textFill>
            <w14:solidFill>
              <w14:schemeClr w14:val="tx1"/>
            </w14:solidFill>
          </w14:textFill>
        </w:rPr>
        <w:t>在</w:t>
      </w:r>
      <w:r>
        <w:rPr>
          <w:rFonts w:hint="eastAsia"/>
          <w:color w:val="000000" w:themeColor="text1"/>
          <w:sz w:val="24"/>
          <w14:textFill>
            <w14:solidFill>
              <w14:schemeClr w14:val="tx1"/>
            </w14:solidFill>
          </w14:textFill>
        </w:rPr>
        <w:t>缺陷责任期届满后15日内，</w:t>
      </w:r>
      <w:r>
        <w:rPr>
          <w:color w:val="000000" w:themeColor="text1"/>
          <w:sz w:val="24"/>
          <w14:textFill>
            <w14:solidFill>
              <w14:schemeClr w14:val="tx1"/>
            </w14:solidFill>
          </w14:textFill>
        </w:rPr>
        <w:t>将</w:t>
      </w:r>
      <w:r>
        <w:rPr>
          <w:rFonts w:hint="eastAsia"/>
          <w:color w:val="000000" w:themeColor="text1"/>
          <w:sz w:val="24"/>
          <w14:textFill>
            <w14:solidFill>
              <w14:schemeClr w14:val="tx1"/>
            </w14:solidFill>
          </w14:textFill>
        </w:rPr>
        <w:t>暂扣的缺陷责任</w:t>
      </w:r>
      <w:r>
        <w:rPr>
          <w:color w:val="000000" w:themeColor="text1"/>
          <w:sz w:val="24"/>
          <w14:textFill>
            <w14:solidFill>
              <w14:schemeClr w14:val="tx1"/>
            </w14:solidFill>
          </w14:textFill>
        </w:rPr>
        <w:t>保修</w:t>
      </w:r>
      <w:r>
        <w:rPr>
          <w:rFonts w:hint="eastAsia"/>
          <w:color w:val="000000" w:themeColor="text1"/>
          <w:sz w:val="24"/>
          <w14:textFill>
            <w14:solidFill>
              <w14:schemeClr w14:val="tx1"/>
            </w14:solidFill>
          </w14:textFill>
        </w:rPr>
        <w:t>金余额</w:t>
      </w:r>
      <w:r>
        <w:rPr>
          <w:color w:val="000000" w:themeColor="text1"/>
          <w:sz w:val="24"/>
          <w14:textFill>
            <w14:solidFill>
              <w14:schemeClr w14:val="tx1"/>
            </w14:solidFill>
          </w14:textFill>
        </w:rPr>
        <w:t>支付给承包人。</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专用条款约定承包人可提交缺陷责任保修金保函的，在办理工程竣工验收和竣工结算时，如承包人请求提供用于替代剩余的缺陷责任保修金的保函，发包人应在接到承包人按合同约定提交的缺陷责任保修金保函后，向承包人支付保修金的剩余金额。此后，如承包人未能自费修复缺陷责任期内出现的缺陷或委托发包人修复该缺陷的，修复缺陷的费用从该保函中扣除。发包人应在缺陷责任期届满后1</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日内，退还该保函。保函的格式、金额和提交时间，在专用条款约定</w:t>
      </w:r>
      <w:r>
        <w:rPr>
          <w:color w:val="000000" w:themeColor="text1"/>
          <w:sz w:val="24"/>
          <w14:textFill>
            <w14:solidFill>
              <w14:schemeClr w14:val="tx1"/>
            </w14:solidFill>
          </w14:textFill>
        </w:rPr>
        <w:t>.</w:t>
      </w:r>
    </w:p>
    <w:p>
      <w:pPr>
        <w:wordWrap w:val="0"/>
        <w:spacing w:before="120" w:beforeLines="50" w:after="120" w:afterLines="50" w:line="300" w:lineRule="auto"/>
        <w:ind w:firstLine="472" w:firstLineChars="196"/>
        <w:rPr>
          <w:b/>
          <w:color w:val="000000" w:themeColor="text1"/>
          <w:sz w:val="24"/>
          <w14:textFill>
            <w14:solidFill>
              <w14:schemeClr w14:val="tx1"/>
            </w14:solidFill>
          </w14:textFill>
        </w:rPr>
      </w:pPr>
      <w:r>
        <w:rPr>
          <w:b/>
          <w:color w:val="000000" w:themeColor="text1"/>
          <w:sz w:val="24"/>
          <w14:textFill>
            <w14:solidFill>
              <w14:schemeClr w14:val="tx1"/>
            </w14:solidFill>
          </w14:textFill>
        </w:rPr>
        <w:t>14.6</w:t>
      </w:r>
      <w:r>
        <w:rPr>
          <w:rFonts w:hint="eastAsia"/>
          <w:b/>
          <w:color w:val="000000" w:themeColor="text1"/>
          <w:sz w:val="24"/>
          <w14:textFill>
            <w14:solidFill>
              <w14:schemeClr w14:val="tx1"/>
            </w14:solidFill>
          </w14:textFill>
        </w:rPr>
        <w:t>按月工程进度申请付款</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14.6.1</w:t>
      </w:r>
      <w:r>
        <w:rPr>
          <w:rFonts w:hint="eastAsia"/>
          <w:color w:val="000000" w:themeColor="text1"/>
          <w:sz w:val="24"/>
          <w14:textFill>
            <w14:solidFill>
              <w14:schemeClr w14:val="tx1"/>
            </w14:solidFill>
          </w14:textFill>
        </w:rPr>
        <w:t>按月申请付款。按月申请付款的，承包人应以合同协议书约定的合同价格为基础，按每月实际完成的工程量（含设计、采购、施工、竣工试验和竣工后试验等）的合同金额，向发包人或监理人提交付款申请。承包人提交付款申请报告的格式、内容、份数和时间，在专用条款约定。</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按月付款申请报告中的款项包括：</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（1）按14.4款工程进度款约定的款项类别；</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（2）按13.7款合同价格调整约定的增减款项；</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（3）按</w:t>
      </w:r>
      <w:r>
        <w:rPr>
          <w:color w:val="000000" w:themeColor="text1"/>
          <w:sz w:val="24"/>
          <w14:textFill>
            <w14:solidFill>
              <w14:schemeClr w14:val="tx1"/>
            </w14:solidFill>
          </w14:textFill>
        </w:rPr>
        <w:t>14.</w:t>
      </w:r>
      <w:r>
        <w:rPr>
          <w:rFonts w:hint="eastAsia"/>
          <w:color w:val="000000" w:themeColor="text1"/>
          <w:sz w:val="24"/>
          <w14:textFill>
            <w14:solidFill>
              <w14:schemeClr w14:val="tx1"/>
            </w14:solidFill>
          </w14:textFill>
        </w:rPr>
        <w:t>3款预付款约定的支付及扣减的款项；</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（4）按</w:t>
      </w:r>
      <w:r>
        <w:rPr>
          <w:color w:val="000000" w:themeColor="text1"/>
          <w:sz w:val="24"/>
          <w14:textFill>
            <w14:solidFill>
              <w14:schemeClr w14:val="tx1"/>
            </w14:solidFill>
          </w14:textFill>
        </w:rPr>
        <w:t>14.5</w:t>
      </w:r>
      <w:r>
        <w:rPr>
          <w:rFonts w:hint="eastAsia"/>
          <w:color w:val="000000" w:themeColor="text1"/>
          <w:sz w:val="24"/>
          <w14:textFill>
            <w14:solidFill>
              <w14:schemeClr w14:val="tx1"/>
            </w14:solidFill>
          </w14:textFill>
        </w:rPr>
        <w:t>款缺陷责任保修金约定暂扣及支付的款项；</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（5）根据16.2款索赔结果增减的款项；</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（6）根据另行签订的本合同补充协议增减的款项。</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14.6.2</w:t>
      </w:r>
      <w:r>
        <w:rPr>
          <w:rFonts w:hint="eastAsia"/>
          <w:color w:val="000000" w:themeColor="text1"/>
          <w:sz w:val="24"/>
          <w14:textFill>
            <w14:solidFill>
              <w14:schemeClr w14:val="tx1"/>
            </w14:solidFill>
          </w14:textFill>
        </w:rPr>
        <w:t>如双方约定了</w:t>
      </w:r>
      <w:r>
        <w:rPr>
          <w:color w:val="000000" w:themeColor="text1"/>
          <w:sz w:val="24"/>
          <w14:textFill>
            <w14:solidFill>
              <w14:schemeClr w14:val="tx1"/>
            </w14:solidFill>
          </w14:textFill>
        </w:rPr>
        <w:t>14.6.1</w:t>
      </w:r>
      <w:r>
        <w:rPr>
          <w:rFonts w:hint="eastAsia"/>
          <w:color w:val="000000" w:themeColor="text1"/>
          <w:sz w:val="24"/>
          <w14:textFill>
            <w14:solidFill>
              <w14:schemeClr w14:val="tx1"/>
            </w14:solidFill>
          </w14:textFill>
        </w:rPr>
        <w:t>款按月工程进度申请付款的方式时，则不能再约定按14</w:t>
      </w:r>
      <w:r>
        <w:rPr>
          <w:color w:val="000000" w:themeColor="text1"/>
          <w:sz w:val="24"/>
          <w14:textFill>
            <w14:solidFill>
              <w14:schemeClr w14:val="tx1"/>
            </w14:solidFill>
          </w14:textFill>
        </w:rPr>
        <w:t>.7</w:t>
      </w:r>
      <w:r>
        <w:rPr>
          <w:rFonts w:hint="eastAsia"/>
          <w:color w:val="000000" w:themeColor="text1"/>
          <w:sz w:val="24"/>
          <w14:textFill>
            <w14:solidFill>
              <w14:schemeClr w14:val="tx1"/>
            </w14:solidFill>
          </w14:textFill>
        </w:rPr>
        <w:t>款按付款计划表申请付款的方式。</w:t>
      </w:r>
    </w:p>
    <w:p>
      <w:pPr>
        <w:wordWrap w:val="0"/>
        <w:spacing w:before="120" w:beforeLines="50" w:after="120" w:afterLines="50" w:line="300" w:lineRule="auto"/>
        <w:ind w:firstLine="472" w:firstLineChars="196"/>
        <w:rPr>
          <w:b/>
          <w:color w:val="000000" w:themeColor="text1"/>
          <w:sz w:val="24"/>
          <w14:textFill>
            <w14:solidFill>
              <w14:schemeClr w14:val="tx1"/>
            </w14:solidFill>
          </w14:textFill>
        </w:rPr>
      </w:pPr>
      <w:r>
        <w:rPr>
          <w:b/>
          <w:color w:val="000000" w:themeColor="text1"/>
          <w:sz w:val="24"/>
          <w14:textFill>
            <w14:solidFill>
              <w14:schemeClr w14:val="tx1"/>
            </w14:solidFill>
          </w14:textFill>
        </w:rPr>
        <w:t>14.7</w:t>
      </w:r>
      <w:r>
        <w:rPr>
          <w:rFonts w:hint="eastAsia"/>
          <w:b/>
          <w:color w:val="000000" w:themeColor="text1"/>
          <w:sz w:val="24"/>
          <w14:textFill>
            <w14:solidFill>
              <w14:schemeClr w14:val="tx1"/>
            </w14:solidFill>
          </w14:textFill>
        </w:rPr>
        <w:t>按付款计划表申请付款</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14.</w:t>
      </w:r>
      <w:r>
        <w:rPr>
          <w:rFonts w:hint="eastAsia"/>
          <w:color w:val="000000" w:themeColor="text1"/>
          <w:sz w:val="24"/>
          <w14:textFill>
            <w14:solidFill>
              <w14:schemeClr w14:val="tx1"/>
            </w14:solidFill>
          </w14:textFill>
        </w:rPr>
        <w:t>7</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按付款计划表申请付款</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按付款计划表申请付款的，承包人应以合同协议书约定的合同价格为基础，按照专用条款约定的付款期数、计划每期达到的主要形象进度和（或）完成的主要计划工程量（含设计、采购、施工、竣工试验和竣工后试验等）等目标任务，以及每期付款金额，并依据专用条款约定的格式、内容、份数和提交时间，向发包人或监理人提交当期付款申请报告。</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每期付款申请报告中的款项包括：</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（1）按专用条款中约定的当期计划申请付款的金额；</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（2）按13.7款合同价款调整约定的增减款项；</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（3）按</w:t>
      </w:r>
      <w:r>
        <w:rPr>
          <w:color w:val="000000" w:themeColor="text1"/>
          <w:sz w:val="24"/>
          <w14:textFill>
            <w14:solidFill>
              <w14:schemeClr w14:val="tx1"/>
            </w14:solidFill>
          </w14:textFill>
        </w:rPr>
        <w:t>14.3</w:t>
      </w:r>
      <w:r>
        <w:rPr>
          <w:rFonts w:hint="eastAsia"/>
          <w:color w:val="000000" w:themeColor="text1"/>
          <w:sz w:val="24"/>
          <w14:textFill>
            <w14:solidFill>
              <w14:schemeClr w14:val="tx1"/>
            </w14:solidFill>
          </w14:textFill>
        </w:rPr>
        <w:t>款预付款约定的，支付及扣减的款项；</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（4）按</w:t>
      </w:r>
      <w:r>
        <w:rPr>
          <w:color w:val="000000" w:themeColor="text1"/>
          <w:sz w:val="24"/>
          <w14:textFill>
            <w14:solidFill>
              <w14:schemeClr w14:val="tx1"/>
            </w14:solidFill>
          </w14:textFill>
        </w:rPr>
        <w:t>14.5</w:t>
      </w:r>
      <w:r>
        <w:rPr>
          <w:rFonts w:hint="eastAsia"/>
          <w:color w:val="000000" w:themeColor="text1"/>
          <w:sz w:val="24"/>
          <w14:textFill>
            <w14:solidFill>
              <w14:schemeClr w14:val="tx1"/>
            </w14:solidFill>
          </w14:textFill>
        </w:rPr>
        <w:t>款缺陷责任保修金约定暂扣及支付的款项；</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（5）根据16.2款索赔结果增减的款项；</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（6）根据另行签订的本合同的补充协议增减的款项。</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14.7.2</w:t>
      </w:r>
      <w:r>
        <w:rPr>
          <w:rFonts w:hint="eastAsia"/>
          <w:color w:val="000000" w:themeColor="text1"/>
          <w:sz w:val="24"/>
          <w14:textFill>
            <w14:solidFill>
              <w14:schemeClr w14:val="tx1"/>
            </w14:solidFill>
          </w14:textFill>
        </w:rPr>
        <w:t>发包人按付款计划表付款时，承包人的实际工作和（或）实际进度比付款计划表约定的关键路径的目标任务落后30日及以上时，发包人有权与承包人商定减少当期付款金额，并有权与承包人共同调整付款计划表。承包人以后各期的付款申请及发包人的付款，以调整后的付款计划表为依据。</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14.7.3</w:t>
      </w:r>
      <w:r>
        <w:rPr>
          <w:rFonts w:hint="eastAsia"/>
          <w:color w:val="000000" w:themeColor="text1"/>
          <w:sz w:val="24"/>
          <w14:textFill>
            <w14:solidFill>
              <w14:schemeClr w14:val="tx1"/>
            </w14:solidFill>
          </w14:textFill>
        </w:rPr>
        <w:t>如双方约定了按14</w:t>
      </w:r>
      <w:r>
        <w:rPr>
          <w:color w:val="000000" w:themeColor="text1"/>
          <w:sz w:val="24"/>
          <w14:textFill>
            <w14:solidFill>
              <w14:schemeClr w14:val="tx1"/>
            </w14:solidFill>
          </w14:textFill>
        </w:rPr>
        <w:t>.7</w:t>
      </w:r>
      <w:r>
        <w:rPr>
          <w:rFonts w:hint="eastAsia"/>
          <w:color w:val="000000" w:themeColor="text1"/>
          <w:sz w:val="24"/>
          <w14:textFill>
            <w14:solidFill>
              <w14:schemeClr w14:val="tx1"/>
            </w14:solidFill>
          </w14:textFill>
        </w:rPr>
        <w:t>款付款计划表的方式申请付款时，不能再约定按14</w:t>
      </w: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款按月工程进度付款申请的方式。</w:t>
      </w:r>
    </w:p>
    <w:p>
      <w:pPr>
        <w:wordWrap w:val="0"/>
        <w:spacing w:before="120" w:beforeLines="50" w:after="120" w:afterLines="50" w:line="300" w:lineRule="auto"/>
        <w:ind w:firstLine="472" w:firstLineChars="196"/>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14.8 付款条件与时间安排</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14.8.1付款条件</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双方约定由承包人提交履约保函时，履约保函的提交应为发包人支付各项款项的前提条件；未约定履约保函时，发包人按约定支付各项款项。</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14.8.2预付款的支付</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工程预付款的支付依据14.3.2款预付款支付的约定执行。预付款抵扣完后，发包人应及时向承包人退还付款保函。</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14.8.</w:t>
      </w:r>
      <w:r>
        <w:rPr>
          <w:rFonts w:hint="eastAsia"/>
          <w:color w:val="000000" w:themeColor="text1"/>
          <w:sz w:val="24"/>
          <w14:textFill>
            <w14:solidFill>
              <w14:schemeClr w14:val="tx1"/>
            </w14:solidFill>
          </w14:textFill>
        </w:rPr>
        <w:t>3工程进度款</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按月工程进度申请与付款。依据</w:t>
      </w:r>
      <w:r>
        <w:rPr>
          <w:color w:val="000000" w:themeColor="text1"/>
          <w:sz w:val="24"/>
          <w14:textFill>
            <w14:solidFill>
              <w14:schemeClr w14:val="tx1"/>
            </w14:solidFill>
          </w14:textFill>
        </w:rPr>
        <w:t>14.6.1款按月</w:t>
      </w:r>
      <w:r>
        <w:rPr>
          <w:rFonts w:hint="eastAsia"/>
          <w:color w:val="000000" w:themeColor="text1"/>
          <w:sz w:val="24"/>
          <w14:textFill>
            <w14:solidFill>
              <w14:schemeClr w14:val="tx1"/>
            </w14:solidFill>
          </w14:textFill>
        </w:rPr>
        <w:t>工程</w:t>
      </w:r>
      <w:r>
        <w:rPr>
          <w:color w:val="000000" w:themeColor="text1"/>
          <w:sz w:val="24"/>
          <w14:textFill>
            <w14:solidFill>
              <w14:schemeClr w14:val="tx1"/>
            </w14:solidFill>
          </w14:textFill>
        </w:rPr>
        <w:t>进度申请付款和付款时，</w:t>
      </w:r>
      <w:r>
        <w:rPr>
          <w:rFonts w:hint="eastAsia"/>
          <w:color w:val="000000" w:themeColor="text1"/>
          <w:sz w:val="24"/>
          <w14:textFill>
            <w14:solidFill>
              <w14:schemeClr w14:val="tx1"/>
            </w14:solidFill>
          </w14:textFill>
        </w:rPr>
        <w:t>发包人应在收到承包人按14.6.1款提交的每月付款申请报告之日起的25日内审查并支付。</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（2）按付款计划表申请与付款。依据</w:t>
      </w:r>
      <w:r>
        <w:rPr>
          <w:color w:val="000000" w:themeColor="text1"/>
          <w:sz w:val="24"/>
          <w14:textFill>
            <w14:solidFill>
              <w14:schemeClr w14:val="tx1"/>
            </w14:solidFill>
          </w14:textFill>
        </w:rPr>
        <w:t>14.7.1</w:t>
      </w:r>
      <w:r>
        <w:rPr>
          <w:rFonts w:hint="eastAsia"/>
          <w:color w:val="000000" w:themeColor="text1"/>
          <w:sz w:val="24"/>
          <w14:textFill>
            <w14:solidFill>
              <w14:schemeClr w14:val="tx1"/>
            </w14:solidFill>
          </w14:textFill>
        </w:rPr>
        <w:t>款按付款计划表申请付款和付款时，发包人应在收到承包人按14.7.1款提交的每期付款申请报告之日起的25日内审查并支付。</w:t>
      </w:r>
    </w:p>
    <w:p>
      <w:pPr>
        <w:wordWrap w:val="0"/>
        <w:spacing w:before="120" w:beforeLines="50" w:after="120" w:afterLines="50" w:line="300" w:lineRule="auto"/>
        <w:ind w:firstLine="472" w:firstLineChars="196"/>
        <w:rPr>
          <w:b/>
          <w:color w:val="000000" w:themeColor="text1"/>
          <w:sz w:val="24"/>
          <w14:textFill>
            <w14:solidFill>
              <w14:schemeClr w14:val="tx1"/>
            </w14:solidFill>
          </w14:textFill>
        </w:rPr>
      </w:pPr>
      <w:r>
        <w:rPr>
          <w:b/>
          <w:color w:val="000000" w:themeColor="text1"/>
          <w:sz w:val="24"/>
          <w14:textFill>
            <w14:solidFill>
              <w14:schemeClr w14:val="tx1"/>
            </w14:solidFill>
          </w14:textFill>
        </w:rPr>
        <w:t>14.9  付款时间延误</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14.9.1  因发包人的原因未能按14.8.3款</w:t>
      </w:r>
      <w:r>
        <w:rPr>
          <w:rFonts w:hint="eastAsia"/>
          <w:color w:val="000000" w:themeColor="text1"/>
          <w:sz w:val="24"/>
          <w14:textFill>
            <w14:solidFill>
              <w14:schemeClr w14:val="tx1"/>
            </w14:solidFill>
          </w14:textFill>
        </w:rPr>
        <w:t>约定</w:t>
      </w:r>
      <w:r>
        <w:rPr>
          <w:color w:val="000000" w:themeColor="text1"/>
          <w:sz w:val="24"/>
          <w14:textFill>
            <w14:solidFill>
              <w14:schemeClr w14:val="tx1"/>
            </w14:solidFill>
          </w14:textFill>
        </w:rPr>
        <w:t>的时间向承包人支付工程进度款的，</w:t>
      </w:r>
      <w:r>
        <w:rPr>
          <w:rFonts w:hint="eastAsia"/>
          <w:color w:val="000000" w:themeColor="text1"/>
          <w:sz w:val="24"/>
          <w14:textFill>
            <w14:solidFill>
              <w14:schemeClr w14:val="tx1"/>
            </w14:solidFill>
          </w14:textFill>
        </w:rPr>
        <w:t>应</w:t>
      </w:r>
      <w:r>
        <w:rPr>
          <w:color w:val="000000" w:themeColor="text1"/>
          <w:sz w:val="24"/>
          <w14:textFill>
            <w14:solidFill>
              <w14:schemeClr w14:val="tx1"/>
            </w14:solidFill>
          </w14:textFill>
        </w:rPr>
        <w:t>从</w:t>
      </w:r>
      <w:r>
        <w:rPr>
          <w:rFonts w:hint="eastAsia"/>
          <w:color w:val="000000" w:themeColor="text1"/>
          <w:sz w:val="24"/>
          <w14:textFill>
            <w14:solidFill>
              <w14:schemeClr w14:val="tx1"/>
            </w14:solidFill>
          </w14:textFill>
        </w:rPr>
        <w:t>发包人收到付款申请报告</w:t>
      </w:r>
      <w:r>
        <w:rPr>
          <w:color w:val="000000" w:themeColor="text1"/>
          <w:sz w:val="24"/>
          <w14:textFill>
            <w14:solidFill>
              <w14:schemeClr w14:val="tx1"/>
            </w14:solidFill>
          </w14:textFill>
        </w:rPr>
        <w:t>后的第</w:t>
      </w:r>
      <w:r>
        <w:rPr>
          <w:rFonts w:hint="eastAsia"/>
          <w:color w:val="000000" w:themeColor="text1"/>
          <w:sz w:val="24"/>
          <w14:textFill>
            <w14:solidFill>
              <w14:schemeClr w14:val="tx1"/>
            </w14:solidFill>
          </w14:textFill>
        </w:rPr>
        <w:t>26日</w:t>
      </w:r>
      <w:r>
        <w:rPr>
          <w:color w:val="000000" w:themeColor="text1"/>
          <w:sz w:val="24"/>
          <w14:textFill>
            <w14:solidFill>
              <w14:schemeClr w14:val="tx1"/>
            </w14:solidFill>
          </w14:textFill>
        </w:rPr>
        <w:t>开始，以中国人民银行颁布的同期同类贷款利率向承包人支付延期付款的利息，作为延期付款的违约金额。</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14.9.2</w:t>
      </w:r>
      <w:r>
        <w:rPr>
          <w:color w:val="000000" w:themeColor="text1"/>
          <w:sz w:val="24"/>
          <w14:textFill>
            <w14:solidFill>
              <w14:schemeClr w14:val="tx1"/>
            </w14:solidFill>
          </w14:textFill>
        </w:rPr>
        <w:t>发包人延误付款</w:t>
      </w:r>
      <w:r>
        <w:rPr>
          <w:rFonts w:hint="eastAsia"/>
          <w:color w:val="000000" w:themeColor="text1"/>
          <w:sz w:val="24"/>
          <w14:textFill>
            <w14:solidFill>
              <w14:schemeClr w14:val="tx1"/>
            </w14:solidFill>
          </w14:textFill>
        </w:rPr>
        <w:t>15日</w:t>
      </w:r>
      <w:r>
        <w:rPr>
          <w:color w:val="000000" w:themeColor="text1"/>
          <w:sz w:val="24"/>
          <w14:textFill>
            <w14:solidFill>
              <w14:schemeClr w14:val="tx1"/>
            </w14:solidFill>
          </w14:textFill>
        </w:rPr>
        <w:t>以上</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承包人有权向发包人发出</w:t>
      </w:r>
      <w:r>
        <w:rPr>
          <w:rFonts w:hint="eastAsia"/>
          <w:color w:val="000000" w:themeColor="text1"/>
          <w:sz w:val="24"/>
          <w14:textFill>
            <w14:solidFill>
              <w14:schemeClr w14:val="tx1"/>
            </w14:solidFill>
          </w14:textFill>
        </w:rPr>
        <w:t>要</w:t>
      </w:r>
      <w:r>
        <w:rPr>
          <w:color w:val="000000" w:themeColor="text1"/>
          <w:sz w:val="24"/>
          <w14:textFill>
            <w14:solidFill>
              <w14:schemeClr w14:val="tx1"/>
            </w14:solidFill>
          </w14:textFill>
        </w:rPr>
        <w:t>求付款的通知，发包人收到通知后仍不能付款，</w:t>
      </w:r>
      <w:r>
        <w:rPr>
          <w:rFonts w:hint="eastAsia"/>
          <w:color w:val="000000" w:themeColor="text1"/>
          <w:sz w:val="24"/>
          <w14:textFill>
            <w14:solidFill>
              <w14:schemeClr w14:val="tx1"/>
            </w14:solidFill>
          </w14:textFill>
        </w:rPr>
        <w:t>承包人可暂停部分工作，视为发包人导致的暂停，并遵照4</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6</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款发包人的暂停的约定执行。</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双方</w:t>
      </w:r>
      <w:r>
        <w:rPr>
          <w:color w:val="000000" w:themeColor="text1"/>
          <w:sz w:val="24"/>
          <w14:textFill>
            <w14:solidFill>
              <w14:schemeClr w14:val="tx1"/>
            </w14:solidFill>
          </w14:textFill>
        </w:rPr>
        <w:t>协商签订延期付款协议书</w:t>
      </w:r>
      <w:r>
        <w:rPr>
          <w:rFonts w:hint="eastAsia"/>
          <w:color w:val="000000" w:themeColor="text1"/>
          <w:sz w:val="24"/>
          <w14:textFill>
            <w14:solidFill>
              <w14:schemeClr w14:val="tx1"/>
            </w14:solidFill>
          </w14:textFill>
        </w:rPr>
        <w:t>的</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发包人应</w:t>
      </w:r>
      <w:r>
        <w:rPr>
          <w:color w:val="000000" w:themeColor="text1"/>
          <w:sz w:val="24"/>
          <w14:textFill>
            <w14:solidFill>
              <w14:schemeClr w14:val="tx1"/>
            </w14:solidFill>
          </w14:textFill>
        </w:rPr>
        <w:t>按延期付款协议书</w:t>
      </w:r>
      <w:r>
        <w:rPr>
          <w:rFonts w:hint="eastAsia"/>
          <w:color w:val="000000" w:themeColor="text1"/>
          <w:sz w:val="24"/>
          <w14:textFill>
            <w14:solidFill>
              <w14:schemeClr w14:val="tx1"/>
            </w14:solidFill>
          </w14:textFill>
        </w:rPr>
        <w:t>中约定</w:t>
      </w:r>
      <w:r>
        <w:rPr>
          <w:color w:val="000000" w:themeColor="text1"/>
          <w:sz w:val="24"/>
          <w14:textFill>
            <w14:solidFill>
              <w14:schemeClr w14:val="tx1"/>
            </w14:solidFill>
          </w14:textFill>
        </w:rPr>
        <w:t>的期数、</w:t>
      </w:r>
      <w:r>
        <w:rPr>
          <w:rFonts w:hint="eastAsia"/>
          <w:color w:val="000000" w:themeColor="text1"/>
          <w:sz w:val="24"/>
          <w14:textFill>
            <w14:solidFill>
              <w14:schemeClr w14:val="tx1"/>
            </w14:solidFill>
          </w14:textFill>
        </w:rPr>
        <w:t>时间、</w:t>
      </w:r>
      <w:r>
        <w:rPr>
          <w:color w:val="000000" w:themeColor="text1"/>
          <w:sz w:val="24"/>
          <w14:textFill>
            <w14:solidFill>
              <w14:schemeClr w14:val="tx1"/>
            </w14:solidFill>
          </w14:textFill>
        </w:rPr>
        <w:t>金额</w:t>
      </w:r>
      <w:r>
        <w:rPr>
          <w:rFonts w:hint="eastAsia"/>
          <w:color w:val="000000" w:themeColor="text1"/>
          <w:sz w:val="24"/>
          <w14:textFill>
            <w14:solidFill>
              <w14:schemeClr w14:val="tx1"/>
            </w14:solidFill>
          </w14:textFill>
        </w:rPr>
        <w:t>和</w:t>
      </w:r>
      <w:r>
        <w:rPr>
          <w:color w:val="000000" w:themeColor="text1"/>
          <w:sz w:val="24"/>
          <w14:textFill>
            <w14:solidFill>
              <w14:schemeClr w14:val="tx1"/>
            </w14:solidFill>
          </w14:textFill>
        </w:rPr>
        <w:t>利息付款</w:t>
      </w:r>
      <w:r>
        <w:rPr>
          <w:rFonts w:hint="eastAsia"/>
          <w:color w:val="000000" w:themeColor="text1"/>
          <w:sz w:val="24"/>
          <w14:textFill>
            <w14:solidFill>
              <w14:schemeClr w14:val="tx1"/>
            </w14:solidFill>
          </w14:textFill>
        </w:rPr>
        <w:t>；当</w:t>
      </w:r>
      <w:r>
        <w:rPr>
          <w:color w:val="000000" w:themeColor="text1"/>
          <w:sz w:val="24"/>
          <w14:textFill>
            <w14:solidFill>
              <w14:schemeClr w14:val="tx1"/>
            </w14:solidFill>
          </w14:textFill>
        </w:rPr>
        <w:t>双方未能达成延期付款协议，导致工程无法实施，承包人可停止部分或</w:t>
      </w:r>
      <w:r>
        <w:rPr>
          <w:rFonts w:hint="eastAsia"/>
          <w:color w:val="000000" w:themeColor="text1"/>
          <w:sz w:val="24"/>
          <w14:textFill>
            <w14:solidFill>
              <w14:schemeClr w14:val="tx1"/>
            </w14:solidFill>
          </w14:textFill>
        </w:rPr>
        <w:t>全部</w:t>
      </w:r>
      <w:r>
        <w:rPr>
          <w:color w:val="000000" w:themeColor="text1"/>
          <w:sz w:val="24"/>
          <w14:textFill>
            <w14:solidFill>
              <w14:schemeClr w14:val="tx1"/>
            </w14:solidFill>
          </w14:textFill>
        </w:rPr>
        <w:t>工程，发包人</w:t>
      </w:r>
      <w:r>
        <w:rPr>
          <w:rFonts w:hint="eastAsia"/>
          <w:color w:val="000000" w:themeColor="text1"/>
          <w:sz w:val="24"/>
          <w14:textFill>
            <w14:solidFill>
              <w14:schemeClr w14:val="tx1"/>
            </w14:solidFill>
          </w14:textFill>
        </w:rPr>
        <w:t>应</w:t>
      </w:r>
      <w:r>
        <w:rPr>
          <w:color w:val="000000" w:themeColor="text1"/>
          <w:sz w:val="24"/>
          <w14:textFill>
            <w14:solidFill>
              <w14:schemeClr w14:val="tx1"/>
            </w14:solidFill>
          </w14:textFill>
        </w:rPr>
        <w:t>承担违约责任</w:t>
      </w:r>
      <w:r>
        <w:rPr>
          <w:rFonts w:hint="eastAsia"/>
          <w:color w:val="000000" w:themeColor="text1"/>
          <w:sz w:val="24"/>
          <w14:textFill>
            <w14:solidFill>
              <w14:schemeClr w14:val="tx1"/>
            </w14:solidFill>
          </w14:textFill>
        </w:rPr>
        <w:t>，导致工程关键路径</w:t>
      </w:r>
      <w:r>
        <w:rPr>
          <w:color w:val="000000" w:themeColor="text1"/>
          <w:sz w:val="24"/>
          <w14:textFill>
            <w14:solidFill>
              <w14:schemeClr w14:val="tx1"/>
            </w14:solidFill>
          </w14:textFill>
        </w:rPr>
        <w:t>延</w:t>
      </w:r>
      <w:r>
        <w:rPr>
          <w:rFonts w:hint="eastAsia"/>
          <w:color w:val="000000" w:themeColor="text1"/>
          <w:sz w:val="24"/>
          <w14:textFill>
            <w14:solidFill>
              <w14:schemeClr w14:val="tx1"/>
            </w14:solidFill>
          </w14:textFill>
        </w:rPr>
        <w:t>误时</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竣工日期</w:t>
      </w:r>
      <w:r>
        <w:rPr>
          <w:color w:val="000000" w:themeColor="text1"/>
          <w:sz w:val="24"/>
          <w14:textFill>
            <w14:solidFill>
              <w14:schemeClr w14:val="tx1"/>
            </w14:solidFill>
          </w14:textFill>
        </w:rPr>
        <w:t>顺延。</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14.9.3  发包人</w:t>
      </w:r>
      <w:r>
        <w:rPr>
          <w:rFonts w:hint="eastAsia"/>
          <w:color w:val="000000" w:themeColor="text1"/>
          <w:sz w:val="24"/>
          <w14:textFill>
            <w14:solidFill>
              <w14:schemeClr w14:val="tx1"/>
            </w14:solidFill>
          </w14:textFill>
        </w:rPr>
        <w:t>的</w:t>
      </w:r>
      <w:r>
        <w:rPr>
          <w:color w:val="000000" w:themeColor="text1"/>
          <w:sz w:val="24"/>
          <w14:textFill>
            <w14:solidFill>
              <w14:schemeClr w14:val="tx1"/>
            </w14:solidFill>
          </w14:textFill>
        </w:rPr>
        <w:t>延误付款达60日以上，并影响到整个工程实施</w:t>
      </w:r>
      <w:r>
        <w:rPr>
          <w:rFonts w:hint="eastAsia"/>
          <w:color w:val="000000" w:themeColor="text1"/>
          <w:sz w:val="24"/>
          <w14:textFill>
            <w14:solidFill>
              <w14:schemeClr w14:val="tx1"/>
            </w14:solidFill>
          </w14:textFill>
        </w:rPr>
        <w:t>的</w:t>
      </w:r>
      <w:r>
        <w:rPr>
          <w:color w:val="000000" w:themeColor="text1"/>
          <w:sz w:val="24"/>
          <w14:textFill>
            <w14:solidFill>
              <w14:schemeClr w14:val="tx1"/>
            </w14:solidFill>
          </w14:textFill>
        </w:rPr>
        <w:t>，承包人</w:t>
      </w:r>
      <w:r>
        <w:rPr>
          <w:rFonts w:hint="eastAsia"/>
          <w:color w:val="000000" w:themeColor="text1"/>
          <w:sz w:val="24"/>
          <w14:textFill>
            <w14:solidFill>
              <w14:schemeClr w14:val="tx1"/>
            </w14:solidFill>
          </w14:textFill>
        </w:rPr>
        <w:t>有权</w:t>
      </w:r>
      <w:r>
        <w:rPr>
          <w:color w:val="000000" w:themeColor="text1"/>
          <w:sz w:val="24"/>
          <w14:textFill>
            <w14:solidFill>
              <w14:schemeClr w14:val="tx1"/>
            </w14:solidFill>
          </w14:textFill>
        </w:rPr>
        <w:t>根据18.2款</w:t>
      </w:r>
      <w:r>
        <w:rPr>
          <w:rFonts w:hint="eastAsia"/>
          <w:color w:val="000000" w:themeColor="text1"/>
          <w:sz w:val="24"/>
          <w14:textFill>
            <w14:solidFill>
              <w14:schemeClr w14:val="tx1"/>
            </w14:solidFill>
          </w14:textFill>
        </w:rPr>
        <w:t>的约定</w:t>
      </w:r>
      <w:r>
        <w:rPr>
          <w:color w:val="000000" w:themeColor="text1"/>
          <w:sz w:val="24"/>
          <w14:textFill>
            <w14:solidFill>
              <w14:schemeClr w14:val="tx1"/>
            </w14:solidFill>
          </w14:textFill>
        </w:rPr>
        <w:t>向发包人发出解除合同的</w:t>
      </w:r>
      <w:r>
        <w:rPr>
          <w:rFonts w:hint="eastAsia"/>
          <w:color w:val="000000" w:themeColor="text1"/>
          <w:sz w:val="24"/>
          <w14:textFill>
            <w14:solidFill>
              <w14:schemeClr w14:val="tx1"/>
            </w14:solidFill>
          </w14:textFill>
        </w:rPr>
        <w:t>通知，并有权就因此增加的相关费用向发包人提出索赔。</w:t>
      </w:r>
    </w:p>
    <w:p>
      <w:pPr>
        <w:wordWrap w:val="0"/>
        <w:spacing w:before="120" w:beforeLines="50" w:after="120" w:afterLines="50" w:line="300" w:lineRule="auto"/>
        <w:ind w:firstLine="472" w:firstLineChars="196"/>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14.10税务与关税</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14.10.1发包人与承包人按国家有关纳税规定，各自履行各自的纳税义务，含与进口工程物资相关的各项纳税义务。</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14.10.2合同一方享有本合同进口工程设备、材料、设备配件等进口增值税和关税减免时，另一方有义务就办理减免税手续给予协助和配合。</w:t>
      </w:r>
    </w:p>
    <w:p>
      <w:pPr>
        <w:wordWrap w:val="0"/>
        <w:spacing w:before="120" w:beforeLines="50" w:after="120" w:afterLines="50" w:line="300" w:lineRule="auto"/>
        <w:ind w:firstLine="472" w:firstLineChars="196"/>
        <w:rPr>
          <w:b/>
          <w:color w:val="000000" w:themeColor="text1"/>
          <w:sz w:val="24"/>
          <w14:textFill>
            <w14:solidFill>
              <w14:schemeClr w14:val="tx1"/>
            </w14:solidFill>
          </w14:textFill>
        </w:rPr>
      </w:pPr>
      <w:r>
        <w:rPr>
          <w:b/>
          <w:color w:val="000000" w:themeColor="text1"/>
          <w:sz w:val="24"/>
          <w14:textFill>
            <w14:solidFill>
              <w14:schemeClr w14:val="tx1"/>
            </w14:solidFill>
          </w14:textFill>
        </w:rPr>
        <w:t>14.11  索赔款项的支付</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14.11.1  经协商</w:t>
      </w:r>
      <w:r>
        <w:rPr>
          <w:rFonts w:hint="eastAsia"/>
          <w:color w:val="000000" w:themeColor="text1"/>
          <w:sz w:val="24"/>
          <w14:textFill>
            <w14:solidFill>
              <w14:schemeClr w14:val="tx1"/>
            </w14:solidFill>
          </w14:textFill>
        </w:rPr>
        <w:t>或调解</w:t>
      </w:r>
      <w:r>
        <w:rPr>
          <w:color w:val="000000" w:themeColor="text1"/>
          <w:sz w:val="24"/>
          <w14:textFill>
            <w14:solidFill>
              <w14:schemeClr w14:val="tx1"/>
            </w14:solidFill>
          </w14:textFill>
        </w:rPr>
        <w:t>确定的、或经仲裁</w:t>
      </w:r>
      <w:r>
        <w:rPr>
          <w:rFonts w:hint="eastAsia"/>
          <w:color w:val="000000" w:themeColor="text1"/>
          <w:sz w:val="24"/>
          <w14:textFill>
            <w14:solidFill>
              <w14:schemeClr w14:val="tx1"/>
            </w14:solidFill>
          </w14:textFill>
        </w:rPr>
        <w:t>裁定的、或法院判决</w:t>
      </w:r>
      <w:r>
        <w:rPr>
          <w:color w:val="000000" w:themeColor="text1"/>
          <w:sz w:val="24"/>
          <w14:textFill>
            <w14:solidFill>
              <w14:schemeClr w14:val="tx1"/>
            </w14:solidFill>
          </w14:textFill>
        </w:rPr>
        <w:t>的发包人应得的索赔款项，发包人可从</w:t>
      </w:r>
      <w:r>
        <w:rPr>
          <w:rFonts w:hint="eastAsia"/>
          <w:color w:val="000000" w:themeColor="text1"/>
          <w:sz w:val="24"/>
          <w14:textFill>
            <w14:solidFill>
              <w14:schemeClr w14:val="tx1"/>
            </w14:solidFill>
          </w14:textFill>
        </w:rPr>
        <w:t>应</w:t>
      </w:r>
      <w:r>
        <w:rPr>
          <w:color w:val="000000" w:themeColor="text1"/>
          <w:sz w:val="24"/>
          <w14:textFill>
            <w14:solidFill>
              <w14:schemeClr w14:val="tx1"/>
            </w14:solidFill>
          </w14:textFill>
        </w:rPr>
        <w:t>支付给承包人的当月工程进度款或当期付款计划表的付款中扣减</w:t>
      </w:r>
      <w:r>
        <w:rPr>
          <w:rFonts w:hint="eastAsia"/>
          <w:color w:val="000000" w:themeColor="text1"/>
          <w:sz w:val="24"/>
          <w14:textFill>
            <w14:solidFill>
              <w14:schemeClr w14:val="tx1"/>
            </w14:solidFill>
          </w14:textFill>
        </w:rPr>
        <w:t>该索赔款项</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当</w:t>
      </w:r>
      <w:r>
        <w:rPr>
          <w:color w:val="000000" w:themeColor="text1"/>
          <w:sz w:val="24"/>
          <w14:textFill>
            <w14:solidFill>
              <w14:schemeClr w14:val="tx1"/>
            </w14:solidFill>
          </w14:textFill>
        </w:rPr>
        <w:t>支付给承包人的各期工程进度款中不足以抵扣发包人的索赔款项时，</w:t>
      </w:r>
      <w:r>
        <w:rPr>
          <w:rFonts w:hint="eastAsia"/>
          <w:color w:val="000000" w:themeColor="text1"/>
          <w:sz w:val="24"/>
          <w14:textFill>
            <w14:solidFill>
              <w14:schemeClr w14:val="tx1"/>
            </w14:solidFill>
          </w14:textFill>
        </w:rPr>
        <w:t>承包人应当另行支付。承包人未能支付，可协商支付协议，仍未支付时，发包人可从履约保函（如有）中抵扣</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如</w:t>
      </w:r>
      <w:r>
        <w:rPr>
          <w:color w:val="000000" w:themeColor="text1"/>
          <w:sz w:val="24"/>
          <w14:textFill>
            <w14:solidFill>
              <w14:schemeClr w14:val="tx1"/>
            </w14:solidFill>
          </w14:textFill>
        </w:rPr>
        <w:t>履约保函不足以抵扣</w:t>
      </w:r>
      <w:r>
        <w:rPr>
          <w:rFonts w:hint="eastAsia"/>
          <w:color w:val="000000" w:themeColor="text1"/>
          <w:sz w:val="24"/>
          <w14:textFill>
            <w14:solidFill>
              <w14:schemeClr w14:val="tx1"/>
            </w14:solidFill>
          </w14:textFill>
        </w:rPr>
        <w:t>时</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承包人须另行支付该索赔款项，</w:t>
      </w:r>
      <w:r>
        <w:rPr>
          <w:color w:val="000000" w:themeColor="text1"/>
          <w:sz w:val="24"/>
          <w14:textFill>
            <w14:solidFill>
              <w14:schemeClr w14:val="tx1"/>
            </w14:solidFill>
          </w14:textFill>
        </w:rPr>
        <w:t>或</w:t>
      </w:r>
      <w:r>
        <w:rPr>
          <w:rFonts w:hint="eastAsia"/>
          <w:color w:val="000000" w:themeColor="text1"/>
          <w:sz w:val="24"/>
          <w14:textFill>
            <w14:solidFill>
              <w14:schemeClr w14:val="tx1"/>
            </w14:solidFill>
          </w14:textFill>
        </w:rPr>
        <w:t>以双方协商一致的支付协议的期限支付</w:t>
      </w:r>
      <w:r>
        <w:rPr>
          <w:color w:val="000000" w:themeColor="text1"/>
          <w:sz w:val="24"/>
          <w14:textFill>
            <w14:solidFill>
              <w14:schemeClr w14:val="tx1"/>
            </w14:solidFill>
          </w14:textFill>
        </w:rPr>
        <w:t>。</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14.11.2</w:t>
      </w:r>
      <w:r>
        <w:rPr>
          <w:color w:val="000000" w:themeColor="text1"/>
          <w:sz w:val="24"/>
          <w14:textFill>
            <w14:solidFill>
              <w14:schemeClr w14:val="tx1"/>
            </w14:solidFill>
          </w14:textFill>
        </w:rPr>
        <w:t>经协商</w:t>
      </w:r>
      <w:r>
        <w:rPr>
          <w:rFonts w:hint="eastAsia"/>
          <w:color w:val="000000" w:themeColor="text1"/>
          <w:sz w:val="24"/>
          <w14:textFill>
            <w14:solidFill>
              <w14:schemeClr w14:val="tx1"/>
            </w14:solidFill>
          </w14:textFill>
        </w:rPr>
        <w:t>或调解</w:t>
      </w:r>
      <w:r>
        <w:rPr>
          <w:color w:val="000000" w:themeColor="text1"/>
          <w:sz w:val="24"/>
          <w14:textFill>
            <w14:solidFill>
              <w14:schemeClr w14:val="tx1"/>
            </w14:solidFill>
          </w14:textFill>
        </w:rPr>
        <w:t>确定的、或经仲裁</w:t>
      </w:r>
      <w:r>
        <w:rPr>
          <w:rFonts w:hint="eastAsia"/>
          <w:color w:val="000000" w:themeColor="text1"/>
          <w:sz w:val="24"/>
          <w14:textFill>
            <w14:solidFill>
              <w14:schemeClr w14:val="tx1"/>
            </w14:solidFill>
          </w14:textFill>
        </w:rPr>
        <w:t>裁决的、或法院判决</w:t>
      </w:r>
      <w:r>
        <w:rPr>
          <w:color w:val="000000" w:themeColor="text1"/>
          <w:sz w:val="24"/>
          <w14:textFill>
            <w14:solidFill>
              <w14:schemeClr w14:val="tx1"/>
            </w14:solidFill>
          </w14:textFill>
        </w:rPr>
        <w:t>的承包人应得的索赔款项，承包人</w:t>
      </w:r>
      <w:r>
        <w:rPr>
          <w:rFonts w:hint="eastAsia"/>
          <w:color w:val="000000" w:themeColor="text1"/>
          <w:sz w:val="24"/>
          <w14:textFill>
            <w14:solidFill>
              <w14:schemeClr w14:val="tx1"/>
            </w14:solidFill>
          </w14:textFill>
        </w:rPr>
        <w:t>可</w:t>
      </w:r>
      <w:r>
        <w:rPr>
          <w:color w:val="000000" w:themeColor="text1"/>
          <w:sz w:val="24"/>
          <w14:textFill>
            <w14:solidFill>
              <w14:schemeClr w14:val="tx1"/>
            </w14:solidFill>
          </w14:textFill>
        </w:rPr>
        <w:t>在当月工程进度款或当期付款计划表的付款申请中单列</w:t>
      </w:r>
      <w:r>
        <w:rPr>
          <w:rFonts w:hint="eastAsia"/>
          <w:color w:val="000000" w:themeColor="text1"/>
          <w:sz w:val="24"/>
          <w14:textFill>
            <w14:solidFill>
              <w14:schemeClr w14:val="tx1"/>
            </w14:solidFill>
          </w14:textFill>
        </w:rPr>
        <w:t>该索赔</w:t>
      </w:r>
      <w:r>
        <w:rPr>
          <w:color w:val="000000" w:themeColor="text1"/>
          <w:sz w:val="24"/>
          <w14:textFill>
            <w14:solidFill>
              <w14:schemeClr w14:val="tx1"/>
            </w14:solidFill>
          </w14:textFill>
        </w:rPr>
        <w:t>款项，发包人</w:t>
      </w:r>
      <w:r>
        <w:rPr>
          <w:rFonts w:hint="eastAsia"/>
          <w:color w:val="000000" w:themeColor="text1"/>
          <w:sz w:val="24"/>
          <w14:textFill>
            <w14:solidFill>
              <w14:schemeClr w14:val="tx1"/>
            </w14:solidFill>
          </w14:textFill>
        </w:rPr>
        <w:t>应</w:t>
      </w:r>
      <w:r>
        <w:rPr>
          <w:color w:val="000000" w:themeColor="text1"/>
          <w:sz w:val="24"/>
          <w14:textFill>
            <w14:solidFill>
              <w14:schemeClr w14:val="tx1"/>
            </w14:solidFill>
          </w14:textFill>
        </w:rPr>
        <w:t>在当期付款中支付该索赔款项。</w:t>
      </w:r>
      <w:r>
        <w:rPr>
          <w:rFonts w:hint="eastAsia"/>
          <w:color w:val="000000" w:themeColor="text1"/>
          <w:sz w:val="24"/>
          <w14:textFill>
            <w14:solidFill>
              <w14:schemeClr w14:val="tx1"/>
            </w14:solidFill>
          </w14:textFill>
        </w:rPr>
        <w:t>发包人未能支付该索赔款项时，承包人有权从发包人提交的支付保函（如有）中抵扣。如未约定支付保函时，发包人须</w:t>
      </w:r>
      <w:r>
        <w:rPr>
          <w:color w:val="000000" w:themeColor="text1"/>
          <w:sz w:val="24"/>
          <w14:textFill>
            <w14:solidFill>
              <w14:schemeClr w14:val="tx1"/>
            </w14:solidFill>
          </w14:textFill>
        </w:rPr>
        <w:t>另行支付</w:t>
      </w:r>
      <w:r>
        <w:rPr>
          <w:rFonts w:hint="eastAsia"/>
          <w:color w:val="000000" w:themeColor="text1"/>
          <w:sz w:val="24"/>
          <w14:textFill>
            <w14:solidFill>
              <w14:schemeClr w14:val="tx1"/>
            </w14:solidFill>
          </w14:textFill>
        </w:rPr>
        <w:t>该</w:t>
      </w:r>
      <w:r>
        <w:rPr>
          <w:color w:val="000000" w:themeColor="text1"/>
          <w:sz w:val="24"/>
          <w14:textFill>
            <w14:solidFill>
              <w14:schemeClr w14:val="tx1"/>
            </w14:solidFill>
          </w14:textFill>
        </w:rPr>
        <w:t>索赔款项</w:t>
      </w:r>
      <w:r>
        <w:rPr>
          <w:rFonts w:hint="eastAsia"/>
          <w:color w:val="000000" w:themeColor="text1"/>
          <w:sz w:val="24"/>
          <w14:textFill>
            <w14:solidFill>
              <w14:schemeClr w14:val="tx1"/>
            </w14:solidFill>
          </w14:textFill>
        </w:rPr>
        <w:t>。</w:t>
      </w:r>
    </w:p>
    <w:p>
      <w:pPr>
        <w:wordWrap w:val="0"/>
        <w:spacing w:before="120" w:beforeLines="50" w:after="120" w:afterLines="50" w:line="300" w:lineRule="auto"/>
        <w:ind w:firstLine="472" w:firstLineChars="196"/>
        <w:rPr>
          <w:b/>
          <w:color w:val="000000" w:themeColor="text1"/>
          <w:sz w:val="24"/>
          <w14:textFill>
            <w14:solidFill>
              <w14:schemeClr w14:val="tx1"/>
            </w14:solidFill>
          </w14:textFill>
        </w:rPr>
      </w:pPr>
      <w:r>
        <w:rPr>
          <w:b/>
          <w:color w:val="000000" w:themeColor="text1"/>
          <w:sz w:val="24"/>
          <w14:textFill>
            <w14:solidFill>
              <w14:schemeClr w14:val="tx1"/>
            </w14:solidFill>
          </w14:textFill>
        </w:rPr>
        <w:t>14.12  竣工结算</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14.12.1  提交竣工结算资料</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承包人应在</w:t>
      </w:r>
      <w:r>
        <w:rPr>
          <w:color w:val="000000" w:themeColor="text1"/>
          <w:sz w:val="24"/>
          <w14:textFill>
            <w14:solidFill>
              <w14:schemeClr w14:val="tx1"/>
            </w14:solidFill>
          </w14:textFill>
        </w:rPr>
        <w:t>根据12.1款的</w:t>
      </w:r>
      <w:r>
        <w:rPr>
          <w:rFonts w:hint="eastAsia"/>
          <w:color w:val="000000" w:themeColor="text1"/>
          <w:sz w:val="24"/>
          <w14:textFill>
            <w14:solidFill>
              <w14:schemeClr w14:val="tx1"/>
            </w14:solidFill>
          </w14:textFill>
        </w:rPr>
        <w:t>约定</w:t>
      </w:r>
      <w:r>
        <w:rPr>
          <w:color w:val="000000" w:themeColor="text1"/>
          <w:sz w:val="24"/>
          <w14:textFill>
            <w14:solidFill>
              <w14:schemeClr w14:val="tx1"/>
            </w14:solidFill>
          </w14:textFill>
        </w:rPr>
        <w:t>提交的</w:t>
      </w:r>
      <w:r>
        <w:rPr>
          <w:rFonts w:hint="eastAsia"/>
          <w:color w:val="000000" w:themeColor="text1"/>
          <w:sz w:val="24"/>
          <w14:textFill>
            <w14:solidFill>
              <w14:schemeClr w14:val="tx1"/>
            </w14:solidFill>
          </w14:textFill>
        </w:rPr>
        <w:t>竣工验收报告和完整的</w:t>
      </w:r>
      <w:r>
        <w:rPr>
          <w:color w:val="000000" w:themeColor="text1"/>
          <w:sz w:val="24"/>
          <w14:textFill>
            <w14:solidFill>
              <w14:schemeClr w14:val="tx1"/>
            </w14:solidFill>
          </w14:textFill>
        </w:rPr>
        <w:t>竣工资料被发包人</w:t>
      </w:r>
      <w:r>
        <w:rPr>
          <w:rFonts w:hint="eastAsia"/>
          <w:color w:val="000000" w:themeColor="text1"/>
          <w:sz w:val="24"/>
          <w14:textFill>
            <w14:solidFill>
              <w14:schemeClr w14:val="tx1"/>
            </w14:solidFill>
          </w14:textFill>
        </w:rPr>
        <w:t>确定</w:t>
      </w:r>
      <w:r>
        <w:rPr>
          <w:color w:val="000000" w:themeColor="text1"/>
          <w:sz w:val="24"/>
          <w14:textFill>
            <w14:solidFill>
              <w14:schemeClr w14:val="tx1"/>
            </w14:solidFill>
          </w14:textFill>
        </w:rPr>
        <w:t>后的30</w:t>
      </w:r>
      <w:r>
        <w:rPr>
          <w:rFonts w:hint="eastAsia"/>
          <w:color w:val="000000" w:themeColor="text1"/>
          <w:sz w:val="24"/>
          <w14:textFill>
            <w14:solidFill>
              <w14:schemeClr w14:val="tx1"/>
            </w14:solidFill>
          </w14:textFill>
        </w:rPr>
        <w:t>日</w:t>
      </w:r>
      <w:r>
        <w:rPr>
          <w:color w:val="000000" w:themeColor="text1"/>
          <w:sz w:val="24"/>
          <w14:textFill>
            <w14:solidFill>
              <w14:schemeClr w14:val="tx1"/>
            </w14:solidFill>
          </w14:textFill>
        </w:rPr>
        <w:t>内，向发包人递交竣工结算报告和完整的竣工结算资料。</w:t>
      </w:r>
      <w:r>
        <w:rPr>
          <w:rFonts w:hint="eastAsia"/>
          <w:color w:val="000000" w:themeColor="text1"/>
          <w:sz w:val="24"/>
          <w14:textFill>
            <w14:solidFill>
              <w14:schemeClr w14:val="tx1"/>
            </w14:solidFill>
          </w14:textFill>
        </w:rPr>
        <w:t>竣工结算资料的格式、内容和份数，在专用条款中约定。</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14.12.2  最终竣工结算资料</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发包人</w:t>
      </w:r>
      <w:r>
        <w:rPr>
          <w:rFonts w:hint="eastAsia"/>
          <w:color w:val="000000" w:themeColor="text1"/>
          <w:sz w:val="24"/>
          <w14:textFill>
            <w14:solidFill>
              <w14:schemeClr w14:val="tx1"/>
            </w14:solidFill>
          </w14:textFill>
        </w:rPr>
        <w:t>应在</w:t>
      </w:r>
      <w:r>
        <w:rPr>
          <w:color w:val="000000" w:themeColor="text1"/>
          <w:sz w:val="24"/>
          <w14:textFill>
            <w14:solidFill>
              <w14:schemeClr w14:val="tx1"/>
            </w14:solidFill>
          </w14:textFill>
        </w:rPr>
        <w:t>收到承包人提交的竣工结算报告和完整的竣工结算资料后的30</w:t>
      </w:r>
      <w:r>
        <w:rPr>
          <w:rFonts w:hint="eastAsia"/>
          <w:color w:val="000000" w:themeColor="text1"/>
          <w:sz w:val="24"/>
          <w14:textFill>
            <w14:solidFill>
              <w14:schemeClr w14:val="tx1"/>
            </w14:solidFill>
          </w14:textFill>
        </w:rPr>
        <w:t>日</w:t>
      </w:r>
      <w:r>
        <w:rPr>
          <w:color w:val="000000" w:themeColor="text1"/>
          <w:sz w:val="24"/>
          <w14:textFill>
            <w14:solidFill>
              <w14:schemeClr w14:val="tx1"/>
            </w14:solidFill>
          </w14:textFill>
        </w:rPr>
        <w:t>内，</w:t>
      </w:r>
      <w:r>
        <w:rPr>
          <w:rFonts w:hint="eastAsia"/>
          <w:color w:val="000000" w:themeColor="text1"/>
          <w:sz w:val="24"/>
          <w14:textFill>
            <w14:solidFill>
              <w14:schemeClr w14:val="tx1"/>
            </w14:solidFill>
          </w14:textFill>
        </w:rPr>
        <w:t>进行审查并</w:t>
      </w:r>
      <w:r>
        <w:rPr>
          <w:color w:val="000000" w:themeColor="text1"/>
          <w:sz w:val="24"/>
          <w14:textFill>
            <w14:solidFill>
              <w14:schemeClr w14:val="tx1"/>
            </w14:solidFill>
          </w14:textFill>
        </w:rPr>
        <w:t>提出修改意见</w:t>
      </w:r>
      <w:r>
        <w:rPr>
          <w:rFonts w:hint="eastAsia"/>
          <w:color w:val="000000" w:themeColor="text1"/>
          <w:sz w:val="24"/>
          <w14:textFill>
            <w14:solidFill>
              <w14:schemeClr w14:val="tx1"/>
            </w14:solidFill>
          </w14:textFill>
        </w:rPr>
        <w:t>，双方就竣工结算报告和完整的竣工结算资料的修改达成一致意见后，由承包人自费进行修正，并提交最终的竣工结算报告和最终的结算资料。</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14.12.3  结清竣工结算的款项</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发包人</w:t>
      </w:r>
      <w:r>
        <w:rPr>
          <w:rFonts w:hint="eastAsia"/>
          <w:color w:val="000000" w:themeColor="text1"/>
          <w:sz w:val="24"/>
          <w14:textFill>
            <w14:solidFill>
              <w14:schemeClr w14:val="tx1"/>
            </w14:solidFill>
          </w14:textFill>
        </w:rPr>
        <w:t>应</w:t>
      </w:r>
      <w:r>
        <w:rPr>
          <w:color w:val="000000" w:themeColor="text1"/>
          <w:sz w:val="24"/>
          <w14:textFill>
            <w14:solidFill>
              <w14:schemeClr w14:val="tx1"/>
            </w14:solidFill>
          </w14:textFill>
        </w:rPr>
        <w:t>在</w:t>
      </w:r>
      <w:r>
        <w:rPr>
          <w:rFonts w:hint="eastAsia"/>
          <w:color w:val="000000" w:themeColor="text1"/>
          <w:sz w:val="24"/>
          <w14:textFill>
            <w14:solidFill>
              <w14:schemeClr w14:val="tx1"/>
            </w14:solidFill>
          </w14:textFill>
        </w:rPr>
        <w:t>收到</w:t>
      </w:r>
      <w:r>
        <w:rPr>
          <w:color w:val="000000" w:themeColor="text1"/>
          <w:sz w:val="24"/>
          <w14:textFill>
            <w14:solidFill>
              <w14:schemeClr w14:val="tx1"/>
            </w14:solidFill>
          </w14:textFill>
        </w:rPr>
        <w:t>承包人按14.12.2款</w:t>
      </w:r>
      <w:r>
        <w:rPr>
          <w:rFonts w:hint="eastAsia"/>
          <w:color w:val="000000" w:themeColor="text1"/>
          <w:sz w:val="24"/>
          <w14:textFill>
            <w14:solidFill>
              <w14:schemeClr w14:val="tx1"/>
            </w14:solidFill>
          </w14:textFill>
        </w:rPr>
        <w:t>的约定</w:t>
      </w:r>
      <w:r>
        <w:rPr>
          <w:color w:val="000000" w:themeColor="text1"/>
          <w:sz w:val="24"/>
          <w14:textFill>
            <w14:solidFill>
              <w14:schemeClr w14:val="tx1"/>
            </w14:solidFill>
          </w14:textFill>
        </w:rPr>
        <w:t>提交</w:t>
      </w:r>
      <w:r>
        <w:rPr>
          <w:rFonts w:hint="eastAsia"/>
          <w:color w:val="000000" w:themeColor="text1"/>
          <w:sz w:val="24"/>
          <w14:textFill>
            <w14:solidFill>
              <w14:schemeClr w14:val="tx1"/>
            </w14:solidFill>
          </w14:textFill>
        </w:rPr>
        <w:t>的</w:t>
      </w:r>
      <w:r>
        <w:rPr>
          <w:color w:val="000000" w:themeColor="text1"/>
          <w:sz w:val="24"/>
          <w14:textFill>
            <w14:solidFill>
              <w14:schemeClr w14:val="tx1"/>
            </w14:solidFill>
          </w14:textFill>
        </w:rPr>
        <w:t>最终竣工结算资料的30</w:t>
      </w:r>
      <w:r>
        <w:rPr>
          <w:rFonts w:hint="eastAsia"/>
          <w:color w:val="000000" w:themeColor="text1"/>
          <w:sz w:val="24"/>
          <w14:textFill>
            <w14:solidFill>
              <w14:schemeClr w14:val="tx1"/>
            </w14:solidFill>
          </w14:textFill>
        </w:rPr>
        <w:t>日</w:t>
      </w:r>
      <w:r>
        <w:rPr>
          <w:color w:val="000000" w:themeColor="text1"/>
          <w:sz w:val="24"/>
          <w14:textFill>
            <w14:solidFill>
              <w14:schemeClr w14:val="tx1"/>
            </w14:solidFill>
          </w14:textFill>
        </w:rPr>
        <w:t>内，结清竣工结算的款项</w:t>
      </w:r>
      <w:r>
        <w:rPr>
          <w:rFonts w:hint="eastAsia"/>
          <w:color w:val="000000" w:themeColor="text1"/>
          <w:sz w:val="24"/>
          <w14:textFill>
            <w14:solidFill>
              <w14:schemeClr w14:val="tx1"/>
            </w14:solidFill>
          </w14:textFill>
        </w:rPr>
        <w:t>。竣工款结清后5日内，发包人应</w:t>
      </w:r>
      <w:r>
        <w:rPr>
          <w:color w:val="000000" w:themeColor="text1"/>
          <w:sz w:val="24"/>
          <w14:textFill>
            <w14:solidFill>
              <w14:schemeClr w14:val="tx1"/>
            </w14:solidFill>
          </w14:textFill>
        </w:rPr>
        <w:t>将承包人按14.2.1款</w:t>
      </w:r>
      <w:r>
        <w:rPr>
          <w:rFonts w:hint="eastAsia"/>
          <w:color w:val="000000" w:themeColor="text1"/>
          <w:sz w:val="24"/>
          <w14:textFill>
            <w14:solidFill>
              <w14:schemeClr w14:val="tx1"/>
            </w14:solidFill>
          </w14:textFill>
        </w:rPr>
        <w:t>约定</w:t>
      </w:r>
      <w:r>
        <w:rPr>
          <w:color w:val="000000" w:themeColor="text1"/>
          <w:sz w:val="24"/>
          <w14:textFill>
            <w14:solidFill>
              <w14:schemeClr w14:val="tx1"/>
            </w14:solidFill>
          </w14:textFill>
        </w:rPr>
        <w:t>提交的履约保函返还给承包人</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承包人</w:t>
      </w:r>
      <w:r>
        <w:rPr>
          <w:rFonts w:hint="eastAsia"/>
          <w:color w:val="000000" w:themeColor="text1"/>
          <w:sz w:val="24"/>
          <w14:textFill>
            <w14:solidFill>
              <w14:schemeClr w14:val="tx1"/>
            </w14:solidFill>
          </w14:textFill>
        </w:rPr>
        <w:t>应</w:t>
      </w:r>
      <w:r>
        <w:rPr>
          <w:color w:val="000000" w:themeColor="text1"/>
          <w:sz w:val="24"/>
          <w14:textFill>
            <w14:solidFill>
              <w14:schemeClr w14:val="tx1"/>
            </w14:solidFill>
          </w14:textFill>
        </w:rPr>
        <w:t>将发包人按14.2.2款</w:t>
      </w:r>
      <w:r>
        <w:rPr>
          <w:rFonts w:hint="eastAsia"/>
          <w:color w:val="000000" w:themeColor="text1"/>
          <w:sz w:val="24"/>
          <w14:textFill>
            <w14:solidFill>
              <w14:schemeClr w14:val="tx1"/>
            </w14:solidFill>
          </w14:textFill>
        </w:rPr>
        <w:t>约定</w:t>
      </w:r>
      <w:r>
        <w:rPr>
          <w:color w:val="000000" w:themeColor="text1"/>
          <w:sz w:val="24"/>
          <w14:textFill>
            <w14:solidFill>
              <w14:schemeClr w14:val="tx1"/>
            </w14:solidFill>
          </w14:textFill>
        </w:rPr>
        <w:t>提交的支付保函返还给发包人。</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14.12.4  未能答复竣工结算报告</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发包人</w:t>
      </w:r>
      <w:r>
        <w:rPr>
          <w:rFonts w:hint="eastAsia"/>
          <w:color w:val="000000" w:themeColor="text1"/>
          <w:sz w:val="24"/>
          <w14:textFill>
            <w14:solidFill>
              <w14:schemeClr w14:val="tx1"/>
            </w14:solidFill>
          </w14:textFill>
        </w:rPr>
        <w:t>在</w:t>
      </w:r>
      <w:r>
        <w:rPr>
          <w:color w:val="000000" w:themeColor="text1"/>
          <w:sz w:val="24"/>
          <w14:textFill>
            <w14:solidFill>
              <w14:schemeClr w14:val="tx1"/>
            </w14:solidFill>
          </w14:textFill>
        </w:rPr>
        <w:t>接到承包人根据14.12.1款</w:t>
      </w:r>
      <w:r>
        <w:rPr>
          <w:rFonts w:hint="eastAsia"/>
          <w:color w:val="000000" w:themeColor="text1"/>
          <w:sz w:val="24"/>
          <w14:textFill>
            <w14:solidFill>
              <w14:schemeClr w14:val="tx1"/>
            </w14:solidFill>
          </w14:textFill>
        </w:rPr>
        <w:t>约定</w:t>
      </w:r>
      <w:r>
        <w:rPr>
          <w:color w:val="000000" w:themeColor="text1"/>
          <w:sz w:val="24"/>
          <w14:textFill>
            <w14:solidFill>
              <w14:schemeClr w14:val="tx1"/>
            </w14:solidFill>
          </w14:textFill>
        </w:rPr>
        <w:t>提交的竣工结算报告和完整的竣工结算资料的30</w:t>
      </w:r>
      <w:r>
        <w:rPr>
          <w:rFonts w:hint="eastAsia"/>
          <w:color w:val="000000" w:themeColor="text1"/>
          <w:sz w:val="24"/>
          <w14:textFill>
            <w14:solidFill>
              <w14:schemeClr w14:val="tx1"/>
            </w14:solidFill>
          </w14:textFill>
        </w:rPr>
        <w:t>日</w:t>
      </w:r>
      <w:r>
        <w:rPr>
          <w:color w:val="000000" w:themeColor="text1"/>
          <w:sz w:val="24"/>
          <w14:textFill>
            <w14:solidFill>
              <w14:schemeClr w14:val="tx1"/>
            </w14:solidFill>
          </w14:textFill>
        </w:rPr>
        <w:t>内，未能提出修改意见，也未予答复</w:t>
      </w:r>
      <w:r>
        <w:rPr>
          <w:rFonts w:hint="eastAsia"/>
          <w:color w:val="000000" w:themeColor="text1"/>
          <w:sz w:val="24"/>
          <w14:textFill>
            <w14:solidFill>
              <w14:schemeClr w14:val="tx1"/>
            </w14:solidFill>
          </w14:textFill>
        </w:rPr>
        <w:t>的</w:t>
      </w:r>
      <w:r>
        <w:rPr>
          <w:color w:val="000000" w:themeColor="text1"/>
          <w:sz w:val="24"/>
          <w14:textFill>
            <w14:solidFill>
              <w14:schemeClr w14:val="tx1"/>
            </w14:solidFill>
          </w14:textFill>
        </w:rPr>
        <w:t>，视为发包人认可了该竣工结算资料作为最终竣工结算资料。发包人</w:t>
      </w:r>
      <w:r>
        <w:rPr>
          <w:rFonts w:hint="eastAsia"/>
          <w:color w:val="000000" w:themeColor="text1"/>
          <w:sz w:val="24"/>
          <w14:textFill>
            <w14:solidFill>
              <w14:schemeClr w14:val="tx1"/>
            </w14:solidFill>
          </w14:textFill>
        </w:rPr>
        <w:t>应</w:t>
      </w:r>
      <w:r>
        <w:rPr>
          <w:color w:val="000000" w:themeColor="text1"/>
          <w:sz w:val="24"/>
          <w14:textFill>
            <w14:solidFill>
              <w14:schemeClr w14:val="tx1"/>
            </w14:solidFill>
          </w14:textFill>
        </w:rPr>
        <w:t>根据14.12.3款的</w:t>
      </w:r>
      <w:r>
        <w:rPr>
          <w:rFonts w:hint="eastAsia"/>
          <w:color w:val="000000" w:themeColor="text1"/>
          <w:sz w:val="24"/>
          <w14:textFill>
            <w14:solidFill>
              <w14:schemeClr w14:val="tx1"/>
            </w14:solidFill>
          </w14:textFill>
        </w:rPr>
        <w:t>约定</w:t>
      </w:r>
      <w:r>
        <w:rPr>
          <w:color w:val="000000" w:themeColor="text1"/>
          <w:sz w:val="24"/>
          <w14:textFill>
            <w14:solidFill>
              <w14:schemeClr w14:val="tx1"/>
            </w14:solidFill>
          </w14:textFill>
        </w:rPr>
        <w:t>，结清竣工结算的款项。</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14.12.5  发包人未能</w:t>
      </w:r>
      <w:r>
        <w:rPr>
          <w:rFonts w:hint="eastAsia"/>
          <w:color w:val="000000" w:themeColor="text1"/>
          <w:sz w:val="24"/>
          <w14:textFill>
            <w14:solidFill>
              <w14:schemeClr w14:val="tx1"/>
            </w14:solidFill>
          </w14:textFill>
        </w:rPr>
        <w:t>结清</w:t>
      </w:r>
      <w:r>
        <w:rPr>
          <w:color w:val="000000" w:themeColor="text1"/>
          <w:sz w:val="24"/>
          <w14:textFill>
            <w14:solidFill>
              <w14:schemeClr w14:val="tx1"/>
            </w14:solidFill>
          </w14:textFill>
        </w:rPr>
        <w:t>竣工结算的款项</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（1）发包人未能按14.12.3款的</w:t>
      </w:r>
      <w:r>
        <w:rPr>
          <w:rFonts w:hint="eastAsia"/>
          <w:color w:val="000000" w:themeColor="text1"/>
          <w:sz w:val="24"/>
          <w14:textFill>
            <w14:solidFill>
              <w14:schemeClr w14:val="tx1"/>
            </w14:solidFill>
          </w14:textFill>
        </w:rPr>
        <w:t>约定</w:t>
      </w:r>
      <w:r>
        <w:rPr>
          <w:color w:val="000000" w:themeColor="text1"/>
          <w:sz w:val="24"/>
          <w14:textFill>
            <w14:solidFill>
              <w14:schemeClr w14:val="tx1"/>
            </w14:solidFill>
          </w14:textFill>
        </w:rPr>
        <w:t>，结清应付给承包人的竣工结算的款项余额</w:t>
      </w:r>
      <w:r>
        <w:rPr>
          <w:rFonts w:hint="eastAsia"/>
          <w:color w:val="000000" w:themeColor="text1"/>
          <w:sz w:val="24"/>
          <w14:textFill>
            <w14:solidFill>
              <w14:schemeClr w14:val="tx1"/>
            </w14:solidFill>
          </w14:textFill>
        </w:rPr>
        <w:t>的</w:t>
      </w:r>
      <w:r>
        <w:rPr>
          <w:color w:val="000000" w:themeColor="text1"/>
          <w:sz w:val="24"/>
          <w14:textFill>
            <w14:solidFill>
              <w14:schemeClr w14:val="tx1"/>
            </w14:solidFill>
          </w14:textFill>
        </w:rPr>
        <w:t>，承包人有权从发包人根据14.2.2款</w:t>
      </w:r>
      <w:r>
        <w:rPr>
          <w:rFonts w:hint="eastAsia"/>
          <w:color w:val="000000" w:themeColor="text1"/>
          <w:sz w:val="24"/>
          <w14:textFill>
            <w14:solidFill>
              <w14:schemeClr w14:val="tx1"/>
            </w14:solidFill>
          </w14:textFill>
        </w:rPr>
        <w:t>约定</w:t>
      </w:r>
      <w:r>
        <w:rPr>
          <w:color w:val="000000" w:themeColor="text1"/>
          <w:sz w:val="24"/>
          <w14:textFill>
            <w14:solidFill>
              <w14:schemeClr w14:val="tx1"/>
            </w14:solidFill>
          </w14:textFill>
        </w:rPr>
        <w:t>提交的支付保函中扣减该款项的余额。</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合同未</w:t>
      </w:r>
      <w:r>
        <w:rPr>
          <w:rFonts w:hint="eastAsia"/>
          <w:color w:val="000000" w:themeColor="text1"/>
          <w:sz w:val="24"/>
          <w14:textFill>
            <w14:solidFill>
              <w14:schemeClr w14:val="tx1"/>
            </w14:solidFill>
          </w14:textFill>
        </w:rPr>
        <w:t>约定</w:t>
      </w:r>
      <w:r>
        <w:rPr>
          <w:color w:val="000000" w:themeColor="text1"/>
          <w:sz w:val="24"/>
          <w14:textFill>
            <w14:solidFill>
              <w14:schemeClr w14:val="tx1"/>
            </w14:solidFill>
          </w14:textFill>
        </w:rPr>
        <w:t>发包人按14.2.2款提交支付保函</w:t>
      </w:r>
      <w:r>
        <w:rPr>
          <w:rFonts w:hint="eastAsia"/>
          <w:color w:val="000000" w:themeColor="text1"/>
          <w:sz w:val="24"/>
          <w14:textFill>
            <w14:solidFill>
              <w14:schemeClr w14:val="tx1"/>
            </w14:solidFill>
          </w14:textFill>
        </w:rPr>
        <w:t>或支付保函不足以抵偿应向承包人支付的竣工结算款项时</w:t>
      </w:r>
      <w:r>
        <w:rPr>
          <w:color w:val="000000" w:themeColor="text1"/>
          <w:sz w:val="24"/>
          <w14:textFill>
            <w14:solidFill>
              <w14:schemeClr w14:val="tx1"/>
            </w14:solidFill>
          </w14:textFill>
        </w:rPr>
        <w:t>，发包人从承包人提交最终结算资料后的第31</w:t>
      </w:r>
      <w:r>
        <w:rPr>
          <w:rFonts w:hint="eastAsia"/>
          <w:color w:val="000000" w:themeColor="text1"/>
          <w:sz w:val="24"/>
          <w14:textFill>
            <w14:solidFill>
              <w14:schemeClr w14:val="tx1"/>
            </w14:solidFill>
          </w14:textFill>
        </w:rPr>
        <w:t>日</w:t>
      </w:r>
      <w:r>
        <w:rPr>
          <w:color w:val="000000" w:themeColor="text1"/>
          <w:sz w:val="24"/>
          <w14:textFill>
            <w14:solidFill>
              <w14:schemeClr w14:val="tx1"/>
            </w14:solidFill>
          </w14:textFill>
        </w:rPr>
        <w:t>起，</w:t>
      </w:r>
      <w:r>
        <w:rPr>
          <w:rFonts w:hint="eastAsia"/>
          <w:color w:val="000000" w:themeColor="text1"/>
          <w:sz w:val="24"/>
          <w14:textFill>
            <w14:solidFill>
              <w14:schemeClr w14:val="tx1"/>
            </w14:solidFill>
          </w14:textFill>
        </w:rPr>
        <w:t>支付拖欠的竣工结算款项的余额，并</w:t>
      </w:r>
      <w:r>
        <w:rPr>
          <w:color w:val="000000" w:themeColor="text1"/>
          <w:sz w:val="24"/>
          <w14:textFill>
            <w14:solidFill>
              <w14:schemeClr w14:val="tx1"/>
            </w14:solidFill>
          </w14:textFill>
        </w:rPr>
        <w:t>按中国人民银行同期同类贷款利率支付</w:t>
      </w:r>
      <w:r>
        <w:rPr>
          <w:rFonts w:hint="eastAsia"/>
          <w:color w:val="000000" w:themeColor="text1"/>
          <w:sz w:val="24"/>
          <w14:textFill>
            <w14:solidFill>
              <w14:schemeClr w14:val="tx1"/>
            </w14:solidFill>
          </w14:textFill>
        </w:rPr>
        <w:t>相应利息</w:t>
      </w:r>
      <w:r>
        <w:rPr>
          <w:color w:val="000000" w:themeColor="text1"/>
          <w:sz w:val="24"/>
          <w14:textFill>
            <w14:solidFill>
              <w14:schemeClr w14:val="tx1"/>
            </w14:solidFill>
          </w14:textFill>
        </w:rPr>
        <w:t>。</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（2）根据14.12.4款的</w:t>
      </w:r>
      <w:r>
        <w:rPr>
          <w:rFonts w:hint="eastAsia"/>
          <w:color w:val="000000" w:themeColor="text1"/>
          <w:sz w:val="24"/>
          <w14:textFill>
            <w14:solidFill>
              <w14:schemeClr w14:val="tx1"/>
            </w14:solidFill>
          </w14:textFill>
        </w:rPr>
        <w:t>约定</w:t>
      </w:r>
      <w:r>
        <w:rPr>
          <w:color w:val="000000" w:themeColor="text1"/>
          <w:sz w:val="24"/>
          <w14:textFill>
            <w14:solidFill>
              <w14:schemeClr w14:val="tx1"/>
            </w14:solidFill>
          </w14:textFill>
        </w:rPr>
        <w:t>，发包人未能在</w:t>
      </w:r>
      <w:r>
        <w:rPr>
          <w:rFonts w:hint="eastAsia"/>
          <w:color w:val="000000" w:themeColor="text1"/>
          <w:sz w:val="24"/>
          <w14:textFill>
            <w14:solidFill>
              <w14:schemeClr w14:val="tx1"/>
            </w14:solidFill>
          </w14:textFill>
        </w:rPr>
        <w:t>约定</w:t>
      </w:r>
      <w:r>
        <w:rPr>
          <w:color w:val="000000" w:themeColor="text1"/>
          <w:sz w:val="24"/>
          <w14:textFill>
            <w14:solidFill>
              <w14:schemeClr w14:val="tx1"/>
            </w14:solidFill>
          </w14:textFill>
        </w:rPr>
        <w:t>的30</w:t>
      </w:r>
      <w:r>
        <w:rPr>
          <w:rFonts w:hint="eastAsia"/>
          <w:color w:val="000000" w:themeColor="text1"/>
          <w:sz w:val="24"/>
          <w14:textFill>
            <w14:solidFill>
              <w14:schemeClr w14:val="tx1"/>
            </w14:solidFill>
          </w14:textFill>
        </w:rPr>
        <w:t>日</w:t>
      </w:r>
      <w:r>
        <w:rPr>
          <w:color w:val="000000" w:themeColor="text1"/>
          <w:sz w:val="24"/>
          <w14:textFill>
            <w14:solidFill>
              <w14:schemeClr w14:val="tx1"/>
            </w14:solidFill>
          </w14:textFill>
        </w:rPr>
        <w:t>内对竣工结算资料提出修改意见和答复，也未能向承包人支付竣工结算款项的余额</w:t>
      </w:r>
      <w:r>
        <w:rPr>
          <w:rFonts w:hint="eastAsia"/>
          <w:color w:val="000000" w:themeColor="text1"/>
          <w:sz w:val="24"/>
          <w14:textFill>
            <w14:solidFill>
              <w14:schemeClr w14:val="tx1"/>
            </w14:solidFill>
          </w14:textFill>
        </w:rPr>
        <w:t>的</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应</w:t>
      </w:r>
      <w:r>
        <w:rPr>
          <w:color w:val="000000" w:themeColor="text1"/>
          <w:sz w:val="24"/>
          <w14:textFill>
            <w14:solidFill>
              <w14:schemeClr w14:val="tx1"/>
            </w14:solidFill>
          </w14:textFill>
        </w:rPr>
        <w:t>从承包人提交该报告后的第31</w:t>
      </w:r>
      <w:r>
        <w:rPr>
          <w:rFonts w:hint="eastAsia"/>
          <w:color w:val="000000" w:themeColor="text1"/>
          <w:sz w:val="24"/>
          <w14:textFill>
            <w14:solidFill>
              <w14:schemeClr w14:val="tx1"/>
            </w14:solidFill>
          </w14:textFill>
        </w:rPr>
        <w:t>日</w:t>
      </w:r>
      <w:r>
        <w:rPr>
          <w:color w:val="000000" w:themeColor="text1"/>
          <w:sz w:val="24"/>
          <w14:textFill>
            <w14:solidFill>
              <w14:schemeClr w14:val="tx1"/>
            </w14:solidFill>
          </w14:textFill>
        </w:rPr>
        <w:t>起，</w:t>
      </w:r>
      <w:r>
        <w:rPr>
          <w:rFonts w:hint="eastAsia"/>
          <w:color w:val="000000" w:themeColor="text1"/>
          <w:sz w:val="24"/>
          <w14:textFill>
            <w14:solidFill>
              <w14:schemeClr w14:val="tx1"/>
            </w14:solidFill>
          </w14:textFill>
        </w:rPr>
        <w:t>支付拖欠的竣工结算款项的余额，并</w:t>
      </w:r>
      <w:r>
        <w:rPr>
          <w:color w:val="000000" w:themeColor="text1"/>
          <w:sz w:val="24"/>
          <w14:textFill>
            <w14:solidFill>
              <w14:schemeClr w14:val="tx1"/>
            </w14:solidFill>
          </w14:textFill>
        </w:rPr>
        <w:t>按中国人民银行同期同类的贷款利率支付</w:t>
      </w:r>
      <w:r>
        <w:rPr>
          <w:rFonts w:hint="eastAsia"/>
          <w:color w:val="000000" w:themeColor="text1"/>
          <w:sz w:val="24"/>
          <w14:textFill>
            <w14:solidFill>
              <w14:schemeClr w14:val="tx1"/>
            </w14:solidFill>
          </w14:textFill>
        </w:rPr>
        <w:t>相应</w:t>
      </w:r>
      <w:r>
        <w:rPr>
          <w:color w:val="000000" w:themeColor="text1"/>
          <w:sz w:val="24"/>
          <w14:textFill>
            <w14:solidFill>
              <w14:schemeClr w14:val="tx1"/>
            </w14:solidFill>
          </w14:textFill>
        </w:rPr>
        <w:t>利息。</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发包人在承包人提交最终竣工结算资料的90日内，仍未结清竣工结算款项的，承包人可依据第</w:t>
      </w:r>
      <w:r>
        <w:rPr>
          <w:color w:val="000000" w:themeColor="text1"/>
          <w:sz w:val="24"/>
          <w14:textFill>
            <w14:solidFill>
              <w14:schemeClr w14:val="tx1"/>
            </w14:solidFill>
          </w14:textFill>
        </w:rPr>
        <w:t>16.3</w:t>
      </w:r>
      <w:r>
        <w:rPr>
          <w:rFonts w:hint="eastAsia"/>
          <w:color w:val="000000" w:themeColor="text1"/>
          <w:sz w:val="24"/>
          <w14:textFill>
            <w14:solidFill>
              <w14:schemeClr w14:val="tx1"/>
            </w14:solidFill>
          </w14:textFill>
        </w:rPr>
        <w:t>款争议和裁决的约定解决。</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14.12.6  未能按时提交竣工结算报告及完整的结算资料</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工程竣工验收报告经发包人认可后的30</w:t>
      </w:r>
      <w:r>
        <w:rPr>
          <w:rFonts w:hint="eastAsia"/>
          <w:color w:val="000000" w:themeColor="text1"/>
          <w:sz w:val="24"/>
          <w14:textFill>
            <w14:solidFill>
              <w14:schemeClr w14:val="tx1"/>
            </w14:solidFill>
          </w14:textFill>
        </w:rPr>
        <w:t>日</w:t>
      </w:r>
      <w:r>
        <w:rPr>
          <w:color w:val="000000" w:themeColor="text1"/>
          <w:sz w:val="24"/>
          <w14:textFill>
            <w14:solidFill>
              <w14:schemeClr w14:val="tx1"/>
            </w14:solidFill>
          </w14:textFill>
        </w:rPr>
        <w:t>内，承包人未能向发包人提交竣工结算报告及完整的结算资料，造成工程竣工结算不能正常进行、或工程竣工结算不能按时结清，发包人要求</w:t>
      </w:r>
      <w:r>
        <w:rPr>
          <w:rFonts w:hint="eastAsia"/>
          <w:color w:val="000000" w:themeColor="text1"/>
          <w:sz w:val="24"/>
          <w14:textFill>
            <w14:solidFill>
              <w14:schemeClr w14:val="tx1"/>
            </w14:solidFill>
          </w14:textFill>
        </w:rPr>
        <w:t>承包人</w:t>
      </w:r>
      <w:r>
        <w:rPr>
          <w:color w:val="000000" w:themeColor="text1"/>
          <w:sz w:val="24"/>
          <w14:textFill>
            <w14:solidFill>
              <w14:schemeClr w14:val="tx1"/>
            </w14:solidFill>
          </w14:textFill>
        </w:rPr>
        <w:t>交付工程时，承包人</w:t>
      </w:r>
      <w:r>
        <w:rPr>
          <w:rFonts w:hint="eastAsia"/>
          <w:color w:val="000000" w:themeColor="text1"/>
          <w:sz w:val="24"/>
          <w14:textFill>
            <w14:solidFill>
              <w14:schemeClr w14:val="tx1"/>
            </w14:solidFill>
          </w14:textFill>
        </w:rPr>
        <w:t>应进行</w:t>
      </w:r>
      <w:r>
        <w:rPr>
          <w:color w:val="000000" w:themeColor="text1"/>
          <w:sz w:val="24"/>
          <w14:textFill>
            <w14:solidFill>
              <w14:schemeClr w14:val="tx1"/>
            </w14:solidFill>
          </w14:textFill>
        </w:rPr>
        <w:t>交付；发包人</w:t>
      </w:r>
      <w:r>
        <w:rPr>
          <w:rFonts w:hint="eastAsia"/>
          <w:color w:val="000000" w:themeColor="text1"/>
          <w:sz w:val="24"/>
          <w14:textFill>
            <w14:solidFill>
              <w14:schemeClr w14:val="tx1"/>
            </w14:solidFill>
          </w14:textFill>
        </w:rPr>
        <w:t>未</w:t>
      </w:r>
      <w:r>
        <w:rPr>
          <w:color w:val="000000" w:themeColor="text1"/>
          <w:sz w:val="24"/>
          <w14:textFill>
            <w14:solidFill>
              <w14:schemeClr w14:val="tx1"/>
            </w14:solidFill>
          </w14:textFill>
        </w:rPr>
        <w:t>要求交付工程时，承包人须承担保管、维护和保养的费用和责任，不包括根据第9条工程接收</w:t>
      </w:r>
      <w:r>
        <w:rPr>
          <w:rFonts w:hint="eastAsia"/>
          <w:color w:val="000000" w:themeColor="text1"/>
          <w:sz w:val="24"/>
          <w14:textFill>
            <w14:solidFill>
              <w14:schemeClr w14:val="tx1"/>
            </w14:solidFill>
          </w14:textFill>
        </w:rPr>
        <w:t>的约定</w:t>
      </w:r>
      <w:r>
        <w:rPr>
          <w:color w:val="000000" w:themeColor="text1"/>
          <w:sz w:val="24"/>
          <w14:textFill>
            <w14:solidFill>
              <w14:schemeClr w14:val="tx1"/>
            </w14:solidFill>
          </w14:textFill>
        </w:rPr>
        <w:t>已被发包人使用、接收的单项工程和工程的任何部分。</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14.12.7  承包人未能支付竣工结算的款项</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（1）承包人未能按14.12.3款的</w:t>
      </w:r>
      <w:r>
        <w:rPr>
          <w:rFonts w:hint="eastAsia"/>
          <w:color w:val="000000" w:themeColor="text1"/>
          <w:sz w:val="24"/>
          <w14:textFill>
            <w14:solidFill>
              <w14:schemeClr w14:val="tx1"/>
            </w14:solidFill>
          </w14:textFill>
        </w:rPr>
        <w:t>约定</w:t>
      </w:r>
      <w:r>
        <w:rPr>
          <w:color w:val="000000" w:themeColor="text1"/>
          <w:sz w:val="24"/>
          <w14:textFill>
            <w14:solidFill>
              <w14:schemeClr w14:val="tx1"/>
            </w14:solidFill>
          </w14:textFill>
        </w:rPr>
        <w:t>，结清应付给发包人的竣工结算中的款项余额</w:t>
      </w:r>
      <w:r>
        <w:rPr>
          <w:rFonts w:hint="eastAsia"/>
          <w:color w:val="000000" w:themeColor="text1"/>
          <w:sz w:val="24"/>
          <w14:textFill>
            <w14:solidFill>
              <w14:schemeClr w14:val="tx1"/>
            </w14:solidFill>
          </w14:textFill>
        </w:rPr>
        <w:t>时</w:t>
      </w:r>
      <w:r>
        <w:rPr>
          <w:color w:val="000000" w:themeColor="text1"/>
          <w:sz w:val="24"/>
          <w14:textFill>
            <w14:solidFill>
              <w14:schemeClr w14:val="tx1"/>
            </w14:solidFill>
          </w14:textFill>
        </w:rPr>
        <w:t>，发包人有权从承包人根据14.2.1款</w:t>
      </w:r>
      <w:r>
        <w:rPr>
          <w:rFonts w:hint="eastAsia"/>
          <w:color w:val="000000" w:themeColor="text1"/>
          <w:sz w:val="24"/>
          <w14:textFill>
            <w14:solidFill>
              <w14:schemeClr w14:val="tx1"/>
            </w14:solidFill>
          </w14:textFill>
        </w:rPr>
        <w:t>约定</w:t>
      </w:r>
      <w:r>
        <w:rPr>
          <w:color w:val="000000" w:themeColor="text1"/>
          <w:sz w:val="24"/>
          <w14:textFill>
            <w14:solidFill>
              <w14:schemeClr w14:val="tx1"/>
            </w14:solidFill>
          </w14:textFill>
        </w:rPr>
        <w:t>提交的履约保函中扣减该款项的余额。</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履约保函</w:t>
      </w:r>
      <w:r>
        <w:rPr>
          <w:rFonts w:hint="eastAsia"/>
          <w:color w:val="000000" w:themeColor="text1"/>
          <w:sz w:val="24"/>
          <w14:textFill>
            <w14:solidFill>
              <w14:schemeClr w14:val="tx1"/>
            </w14:solidFill>
          </w14:textFill>
        </w:rPr>
        <w:t>的</w:t>
      </w:r>
      <w:r>
        <w:rPr>
          <w:color w:val="000000" w:themeColor="text1"/>
          <w:sz w:val="24"/>
          <w14:textFill>
            <w14:solidFill>
              <w14:schemeClr w14:val="tx1"/>
            </w14:solidFill>
          </w14:textFill>
        </w:rPr>
        <w:t>金额不足以抵偿</w:t>
      </w:r>
      <w:r>
        <w:rPr>
          <w:rFonts w:hint="eastAsia"/>
          <w:color w:val="000000" w:themeColor="text1"/>
          <w:sz w:val="24"/>
          <w14:textFill>
            <w14:solidFill>
              <w14:schemeClr w14:val="tx1"/>
            </w14:solidFill>
          </w14:textFill>
        </w:rPr>
        <w:t>时</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承包人应</w:t>
      </w:r>
      <w:r>
        <w:rPr>
          <w:color w:val="000000" w:themeColor="text1"/>
          <w:sz w:val="24"/>
          <w14:textFill>
            <w14:solidFill>
              <w14:schemeClr w14:val="tx1"/>
            </w14:solidFill>
          </w14:textFill>
        </w:rPr>
        <w:t>从最终竣工结算</w:t>
      </w:r>
      <w:r>
        <w:rPr>
          <w:rFonts w:hint="eastAsia"/>
          <w:color w:val="000000" w:themeColor="text1"/>
          <w:sz w:val="24"/>
          <w14:textFill>
            <w14:solidFill>
              <w14:schemeClr w14:val="tx1"/>
            </w14:solidFill>
          </w14:textFill>
        </w:rPr>
        <w:t>资料</w:t>
      </w:r>
      <w:r>
        <w:rPr>
          <w:color w:val="000000" w:themeColor="text1"/>
          <w:sz w:val="24"/>
          <w14:textFill>
            <w14:solidFill>
              <w14:schemeClr w14:val="tx1"/>
            </w14:solidFill>
          </w14:textFill>
        </w:rPr>
        <w:t>提交之后的31</w:t>
      </w:r>
      <w:r>
        <w:rPr>
          <w:rFonts w:hint="eastAsia"/>
          <w:color w:val="000000" w:themeColor="text1"/>
          <w:sz w:val="24"/>
          <w14:textFill>
            <w14:solidFill>
              <w14:schemeClr w14:val="tx1"/>
            </w14:solidFill>
          </w14:textFill>
        </w:rPr>
        <w:t>日</w:t>
      </w:r>
      <w:r>
        <w:rPr>
          <w:color w:val="000000" w:themeColor="text1"/>
          <w:sz w:val="24"/>
          <w14:textFill>
            <w14:solidFill>
              <w14:schemeClr w14:val="tx1"/>
            </w14:solidFill>
          </w14:textFill>
        </w:rPr>
        <w:t>起，</w:t>
      </w:r>
      <w:r>
        <w:rPr>
          <w:rFonts w:hint="eastAsia"/>
          <w:color w:val="000000" w:themeColor="text1"/>
          <w:sz w:val="24"/>
          <w14:textFill>
            <w14:solidFill>
              <w14:schemeClr w14:val="tx1"/>
            </w14:solidFill>
          </w14:textFill>
        </w:rPr>
        <w:t>支付拖欠的竣工结算款项的余额，并按</w:t>
      </w:r>
      <w:r>
        <w:rPr>
          <w:color w:val="000000" w:themeColor="text1"/>
          <w:sz w:val="24"/>
          <w14:textFill>
            <w14:solidFill>
              <w14:schemeClr w14:val="tx1"/>
            </w14:solidFill>
          </w14:textFill>
        </w:rPr>
        <w:t>中国人民银行同期同类贷款利率支付</w:t>
      </w:r>
      <w:r>
        <w:rPr>
          <w:rFonts w:hint="eastAsia"/>
          <w:color w:val="000000" w:themeColor="text1"/>
          <w:sz w:val="24"/>
          <w14:textFill>
            <w14:solidFill>
              <w14:schemeClr w14:val="tx1"/>
            </w14:solidFill>
          </w14:textFill>
        </w:rPr>
        <w:t>相应</w:t>
      </w:r>
      <w:r>
        <w:rPr>
          <w:color w:val="000000" w:themeColor="text1"/>
          <w:sz w:val="24"/>
          <w14:textFill>
            <w14:solidFill>
              <w14:schemeClr w14:val="tx1"/>
            </w14:solidFill>
          </w14:textFill>
        </w:rPr>
        <w:t>利息。承包人在最终竣工结算资料提交后的90</w:t>
      </w:r>
      <w:r>
        <w:rPr>
          <w:rFonts w:hint="eastAsia"/>
          <w:color w:val="000000" w:themeColor="text1"/>
          <w:sz w:val="24"/>
          <w14:textFill>
            <w14:solidFill>
              <w14:schemeClr w14:val="tx1"/>
            </w14:solidFill>
          </w14:textFill>
        </w:rPr>
        <w:t>日</w:t>
      </w:r>
      <w:r>
        <w:rPr>
          <w:color w:val="000000" w:themeColor="text1"/>
          <w:sz w:val="24"/>
          <w14:textFill>
            <w14:solidFill>
              <w14:schemeClr w14:val="tx1"/>
            </w14:solidFill>
          </w14:textFill>
        </w:rPr>
        <w:t>内仍未支付</w:t>
      </w:r>
      <w:r>
        <w:rPr>
          <w:rFonts w:hint="eastAsia"/>
          <w:color w:val="000000" w:themeColor="text1"/>
          <w:sz w:val="24"/>
          <w14:textFill>
            <w14:solidFill>
              <w14:schemeClr w14:val="tx1"/>
            </w14:solidFill>
          </w14:textFill>
        </w:rPr>
        <w:t>时</w:t>
      </w:r>
      <w:r>
        <w:rPr>
          <w:color w:val="000000" w:themeColor="text1"/>
          <w:sz w:val="24"/>
          <w14:textFill>
            <w14:solidFill>
              <w14:schemeClr w14:val="tx1"/>
            </w14:solidFill>
          </w14:textFill>
        </w:rPr>
        <w:t>，发包人有权根据第16.3款争议和裁决的</w:t>
      </w:r>
      <w:r>
        <w:rPr>
          <w:rFonts w:hint="eastAsia"/>
          <w:color w:val="000000" w:themeColor="text1"/>
          <w:sz w:val="24"/>
          <w14:textFill>
            <w14:solidFill>
              <w14:schemeClr w14:val="tx1"/>
            </w14:solidFill>
          </w14:textFill>
        </w:rPr>
        <w:t>约定</w:t>
      </w:r>
      <w:r>
        <w:rPr>
          <w:color w:val="000000" w:themeColor="text1"/>
          <w:sz w:val="24"/>
          <w14:textFill>
            <w14:solidFill>
              <w14:schemeClr w14:val="tx1"/>
            </w14:solidFill>
          </w14:textFill>
        </w:rPr>
        <w:t>解决。</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（2）合同未</w:t>
      </w:r>
      <w:r>
        <w:rPr>
          <w:rFonts w:hint="eastAsia"/>
          <w:color w:val="000000" w:themeColor="text1"/>
          <w:sz w:val="24"/>
          <w14:textFill>
            <w14:solidFill>
              <w14:schemeClr w14:val="tx1"/>
            </w14:solidFill>
          </w14:textFill>
        </w:rPr>
        <w:t>约定</w:t>
      </w:r>
      <w:r>
        <w:rPr>
          <w:color w:val="000000" w:themeColor="text1"/>
          <w:sz w:val="24"/>
          <w14:textFill>
            <w14:solidFill>
              <w14:schemeClr w14:val="tx1"/>
            </w14:solidFill>
          </w14:textFill>
        </w:rPr>
        <w:t>履约保函</w:t>
      </w:r>
      <w:r>
        <w:rPr>
          <w:rFonts w:hint="eastAsia"/>
          <w:color w:val="000000" w:themeColor="text1"/>
          <w:sz w:val="24"/>
          <w14:textFill>
            <w14:solidFill>
              <w14:schemeClr w14:val="tx1"/>
            </w14:solidFill>
          </w14:textFill>
        </w:rPr>
        <w:t>时</w:t>
      </w:r>
      <w:r>
        <w:rPr>
          <w:color w:val="000000" w:themeColor="text1"/>
          <w:sz w:val="24"/>
          <w14:textFill>
            <w14:solidFill>
              <w14:schemeClr w14:val="tx1"/>
            </w14:solidFill>
          </w14:textFill>
        </w:rPr>
        <w:t>，承包人</w:t>
      </w:r>
      <w:r>
        <w:rPr>
          <w:rFonts w:hint="eastAsia"/>
          <w:color w:val="000000" w:themeColor="text1"/>
          <w:sz w:val="24"/>
          <w14:textFill>
            <w14:solidFill>
              <w14:schemeClr w14:val="tx1"/>
            </w14:solidFill>
          </w14:textFill>
        </w:rPr>
        <w:t>应</w:t>
      </w:r>
      <w:r>
        <w:rPr>
          <w:color w:val="000000" w:themeColor="text1"/>
          <w:sz w:val="24"/>
          <w14:textFill>
            <w14:solidFill>
              <w14:schemeClr w14:val="tx1"/>
            </w14:solidFill>
          </w14:textFill>
        </w:rPr>
        <w:t>从最终竣工结算资料提交后的第31</w:t>
      </w:r>
      <w:r>
        <w:rPr>
          <w:rFonts w:hint="eastAsia"/>
          <w:color w:val="000000" w:themeColor="text1"/>
          <w:sz w:val="24"/>
          <w14:textFill>
            <w14:solidFill>
              <w14:schemeClr w14:val="tx1"/>
            </w14:solidFill>
          </w14:textFill>
        </w:rPr>
        <w:t>日</w:t>
      </w:r>
      <w:r>
        <w:rPr>
          <w:color w:val="000000" w:themeColor="text1"/>
          <w:sz w:val="24"/>
          <w14:textFill>
            <w14:solidFill>
              <w14:schemeClr w14:val="tx1"/>
            </w14:solidFill>
          </w14:textFill>
        </w:rPr>
        <w:t>起，</w:t>
      </w:r>
      <w:r>
        <w:rPr>
          <w:rFonts w:hint="eastAsia"/>
          <w:color w:val="000000" w:themeColor="text1"/>
          <w:sz w:val="24"/>
          <w14:textFill>
            <w14:solidFill>
              <w14:schemeClr w14:val="tx1"/>
            </w14:solidFill>
          </w14:textFill>
        </w:rPr>
        <w:t>支付拖欠的竣工结算款项的余额，并</w:t>
      </w:r>
      <w:r>
        <w:rPr>
          <w:color w:val="000000" w:themeColor="text1"/>
          <w:sz w:val="24"/>
          <w14:textFill>
            <w14:solidFill>
              <w14:schemeClr w14:val="tx1"/>
            </w14:solidFill>
          </w14:textFill>
        </w:rPr>
        <w:t>按中国人民银行同期同类贷款利率</w:t>
      </w:r>
      <w:r>
        <w:rPr>
          <w:rFonts w:hint="eastAsia"/>
          <w:color w:val="000000" w:themeColor="text1"/>
          <w:sz w:val="24"/>
          <w14:textFill>
            <w14:solidFill>
              <w14:schemeClr w14:val="tx1"/>
            </w14:solidFill>
          </w14:textFill>
        </w:rPr>
        <w:t>支付相应利息。如</w:t>
      </w:r>
      <w:r>
        <w:rPr>
          <w:color w:val="000000" w:themeColor="text1"/>
          <w:sz w:val="24"/>
          <w14:textFill>
            <w14:solidFill>
              <w14:schemeClr w14:val="tx1"/>
            </w14:solidFill>
          </w14:textFill>
        </w:rPr>
        <w:t>承包人在最终竣工结算资料提交后的90</w:t>
      </w:r>
      <w:r>
        <w:rPr>
          <w:rFonts w:hint="eastAsia"/>
          <w:color w:val="000000" w:themeColor="text1"/>
          <w:sz w:val="24"/>
          <w14:textFill>
            <w14:solidFill>
              <w14:schemeClr w14:val="tx1"/>
            </w14:solidFill>
          </w14:textFill>
        </w:rPr>
        <w:t>日</w:t>
      </w:r>
      <w:r>
        <w:rPr>
          <w:color w:val="000000" w:themeColor="text1"/>
          <w:sz w:val="24"/>
          <w14:textFill>
            <w14:solidFill>
              <w14:schemeClr w14:val="tx1"/>
            </w14:solidFill>
          </w14:textFill>
        </w:rPr>
        <w:t>内仍未支付</w:t>
      </w:r>
      <w:r>
        <w:rPr>
          <w:rFonts w:hint="eastAsia"/>
          <w:color w:val="000000" w:themeColor="text1"/>
          <w:sz w:val="24"/>
          <w14:textFill>
            <w14:solidFill>
              <w14:schemeClr w14:val="tx1"/>
            </w14:solidFill>
          </w14:textFill>
        </w:rPr>
        <w:t>时</w:t>
      </w:r>
      <w:r>
        <w:rPr>
          <w:color w:val="000000" w:themeColor="text1"/>
          <w:sz w:val="24"/>
          <w14:textFill>
            <w14:solidFill>
              <w14:schemeClr w14:val="tx1"/>
            </w14:solidFill>
          </w14:textFill>
        </w:rPr>
        <w:t>，发包人有权根据第16.3款争议和裁决的</w:t>
      </w:r>
      <w:r>
        <w:rPr>
          <w:rFonts w:hint="eastAsia"/>
          <w:color w:val="000000" w:themeColor="text1"/>
          <w:sz w:val="24"/>
          <w14:textFill>
            <w14:solidFill>
              <w14:schemeClr w14:val="tx1"/>
            </w14:solidFill>
          </w14:textFill>
        </w:rPr>
        <w:t>约定</w:t>
      </w:r>
      <w:r>
        <w:rPr>
          <w:color w:val="000000" w:themeColor="text1"/>
          <w:sz w:val="24"/>
          <w14:textFill>
            <w14:solidFill>
              <w14:schemeClr w14:val="tx1"/>
            </w14:solidFill>
          </w14:textFill>
        </w:rPr>
        <w:t>解决。</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14.12.8 竣工结算的争议</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如在发包人收到承包人递交的竣工结算报告及完整的结算资料后的</w:t>
      </w:r>
      <w:r>
        <w:rPr>
          <w:color w:val="000000" w:themeColor="text1"/>
          <w:sz w:val="24"/>
          <w14:textFill>
            <w14:solidFill>
              <w14:schemeClr w14:val="tx1"/>
            </w14:solidFill>
          </w14:textFill>
        </w:rPr>
        <w:t>30</w:t>
      </w:r>
      <w:r>
        <w:rPr>
          <w:rFonts w:hint="eastAsia"/>
          <w:color w:val="000000" w:themeColor="text1"/>
          <w:sz w:val="24"/>
          <w14:textFill>
            <w14:solidFill>
              <w14:schemeClr w14:val="tx1"/>
            </w14:solidFill>
          </w14:textFill>
        </w:rPr>
        <w:t>日内，双方对工程竣工结算的价款发生争议时，应共同委托一家具有相应资质等级的工程造价咨询单位进行竣工结算审核，按审核结果，结清竣工结算的款项。审核周期由合同双方与工程造价审核单位约定。对审核结果仍有争议时，依据第</w:t>
      </w:r>
      <w:r>
        <w:rPr>
          <w:color w:val="000000" w:themeColor="text1"/>
          <w:sz w:val="24"/>
          <w14:textFill>
            <w14:solidFill>
              <w14:schemeClr w14:val="tx1"/>
            </w14:solidFill>
          </w14:textFill>
        </w:rPr>
        <w:t>16.3</w:t>
      </w:r>
      <w:r>
        <w:rPr>
          <w:rFonts w:hint="eastAsia"/>
          <w:color w:val="000000" w:themeColor="text1"/>
          <w:sz w:val="24"/>
          <w14:textFill>
            <w14:solidFill>
              <w14:schemeClr w14:val="tx1"/>
            </w14:solidFill>
          </w14:textFill>
        </w:rPr>
        <w:t>款争议和裁决的约定解决。</w:t>
      </w:r>
    </w:p>
    <w:p>
      <w:pPr>
        <w:wordWrap w:val="0"/>
        <w:spacing w:before="120" w:beforeLines="50" w:after="120" w:afterLines="50" w:line="300" w:lineRule="auto"/>
        <w:ind w:firstLine="562" w:firstLineChars="200"/>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第</w:t>
      </w:r>
      <w:r>
        <w:rPr>
          <w:b/>
          <w:color w:val="000000" w:themeColor="text1"/>
          <w:sz w:val="28"/>
          <w:szCs w:val="28"/>
          <w14:textFill>
            <w14:solidFill>
              <w14:schemeClr w14:val="tx1"/>
            </w14:solidFill>
          </w14:textFill>
        </w:rPr>
        <w:t>15</w:t>
      </w:r>
      <w:r>
        <w:rPr>
          <w:rFonts w:hint="eastAsia"/>
          <w:b/>
          <w:color w:val="000000" w:themeColor="text1"/>
          <w:sz w:val="28"/>
          <w:szCs w:val="28"/>
          <w14:textFill>
            <w14:solidFill>
              <w14:schemeClr w14:val="tx1"/>
            </w14:solidFill>
          </w14:textFill>
        </w:rPr>
        <w:t>条保险</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15.1  承包人的投保</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15.1.1  按适用法律</w:t>
      </w:r>
      <w:r>
        <w:rPr>
          <w:rFonts w:hint="eastAsia"/>
          <w:color w:val="000000" w:themeColor="text1"/>
          <w:sz w:val="24"/>
          <w14:textFill>
            <w14:solidFill>
              <w14:schemeClr w14:val="tx1"/>
            </w14:solidFill>
          </w14:textFill>
        </w:rPr>
        <w:t>和专用条款约定的投保类别，由承包人</w:t>
      </w:r>
      <w:r>
        <w:rPr>
          <w:color w:val="000000" w:themeColor="text1"/>
          <w:sz w:val="24"/>
          <w14:textFill>
            <w14:solidFill>
              <w14:schemeClr w14:val="tx1"/>
            </w14:solidFill>
          </w14:textFill>
        </w:rPr>
        <w:t>投保</w:t>
      </w:r>
      <w:r>
        <w:rPr>
          <w:rFonts w:hint="eastAsia"/>
          <w:color w:val="000000" w:themeColor="text1"/>
          <w:sz w:val="24"/>
          <w14:textFill>
            <w14:solidFill>
              <w14:schemeClr w14:val="tx1"/>
            </w14:solidFill>
          </w14:textFill>
        </w:rPr>
        <w:t>的</w:t>
      </w:r>
      <w:r>
        <w:rPr>
          <w:color w:val="000000" w:themeColor="text1"/>
          <w:sz w:val="24"/>
          <w14:textFill>
            <w14:solidFill>
              <w14:schemeClr w14:val="tx1"/>
            </w14:solidFill>
          </w14:textFill>
        </w:rPr>
        <w:t>保险种类</w:t>
      </w:r>
      <w:r>
        <w:rPr>
          <w:rFonts w:hint="eastAsia"/>
          <w:color w:val="000000" w:themeColor="text1"/>
          <w:sz w:val="24"/>
          <w14:textFill>
            <w14:solidFill>
              <w14:schemeClr w14:val="tx1"/>
            </w14:solidFill>
          </w14:textFill>
        </w:rPr>
        <w:t>，其</w:t>
      </w:r>
      <w:r>
        <w:rPr>
          <w:color w:val="000000" w:themeColor="text1"/>
          <w:sz w:val="24"/>
          <w14:textFill>
            <w14:solidFill>
              <w14:schemeClr w14:val="tx1"/>
            </w14:solidFill>
          </w14:textFill>
        </w:rPr>
        <w:t>投保费用包含在合同价格中。</w:t>
      </w:r>
      <w:r>
        <w:rPr>
          <w:rFonts w:hint="eastAsia"/>
          <w:color w:val="000000" w:themeColor="text1"/>
          <w:sz w:val="24"/>
          <w14:textFill>
            <w14:solidFill>
              <w14:schemeClr w14:val="tx1"/>
            </w14:solidFill>
          </w14:textFill>
        </w:rPr>
        <w:t>由承包人投保的保险种类、保险范围、投保金额、保险期限和持续有效的时间等在专用条款中约定。</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（1）适用法律规定及专用条款约定的，由承包人负责投保的，承包人应依据工程实施阶段的需要按期投保；</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）在合同执行过程中，</w:t>
      </w:r>
      <w:r>
        <w:rPr>
          <w:rFonts w:hint="eastAsia"/>
          <w:color w:val="000000" w:themeColor="text1"/>
          <w:sz w:val="24"/>
          <w14:textFill>
            <w14:solidFill>
              <w14:schemeClr w14:val="tx1"/>
            </w14:solidFill>
          </w14:textFill>
        </w:rPr>
        <w:t>新颁布的</w:t>
      </w:r>
      <w:r>
        <w:rPr>
          <w:color w:val="000000" w:themeColor="text1"/>
          <w:sz w:val="24"/>
          <w14:textFill>
            <w14:solidFill>
              <w14:schemeClr w14:val="tx1"/>
            </w14:solidFill>
          </w14:textFill>
        </w:rPr>
        <w:t>适用法律规定</w:t>
      </w:r>
      <w:r>
        <w:rPr>
          <w:rFonts w:hint="eastAsia"/>
          <w:color w:val="000000" w:themeColor="text1"/>
          <w:sz w:val="24"/>
          <w14:textFill>
            <w14:solidFill>
              <w14:schemeClr w14:val="tx1"/>
            </w14:solidFill>
          </w14:textFill>
        </w:rPr>
        <w:t>由</w:t>
      </w:r>
      <w:r>
        <w:rPr>
          <w:color w:val="000000" w:themeColor="text1"/>
          <w:sz w:val="24"/>
          <w14:textFill>
            <w14:solidFill>
              <w14:schemeClr w14:val="tx1"/>
            </w14:solidFill>
          </w14:textFill>
        </w:rPr>
        <w:t>承包人投保的强制性保险，根据13条变更和合同价格调整的</w:t>
      </w:r>
      <w:r>
        <w:rPr>
          <w:rFonts w:hint="eastAsia"/>
          <w:color w:val="000000" w:themeColor="text1"/>
          <w:sz w:val="24"/>
          <w14:textFill>
            <w14:solidFill>
              <w14:schemeClr w14:val="tx1"/>
            </w14:solidFill>
          </w14:textFill>
        </w:rPr>
        <w:t>约定</w:t>
      </w:r>
      <w:r>
        <w:rPr>
          <w:color w:val="000000" w:themeColor="text1"/>
          <w:sz w:val="24"/>
          <w14:textFill>
            <w14:solidFill>
              <w14:schemeClr w14:val="tx1"/>
            </w14:solidFill>
          </w14:textFill>
        </w:rPr>
        <w:t>调整合同价格。</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15.1.2  保险单对联合被保险人提供保险时，保险赔偿对每个联合被保险人分别施用。承包人</w:t>
      </w:r>
      <w:r>
        <w:rPr>
          <w:rFonts w:hint="eastAsia"/>
          <w:color w:val="000000" w:themeColor="text1"/>
          <w:sz w:val="24"/>
          <w14:textFill>
            <w14:solidFill>
              <w14:schemeClr w14:val="tx1"/>
            </w14:solidFill>
          </w14:textFill>
        </w:rPr>
        <w:t>应</w:t>
      </w:r>
      <w:r>
        <w:rPr>
          <w:color w:val="000000" w:themeColor="text1"/>
          <w:sz w:val="24"/>
          <w14:textFill>
            <w14:solidFill>
              <w14:schemeClr w14:val="tx1"/>
            </w14:solidFill>
          </w14:textFill>
        </w:rPr>
        <w:t>代表自己的被保险人，保证其被保险人遵守保险单</w:t>
      </w:r>
      <w:r>
        <w:rPr>
          <w:rFonts w:hint="eastAsia"/>
          <w:color w:val="000000" w:themeColor="text1"/>
          <w:sz w:val="24"/>
          <w14:textFill>
            <w14:solidFill>
              <w14:schemeClr w14:val="tx1"/>
            </w14:solidFill>
          </w14:textFill>
        </w:rPr>
        <w:t>约定</w:t>
      </w:r>
      <w:r>
        <w:rPr>
          <w:color w:val="000000" w:themeColor="text1"/>
          <w:sz w:val="24"/>
          <w14:textFill>
            <w14:solidFill>
              <w14:schemeClr w14:val="tx1"/>
            </w14:solidFill>
          </w14:textFill>
        </w:rPr>
        <w:t>的条件</w:t>
      </w:r>
      <w:r>
        <w:rPr>
          <w:rFonts w:hint="eastAsia"/>
          <w:color w:val="000000" w:themeColor="text1"/>
          <w:sz w:val="24"/>
          <w14:textFill>
            <w14:solidFill>
              <w14:schemeClr w14:val="tx1"/>
            </w14:solidFill>
          </w14:textFill>
        </w:rPr>
        <w:t>及其</w:t>
      </w:r>
      <w:r>
        <w:rPr>
          <w:color w:val="000000" w:themeColor="text1"/>
          <w:sz w:val="24"/>
          <w14:textFill>
            <w14:solidFill>
              <w14:schemeClr w14:val="tx1"/>
            </w14:solidFill>
          </w14:textFill>
        </w:rPr>
        <w:t>赔偿</w:t>
      </w:r>
      <w:r>
        <w:rPr>
          <w:rFonts w:hint="eastAsia"/>
          <w:color w:val="000000" w:themeColor="text1"/>
          <w:sz w:val="24"/>
          <w14:textFill>
            <w14:solidFill>
              <w14:schemeClr w14:val="tx1"/>
            </w14:solidFill>
          </w14:textFill>
        </w:rPr>
        <w:t>金额</w:t>
      </w:r>
      <w:r>
        <w:rPr>
          <w:color w:val="000000" w:themeColor="text1"/>
          <w:sz w:val="24"/>
          <w14:textFill>
            <w14:solidFill>
              <w14:schemeClr w14:val="tx1"/>
            </w14:solidFill>
          </w14:textFill>
        </w:rPr>
        <w:t>。</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15.1.3  </w:t>
      </w:r>
      <w:r>
        <w:rPr>
          <w:rFonts w:hint="eastAsia"/>
          <w:color w:val="000000" w:themeColor="text1"/>
          <w:sz w:val="24"/>
          <w14:textFill>
            <w14:solidFill>
              <w14:schemeClr w14:val="tx1"/>
            </w14:solidFill>
          </w14:textFill>
        </w:rPr>
        <w:t>承包人</w:t>
      </w:r>
      <w:r>
        <w:rPr>
          <w:color w:val="000000" w:themeColor="text1"/>
          <w:sz w:val="24"/>
          <w14:textFill>
            <w14:solidFill>
              <w14:schemeClr w14:val="tx1"/>
            </w14:solidFill>
          </w14:textFill>
        </w:rPr>
        <w:t>从保险人收到的理赔款项，</w:t>
      </w:r>
      <w:r>
        <w:rPr>
          <w:rFonts w:hint="eastAsia"/>
          <w:color w:val="000000" w:themeColor="text1"/>
          <w:sz w:val="24"/>
          <w14:textFill>
            <w14:solidFill>
              <w14:schemeClr w14:val="tx1"/>
            </w14:solidFill>
          </w14:textFill>
        </w:rPr>
        <w:t>应</w:t>
      </w:r>
      <w:r>
        <w:rPr>
          <w:color w:val="000000" w:themeColor="text1"/>
          <w:sz w:val="24"/>
          <w14:textFill>
            <w14:solidFill>
              <w14:schemeClr w14:val="tx1"/>
            </w14:solidFill>
          </w14:textFill>
        </w:rPr>
        <w:t>用于保单</w:t>
      </w:r>
      <w:r>
        <w:rPr>
          <w:rFonts w:hint="eastAsia"/>
          <w:color w:val="000000" w:themeColor="text1"/>
          <w:sz w:val="24"/>
          <w14:textFill>
            <w14:solidFill>
              <w14:schemeClr w14:val="tx1"/>
            </w14:solidFill>
          </w14:textFill>
        </w:rPr>
        <w:t>约定</w:t>
      </w:r>
      <w:r>
        <w:rPr>
          <w:color w:val="000000" w:themeColor="text1"/>
          <w:sz w:val="24"/>
          <w14:textFill>
            <w14:solidFill>
              <w14:schemeClr w14:val="tx1"/>
            </w14:solidFill>
          </w14:textFill>
        </w:rPr>
        <w:t>的损失、损害、伤害的修复、购置、重建和赔偿。</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15.1.4  </w:t>
      </w:r>
      <w:r>
        <w:rPr>
          <w:rFonts w:hint="eastAsia"/>
          <w:color w:val="000000" w:themeColor="text1"/>
          <w:sz w:val="24"/>
          <w14:textFill>
            <w14:solidFill>
              <w14:schemeClr w14:val="tx1"/>
            </w14:solidFill>
          </w14:textFill>
        </w:rPr>
        <w:t>承包人应</w:t>
      </w:r>
      <w:r>
        <w:rPr>
          <w:color w:val="000000" w:themeColor="text1"/>
          <w:sz w:val="24"/>
          <w14:textFill>
            <w14:solidFill>
              <w14:schemeClr w14:val="tx1"/>
            </w14:solidFill>
          </w14:textFill>
        </w:rPr>
        <w:t>在投保项目及其</w:t>
      </w:r>
      <w:r>
        <w:rPr>
          <w:rFonts w:hint="eastAsia"/>
          <w:color w:val="000000" w:themeColor="text1"/>
          <w:sz w:val="24"/>
          <w14:textFill>
            <w14:solidFill>
              <w14:schemeClr w14:val="tx1"/>
            </w14:solidFill>
          </w14:textFill>
        </w:rPr>
        <w:t>投保</w:t>
      </w:r>
      <w:r>
        <w:rPr>
          <w:color w:val="000000" w:themeColor="text1"/>
          <w:sz w:val="24"/>
          <w14:textFill>
            <w14:solidFill>
              <w14:schemeClr w14:val="tx1"/>
            </w14:solidFill>
          </w14:textFill>
        </w:rPr>
        <w:t>期限内，向</w:t>
      </w:r>
      <w:r>
        <w:rPr>
          <w:rFonts w:hint="eastAsia"/>
          <w:color w:val="000000" w:themeColor="text1"/>
          <w:sz w:val="24"/>
          <w14:textFill>
            <w14:solidFill>
              <w14:schemeClr w14:val="tx1"/>
            </w14:solidFill>
          </w14:textFill>
        </w:rPr>
        <w:t>发包人</w:t>
      </w:r>
      <w:r>
        <w:rPr>
          <w:color w:val="000000" w:themeColor="text1"/>
          <w:sz w:val="24"/>
          <w14:textFill>
            <w14:solidFill>
              <w14:schemeClr w14:val="tx1"/>
            </w14:solidFill>
          </w14:textFill>
        </w:rPr>
        <w:t>提供保险单副本、保费支付单据复印件和保险单生效的证明。</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承包人未提交上述证明文件的，视为未按合同约定投保，发包人可以自己名义投保相应保险，由此引起的费用及理赔损失，由承包人承担。</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15.2  一切险和第三方责任险</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对于建筑工程一切险、安装工程一切险和第三者责任险，无论应投保方是任何一方，其在投保时均</w:t>
      </w:r>
      <w:r>
        <w:rPr>
          <w:rFonts w:hint="eastAsia"/>
          <w:color w:val="000000" w:themeColor="text1"/>
          <w:sz w:val="24"/>
          <w14:textFill>
            <w14:solidFill>
              <w14:schemeClr w14:val="tx1"/>
            </w14:solidFill>
          </w14:textFill>
        </w:rPr>
        <w:t>应</w:t>
      </w:r>
      <w:r>
        <w:rPr>
          <w:color w:val="000000" w:themeColor="text1"/>
          <w:sz w:val="24"/>
          <w14:textFill>
            <w14:solidFill>
              <w14:schemeClr w14:val="tx1"/>
            </w14:solidFill>
          </w14:textFill>
        </w:rPr>
        <w:t>将本合同</w:t>
      </w:r>
      <w:r>
        <w:rPr>
          <w:rFonts w:hint="eastAsia"/>
          <w:color w:val="000000" w:themeColor="text1"/>
          <w:sz w:val="24"/>
          <w14:textFill>
            <w14:solidFill>
              <w14:schemeClr w14:val="tx1"/>
            </w14:solidFill>
          </w14:textFill>
        </w:rPr>
        <w:t>的</w:t>
      </w:r>
      <w:r>
        <w:rPr>
          <w:color w:val="000000" w:themeColor="text1"/>
          <w:sz w:val="24"/>
          <w14:textFill>
            <w14:solidFill>
              <w14:schemeClr w14:val="tx1"/>
            </w14:solidFill>
          </w14:textFill>
        </w:rPr>
        <w:t>另一方</w:t>
      </w:r>
      <w:r>
        <w:rPr>
          <w:rFonts w:hint="eastAsia"/>
          <w:color w:val="000000" w:themeColor="text1"/>
          <w:sz w:val="24"/>
          <w14:textFill>
            <w14:solidFill>
              <w14:schemeClr w14:val="tx1"/>
            </w14:solidFill>
          </w14:textFill>
        </w:rPr>
        <w:t>、本合同项下分包商、供货商、服务商</w:t>
      </w:r>
      <w:r>
        <w:rPr>
          <w:color w:val="000000" w:themeColor="text1"/>
          <w:sz w:val="24"/>
          <w14:textFill>
            <w14:solidFill>
              <w14:schemeClr w14:val="tx1"/>
            </w14:solidFill>
          </w14:textFill>
        </w:rPr>
        <w:t>同时列为保险合同项下的被保险人。具体</w:t>
      </w:r>
      <w:r>
        <w:rPr>
          <w:rFonts w:hint="eastAsia"/>
          <w:color w:val="000000" w:themeColor="text1"/>
          <w:sz w:val="24"/>
          <w14:textFill>
            <w14:solidFill>
              <w14:schemeClr w14:val="tx1"/>
            </w14:solidFill>
          </w14:textFill>
        </w:rPr>
        <w:t>的应</w:t>
      </w:r>
      <w:r>
        <w:rPr>
          <w:color w:val="000000" w:themeColor="text1"/>
          <w:sz w:val="24"/>
          <w14:textFill>
            <w14:solidFill>
              <w14:schemeClr w14:val="tx1"/>
            </w14:solidFill>
          </w14:textFill>
        </w:rPr>
        <w:t>投保方在专用条款中</w:t>
      </w:r>
      <w:r>
        <w:rPr>
          <w:rFonts w:hint="eastAsia"/>
          <w:color w:val="000000" w:themeColor="text1"/>
          <w:sz w:val="24"/>
          <w14:textFill>
            <w14:solidFill>
              <w14:schemeClr w14:val="tx1"/>
            </w14:solidFill>
          </w14:textFill>
        </w:rPr>
        <w:t>约定</w:t>
      </w:r>
      <w:r>
        <w:rPr>
          <w:color w:val="000000" w:themeColor="text1"/>
          <w:sz w:val="24"/>
          <w14:textFill>
            <w14:solidFill>
              <w14:schemeClr w14:val="tx1"/>
            </w14:solidFill>
          </w14:textFill>
        </w:rPr>
        <w:t>。</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15.3  保险的其它规定</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15.3.1  </w:t>
      </w:r>
      <w:r>
        <w:rPr>
          <w:rFonts w:hint="eastAsia"/>
          <w:color w:val="000000" w:themeColor="text1"/>
          <w:sz w:val="24"/>
          <w14:textFill>
            <w14:solidFill>
              <w14:schemeClr w14:val="tx1"/>
            </w14:solidFill>
          </w14:textFill>
        </w:rPr>
        <w:t>由承包人负责</w:t>
      </w:r>
      <w:r>
        <w:rPr>
          <w:color w:val="000000" w:themeColor="text1"/>
          <w:sz w:val="24"/>
          <w14:textFill>
            <w14:solidFill>
              <w14:schemeClr w14:val="tx1"/>
            </w14:solidFill>
          </w14:textFill>
        </w:rPr>
        <w:t>采购运输的设备、材料、部件的运输险</w:t>
      </w:r>
      <w:r>
        <w:rPr>
          <w:rFonts w:hint="eastAsia"/>
          <w:color w:val="000000" w:themeColor="text1"/>
          <w:sz w:val="24"/>
          <w14:textFill>
            <w14:solidFill>
              <w14:schemeClr w14:val="tx1"/>
            </w14:solidFill>
          </w14:textFill>
        </w:rPr>
        <w:t>，由承包人</w:t>
      </w:r>
      <w:r>
        <w:rPr>
          <w:color w:val="000000" w:themeColor="text1"/>
          <w:sz w:val="24"/>
          <w14:textFill>
            <w14:solidFill>
              <w14:schemeClr w14:val="tx1"/>
            </w14:solidFill>
          </w14:textFill>
        </w:rPr>
        <w:t>投保。此项保险费用已包含在合同价格中</w:t>
      </w:r>
      <w:r>
        <w:rPr>
          <w:rFonts w:hint="eastAsia"/>
          <w:color w:val="000000" w:themeColor="text1"/>
          <w:sz w:val="24"/>
          <w14:textFill>
            <w14:solidFill>
              <w14:schemeClr w14:val="tx1"/>
            </w14:solidFill>
          </w14:textFill>
        </w:rPr>
        <w:t>，专用条款中另有约定时除外。</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15.3.2  保险事项的</w:t>
      </w:r>
      <w:r>
        <w:rPr>
          <w:rFonts w:hint="eastAsia"/>
          <w:color w:val="000000" w:themeColor="text1"/>
          <w:sz w:val="24"/>
          <w14:textFill>
            <w14:solidFill>
              <w14:schemeClr w14:val="tx1"/>
            </w14:solidFill>
          </w14:textFill>
        </w:rPr>
        <w:t>意外事件</w:t>
      </w:r>
      <w:r>
        <w:rPr>
          <w:color w:val="000000" w:themeColor="text1"/>
          <w:sz w:val="24"/>
          <w14:textFill>
            <w14:solidFill>
              <w14:schemeClr w14:val="tx1"/>
            </w14:solidFill>
          </w14:textFill>
        </w:rPr>
        <w:t>发生时，</w:t>
      </w:r>
      <w:r>
        <w:rPr>
          <w:rFonts w:hint="eastAsia"/>
          <w:color w:val="000000" w:themeColor="text1"/>
          <w:sz w:val="24"/>
          <w14:textFill>
            <w14:solidFill>
              <w14:schemeClr w14:val="tx1"/>
            </w14:solidFill>
          </w14:textFill>
        </w:rPr>
        <w:t>在场的各</w:t>
      </w:r>
      <w:r>
        <w:rPr>
          <w:color w:val="000000" w:themeColor="text1"/>
          <w:sz w:val="24"/>
          <w14:textFill>
            <w14:solidFill>
              <w14:schemeClr w14:val="tx1"/>
            </w14:solidFill>
          </w14:textFill>
        </w:rPr>
        <w:t>方均有责任努力采取必要措施，防止损失、损害的扩大。</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15.3.3  本合同</w:t>
      </w:r>
      <w:r>
        <w:rPr>
          <w:rFonts w:hint="eastAsia"/>
          <w:color w:val="000000" w:themeColor="text1"/>
          <w:sz w:val="24"/>
          <w14:textFill>
            <w14:solidFill>
              <w14:schemeClr w14:val="tx1"/>
            </w14:solidFill>
          </w14:textFill>
        </w:rPr>
        <w:t>约定</w:t>
      </w:r>
      <w:r>
        <w:rPr>
          <w:color w:val="000000" w:themeColor="text1"/>
          <w:sz w:val="24"/>
          <w14:textFill>
            <w14:solidFill>
              <w14:schemeClr w14:val="tx1"/>
            </w14:solidFill>
          </w14:textFill>
        </w:rPr>
        <w:t>以外的险种，根据各自的需要自行投保，保险费用</w:t>
      </w:r>
      <w:r>
        <w:rPr>
          <w:rFonts w:hint="eastAsia"/>
          <w:color w:val="000000" w:themeColor="text1"/>
          <w:sz w:val="24"/>
          <w14:textFill>
            <w14:solidFill>
              <w14:schemeClr w14:val="tx1"/>
            </w14:solidFill>
          </w14:textFill>
        </w:rPr>
        <w:t>由</w:t>
      </w:r>
      <w:r>
        <w:rPr>
          <w:color w:val="000000" w:themeColor="text1"/>
          <w:sz w:val="24"/>
          <w14:textFill>
            <w14:solidFill>
              <w14:schemeClr w14:val="tx1"/>
            </w14:solidFill>
          </w14:textFill>
        </w:rPr>
        <w:t>各自承担。</w:t>
      </w:r>
    </w:p>
    <w:p>
      <w:pPr>
        <w:wordWrap w:val="0"/>
        <w:spacing w:before="120" w:beforeLines="50" w:after="120" w:afterLines="50" w:line="300" w:lineRule="auto"/>
        <w:ind w:firstLine="551" w:firstLineChars="196"/>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第</w:t>
      </w:r>
      <w:r>
        <w:rPr>
          <w:b/>
          <w:color w:val="000000" w:themeColor="text1"/>
          <w:sz w:val="28"/>
          <w:szCs w:val="28"/>
          <w14:textFill>
            <w14:solidFill>
              <w14:schemeClr w14:val="tx1"/>
            </w14:solidFill>
          </w14:textFill>
        </w:rPr>
        <w:t>16</w:t>
      </w:r>
      <w:r>
        <w:rPr>
          <w:rFonts w:hint="eastAsia"/>
          <w:b/>
          <w:color w:val="000000" w:themeColor="text1"/>
          <w:sz w:val="28"/>
          <w:szCs w:val="28"/>
          <w14:textFill>
            <w14:solidFill>
              <w14:schemeClr w14:val="tx1"/>
            </w14:solidFill>
          </w14:textFill>
        </w:rPr>
        <w:t>条违约、索赔和争议</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16.1</w:t>
      </w:r>
      <w:r>
        <w:rPr>
          <w:rFonts w:hint="eastAsia"/>
          <w:b/>
          <w:color w:val="000000" w:themeColor="text1"/>
          <w:sz w:val="24"/>
          <w14:textFill>
            <w14:solidFill>
              <w14:schemeClr w14:val="tx1"/>
            </w14:solidFill>
          </w14:textFill>
        </w:rPr>
        <w:t>违约责任</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16.1.1</w:t>
      </w:r>
      <w:r>
        <w:rPr>
          <w:rFonts w:hint="eastAsia"/>
          <w:color w:val="000000" w:themeColor="text1"/>
          <w:sz w:val="24"/>
          <w14:textFill>
            <w14:solidFill>
              <w14:schemeClr w14:val="tx1"/>
            </w14:solidFill>
          </w14:textFill>
        </w:rPr>
        <w:t>发包人的违约责任</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当发生下列情况时：</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（1）发包人未能履行5.1..2款、5.2.1款第（1）、（2）项的约定，未能按时提供真实、准确、齐全的工艺技术和（或）建筑设计方案、项目基础资料和现场障碍资料；</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（2）发包人未能按13条的约定调整合同价格，未能按14条有关预付款、工程进度款、竣工结算约定的款项类别、金额、承包人指定的账户和时间支付相应款项；</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（3）发包人未能履行合同中约定的其它责任和义务。</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包人应采取补救措施，并赔偿因上述违约行为给承包人造成的损失。因其违约行为造成工程关键路径延误时，竣工日期顺延。发包人承担违约责任，并不能减轻或免除合同中约定的应由发包人继续履行的其它责任和义务。</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16.1.2</w:t>
      </w:r>
      <w:r>
        <w:rPr>
          <w:rFonts w:hint="eastAsia"/>
          <w:color w:val="000000" w:themeColor="text1"/>
          <w:sz w:val="24"/>
          <w14:textFill>
            <w14:solidFill>
              <w14:schemeClr w14:val="tx1"/>
            </w14:solidFill>
          </w14:textFill>
        </w:rPr>
        <w:t>承包人的违约责任</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当发生下列情况时：</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（1）承包人未能履行第6.2款对其提供的工程物资进行检验的约定、7.5款施工质量与检验的约定，未能修复缺陷；</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（2）承包人经三次试验仍未能通过竣工试验、或经三次试验仍未能通过竣工后试验，导致的工程任何主要部分或整个工程丧失了使用价值、生产价值、使用利益；</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（3）承包人未经发包人同意、或未经必要的许可、或适用法律不允许分包的，将工程分包给他人；</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（4）承包人未能履行合同约定的其他责任和义务。</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承包人应采取补救措施，并赔偿因上述违约行为给发包人造成的损失。承包人承担违约责任，并不能减轻或免除合同中约定的由承包人继续履行的其它责任和义务。</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16.2</w:t>
      </w:r>
      <w:r>
        <w:rPr>
          <w:rFonts w:hint="eastAsia"/>
          <w:b/>
          <w:color w:val="000000" w:themeColor="text1"/>
          <w:sz w:val="24"/>
          <w14:textFill>
            <w14:solidFill>
              <w14:schemeClr w14:val="tx1"/>
            </w14:solidFill>
          </w14:textFill>
        </w:rPr>
        <w:t>索赔</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16.2.1</w:t>
      </w:r>
      <w:r>
        <w:rPr>
          <w:rFonts w:hint="eastAsia"/>
          <w:color w:val="000000" w:themeColor="text1"/>
          <w:sz w:val="24"/>
          <w14:textFill>
            <w14:solidFill>
              <w14:schemeClr w14:val="tx1"/>
            </w14:solidFill>
          </w14:textFill>
        </w:rPr>
        <w:t>发包人的索赔</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包人认为，承包人未能履行合同约定的职责、责任、义务，且根据本合同约定、与本合同有关的文件、资料的相关情况与事项，承包人应承担损失、损害赔偿责任，但承包人未能按合同约定履行其赔偿责任时，发包人有权向承包人提出索赔。索赔依据法律及合同约定，并遵循如下程序进行：</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）发包人应在索赔事件发生后的</w:t>
      </w:r>
      <w:r>
        <w:rPr>
          <w:color w:val="000000" w:themeColor="text1"/>
          <w:sz w:val="24"/>
          <w14:textFill>
            <w14:solidFill>
              <w14:schemeClr w14:val="tx1"/>
            </w14:solidFill>
          </w14:textFill>
        </w:rPr>
        <w:t>30</w:t>
      </w:r>
      <w:r>
        <w:rPr>
          <w:rFonts w:hint="eastAsia"/>
          <w:color w:val="000000" w:themeColor="text1"/>
          <w:sz w:val="24"/>
          <w14:textFill>
            <w14:solidFill>
              <w14:schemeClr w14:val="tx1"/>
            </w14:solidFill>
          </w14:textFill>
        </w:rPr>
        <w:t>日内，向承包人送交索赔通知。未能在索赔事件发生后的</w:t>
      </w:r>
      <w:r>
        <w:rPr>
          <w:color w:val="000000" w:themeColor="text1"/>
          <w:sz w:val="24"/>
          <w14:textFill>
            <w14:solidFill>
              <w14:schemeClr w14:val="tx1"/>
            </w14:solidFill>
          </w14:textFill>
        </w:rPr>
        <w:t xml:space="preserve">30 </w:t>
      </w:r>
      <w:r>
        <w:rPr>
          <w:rFonts w:hint="eastAsia"/>
          <w:color w:val="000000" w:themeColor="text1"/>
          <w:sz w:val="24"/>
          <w14:textFill>
            <w14:solidFill>
              <w14:schemeClr w14:val="tx1"/>
            </w14:solidFill>
          </w14:textFill>
        </w:rPr>
        <w:t>日内发出索赔通知，承包人不再承担任何责任，法律另有规定的除外；</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（2）发包人应在发出索赔通知后的</w:t>
      </w:r>
      <w:r>
        <w:rPr>
          <w:color w:val="000000" w:themeColor="text1"/>
          <w:sz w:val="24"/>
          <w14:textFill>
            <w14:solidFill>
              <w14:schemeClr w14:val="tx1"/>
            </w14:solidFill>
          </w14:textFill>
        </w:rPr>
        <w:t>30</w:t>
      </w:r>
      <w:r>
        <w:rPr>
          <w:rFonts w:hint="eastAsia"/>
          <w:color w:val="000000" w:themeColor="text1"/>
          <w:sz w:val="24"/>
          <w14:textFill>
            <w14:solidFill>
              <w14:schemeClr w14:val="tx1"/>
            </w14:solidFill>
          </w14:textFill>
        </w:rPr>
        <w:t>日内，以书面形式向承包人提供说明索赔事件的正当理由、条款根据、有效的可证实的证据和索赔估算等相关资料；</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（3）承包人应在收到发包人送交的索赔资料后</w:t>
      </w:r>
      <w:r>
        <w:rPr>
          <w:color w:val="000000" w:themeColor="text1"/>
          <w:sz w:val="24"/>
          <w14:textFill>
            <w14:solidFill>
              <w14:schemeClr w14:val="tx1"/>
            </w14:solidFill>
          </w14:textFill>
        </w:rPr>
        <w:t>30</w:t>
      </w:r>
      <w:r>
        <w:rPr>
          <w:rFonts w:hint="eastAsia"/>
          <w:color w:val="000000" w:themeColor="text1"/>
          <w:sz w:val="24"/>
          <w14:textFill>
            <w14:solidFill>
              <w14:schemeClr w14:val="tx1"/>
            </w14:solidFill>
          </w14:textFill>
        </w:rPr>
        <w:t>日内与发包人协商解决，或给予答复，或要求发包人进一步补充提供索赔的理由和证据；</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（4）承包人在收到发包人送交的索赔资料后</w:t>
      </w:r>
      <w:r>
        <w:rPr>
          <w:color w:val="000000" w:themeColor="text1"/>
          <w:sz w:val="24"/>
          <w14:textFill>
            <w14:solidFill>
              <w14:schemeClr w14:val="tx1"/>
            </w14:solidFill>
          </w14:textFill>
        </w:rPr>
        <w:t>30</w:t>
      </w:r>
      <w:r>
        <w:rPr>
          <w:rFonts w:hint="eastAsia"/>
          <w:color w:val="000000" w:themeColor="text1"/>
          <w:sz w:val="24"/>
          <w14:textFill>
            <w14:solidFill>
              <w14:schemeClr w14:val="tx1"/>
            </w14:solidFill>
          </w14:textFill>
        </w:rPr>
        <w:t>日内未与发包人协商、未于答复、或未向发包人提出进一步要求，视为该项索赔已被承包人认可。</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（5）当发包人提出的索赔事件持续影响时，发包人每周应向承包人发出索赔事件的延续影响情况，在该索赔事件延续影响停止后的</w:t>
      </w:r>
      <w:r>
        <w:rPr>
          <w:color w:val="000000" w:themeColor="text1"/>
          <w:sz w:val="24"/>
          <w14:textFill>
            <w14:solidFill>
              <w14:schemeClr w14:val="tx1"/>
            </w14:solidFill>
          </w14:textFill>
        </w:rPr>
        <w:t>30</w:t>
      </w:r>
      <w:r>
        <w:rPr>
          <w:rFonts w:hint="eastAsia"/>
          <w:color w:val="000000" w:themeColor="text1"/>
          <w:sz w:val="24"/>
          <w14:textFill>
            <w14:solidFill>
              <w14:schemeClr w14:val="tx1"/>
            </w14:solidFill>
          </w14:textFill>
        </w:rPr>
        <w:t>日内，发包人应向承包人送交最终索赔报告和最终索赔估算。索赔程序与本款第（1）项至第（4）项的约定相同。</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16.2.2</w:t>
      </w:r>
      <w:r>
        <w:rPr>
          <w:rFonts w:hint="eastAsia"/>
          <w:color w:val="000000" w:themeColor="text1"/>
          <w:sz w:val="24"/>
          <w14:textFill>
            <w14:solidFill>
              <w14:schemeClr w14:val="tx1"/>
            </w14:solidFill>
          </w14:textFill>
        </w:rPr>
        <w:t>承包人的索赔</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认为，发包人未能履行合同约定的职责、责任和义务，且根据本合同的任何条款的约定、与本合同有关的文件、资料的相关情况和事项，发包人应承担损失、损害赔偿责任及延长竣工日期的，发包人未能按合同约定履行其赔偿义务或延长竣工日期时，承包人有权向发包人提出索赔。索赔依据法律和合同约定，并遵循如下程序进行：</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承包人应在索赔事件发生后</w:t>
      </w:r>
      <w:r>
        <w:rPr>
          <w:color w:val="000000" w:themeColor="text1"/>
          <w:sz w:val="24"/>
          <w14:textFill>
            <w14:solidFill>
              <w14:schemeClr w14:val="tx1"/>
            </w14:solidFill>
          </w14:textFill>
        </w:rPr>
        <w:t>30</w:t>
      </w:r>
      <w:r>
        <w:rPr>
          <w:rFonts w:hint="eastAsia"/>
          <w:color w:val="000000" w:themeColor="text1"/>
          <w:sz w:val="24"/>
          <w14:textFill>
            <w14:solidFill>
              <w14:schemeClr w14:val="tx1"/>
            </w14:solidFill>
          </w14:textFill>
        </w:rPr>
        <w:t>日内，向发包人发出索赔通知。未在索赔事件发生后的</w:t>
      </w:r>
      <w:r>
        <w:rPr>
          <w:color w:val="000000" w:themeColor="text1"/>
          <w:sz w:val="24"/>
          <w14:textFill>
            <w14:solidFill>
              <w14:schemeClr w14:val="tx1"/>
            </w14:solidFill>
          </w14:textFill>
        </w:rPr>
        <w:t>30</w:t>
      </w:r>
      <w:r>
        <w:rPr>
          <w:rFonts w:hint="eastAsia"/>
          <w:color w:val="000000" w:themeColor="text1"/>
          <w:sz w:val="24"/>
          <w14:textFill>
            <w14:solidFill>
              <w14:schemeClr w14:val="tx1"/>
            </w14:solidFill>
          </w14:textFill>
        </w:rPr>
        <w:t>日内发出去</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赔通知，发包人不再承担任何责任，法律另有规定除外，</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）承包人应在发出索赔事件通知后的</w:t>
      </w:r>
      <w:r>
        <w:rPr>
          <w:color w:val="000000" w:themeColor="text1"/>
          <w:sz w:val="24"/>
          <w14:textFill>
            <w14:solidFill>
              <w14:schemeClr w14:val="tx1"/>
            </w14:solidFill>
          </w14:textFill>
        </w:rPr>
        <w:t>30</w:t>
      </w:r>
      <w:r>
        <w:rPr>
          <w:rFonts w:hint="eastAsia"/>
          <w:color w:val="000000" w:themeColor="text1"/>
          <w:sz w:val="24"/>
          <w14:textFill>
            <w14:solidFill>
              <w14:schemeClr w14:val="tx1"/>
            </w14:solidFill>
          </w14:textFill>
        </w:rPr>
        <w:t>日内，以书面形式向发包人提交说明索赔事件的正当理由、条款根据、有效的可证实的证据和索赔估算资料的报告；</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）发包人应在收到承包人送交的有关索赔资料的报告后</w:t>
      </w:r>
      <w:r>
        <w:rPr>
          <w:color w:val="000000" w:themeColor="text1"/>
          <w:sz w:val="24"/>
          <w14:textFill>
            <w14:solidFill>
              <w14:schemeClr w14:val="tx1"/>
            </w14:solidFill>
          </w14:textFill>
        </w:rPr>
        <w:t>30</w:t>
      </w:r>
      <w:r>
        <w:rPr>
          <w:rFonts w:hint="eastAsia"/>
          <w:color w:val="000000" w:themeColor="text1"/>
          <w:sz w:val="24"/>
          <w14:textFill>
            <w14:solidFill>
              <w14:schemeClr w14:val="tx1"/>
            </w14:solidFill>
          </w14:textFill>
        </w:rPr>
        <w:t>日内与承包人协商解决，或给予答复，或要求承包人进一步补充索赔理由和证据；</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）发包人在收到承包人按本款第（3）项提交的报告和补充资料后的</w:t>
      </w:r>
      <w:r>
        <w:rPr>
          <w:color w:val="000000" w:themeColor="text1"/>
          <w:sz w:val="24"/>
          <w14:textFill>
            <w14:solidFill>
              <w14:schemeClr w14:val="tx1"/>
            </w14:solidFill>
          </w14:textFill>
        </w:rPr>
        <w:t>30</w:t>
      </w:r>
      <w:r>
        <w:rPr>
          <w:rFonts w:hint="eastAsia"/>
          <w:color w:val="000000" w:themeColor="text1"/>
          <w:sz w:val="24"/>
          <w14:textFill>
            <w14:solidFill>
              <w14:schemeClr w14:val="tx1"/>
            </w14:solidFill>
          </w14:textFill>
        </w:rPr>
        <w:t>日内未与承包人协商、或未予答复、或未向承包人提出进一步补充要求，视为该项索赔已被发包人认可。</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（5）当承包人提出的索赔事件持续影响时，承包人每周应向发包人发出索赔事件的延续影响情况，在该索赔事件延续影响停止后的</w:t>
      </w:r>
      <w:r>
        <w:rPr>
          <w:color w:val="000000" w:themeColor="text1"/>
          <w:sz w:val="24"/>
          <w14:textFill>
            <w14:solidFill>
              <w14:schemeClr w14:val="tx1"/>
            </w14:solidFill>
          </w14:textFill>
        </w:rPr>
        <w:t>30</w:t>
      </w:r>
      <w:r>
        <w:rPr>
          <w:rFonts w:hint="eastAsia"/>
          <w:color w:val="000000" w:themeColor="text1"/>
          <w:sz w:val="24"/>
          <w14:textFill>
            <w14:solidFill>
              <w14:schemeClr w14:val="tx1"/>
            </w14:solidFill>
          </w14:textFill>
        </w:rPr>
        <w:t>日内，承包人向发包人送交最终索赔报告和最终索赔估算。索赔程序与本款第（1）项至第（</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）项的约定相同。</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16.3</w:t>
      </w:r>
      <w:r>
        <w:rPr>
          <w:rFonts w:hint="eastAsia"/>
          <w:b/>
          <w:color w:val="000000" w:themeColor="text1"/>
          <w:sz w:val="24"/>
          <w14:textFill>
            <w14:solidFill>
              <w14:schemeClr w14:val="tx1"/>
            </w14:solidFill>
          </w14:textFill>
        </w:rPr>
        <w:t>争议和裁决</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16.3.1</w:t>
      </w:r>
      <w:r>
        <w:rPr>
          <w:rFonts w:hint="eastAsia"/>
          <w:color w:val="000000" w:themeColor="text1"/>
          <w:sz w:val="24"/>
          <w14:textFill>
            <w14:solidFill>
              <w14:schemeClr w14:val="tx1"/>
            </w14:solidFill>
          </w14:textFill>
        </w:rPr>
        <w:t>争议的解决程序</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根据本合同或与本合同相关的事项所发生的任何索赔争议，合同双方首先应通过友好协商解决。争议的一方，应以书面形式通知另一方，说明争议的内容、细节及因由。在上述书面通知发出之日起的</w:t>
      </w:r>
      <w:r>
        <w:rPr>
          <w:color w:val="000000" w:themeColor="text1"/>
          <w:sz w:val="24"/>
          <w14:textFill>
            <w14:solidFill>
              <w14:schemeClr w14:val="tx1"/>
            </w14:solidFill>
          </w14:textFill>
        </w:rPr>
        <w:t>30</w:t>
      </w:r>
      <w:r>
        <w:rPr>
          <w:rFonts w:hint="eastAsia"/>
          <w:color w:val="000000" w:themeColor="text1"/>
          <w:sz w:val="24"/>
          <w14:textFill>
            <w14:solidFill>
              <w14:schemeClr w14:val="tx1"/>
            </w14:solidFill>
          </w14:textFill>
        </w:rPr>
        <w:t>日内，经友好协商后仍存争议时，合同双方可提请双方一致同意的工程所在地有关单位或权威机构对此项争议进行调解；在争议提交调解之日起</w:t>
      </w:r>
      <w:r>
        <w:rPr>
          <w:color w:val="000000" w:themeColor="text1"/>
          <w:sz w:val="24"/>
          <w14:textFill>
            <w14:solidFill>
              <w14:schemeClr w14:val="tx1"/>
            </w14:solidFill>
          </w14:textFill>
        </w:rPr>
        <w:t>30</w:t>
      </w:r>
      <w:r>
        <w:rPr>
          <w:rFonts w:hint="eastAsia"/>
          <w:color w:val="000000" w:themeColor="text1"/>
          <w:sz w:val="24"/>
          <w14:textFill>
            <w14:solidFill>
              <w14:schemeClr w14:val="tx1"/>
            </w14:solidFill>
          </w14:textFill>
        </w:rPr>
        <w:t>日内，双方仍存争议时，或合同任何一方不同意调解的，按专用条款的约定通过仲裁或诉讼方式解决争议事顷。</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16.3.2</w:t>
      </w:r>
      <w:r>
        <w:rPr>
          <w:rFonts w:hint="eastAsia"/>
          <w:color w:val="000000" w:themeColor="text1"/>
          <w:sz w:val="24"/>
          <w14:textFill>
            <w14:solidFill>
              <w14:schemeClr w14:val="tx1"/>
            </w14:solidFill>
          </w14:textFill>
        </w:rPr>
        <w:t>争议不应影响履约</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发生争议后，须继续履行其合同约定的责任和义务，保持工程继续实施。除非出现下列情况，任何一方不得停止工程或部分工程的实施，</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）当事人一方违约导致合同确已无法履行，经合同双方协议停止实施；</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（2）仲裁机构或法院责令停止实施。</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16.3.3</w:t>
      </w:r>
      <w:r>
        <w:rPr>
          <w:rFonts w:hint="eastAsia"/>
          <w:color w:val="000000" w:themeColor="text1"/>
          <w:sz w:val="24"/>
          <w14:textFill>
            <w14:solidFill>
              <w14:schemeClr w14:val="tx1"/>
            </w14:solidFill>
          </w14:textFill>
        </w:rPr>
        <w:t>停止实施的工程保护</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根据16.3.2款约定，停止实施的工程或部分工程，当事人按合同约定的职责、责任和义务，保护好与合同工程有关的各种文件、资料、图纸、已完工程，以及尚未使用的工程物资。</w:t>
      </w:r>
    </w:p>
    <w:p>
      <w:pPr>
        <w:wordWrap w:val="0"/>
        <w:spacing w:before="120" w:beforeLines="50" w:after="120" w:afterLines="50" w:line="300" w:lineRule="auto"/>
        <w:ind w:firstLine="551" w:firstLineChars="196"/>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第</w:t>
      </w:r>
      <w:r>
        <w:rPr>
          <w:b/>
          <w:color w:val="000000" w:themeColor="text1"/>
          <w:sz w:val="28"/>
          <w:szCs w:val="28"/>
          <w14:textFill>
            <w14:solidFill>
              <w14:schemeClr w14:val="tx1"/>
            </w14:solidFill>
          </w14:textFill>
        </w:rPr>
        <w:t>17</w:t>
      </w:r>
      <w:r>
        <w:rPr>
          <w:rFonts w:hint="eastAsia"/>
          <w:b/>
          <w:color w:val="000000" w:themeColor="text1"/>
          <w:sz w:val="28"/>
          <w:szCs w:val="28"/>
          <w14:textFill>
            <w14:solidFill>
              <w14:schemeClr w14:val="tx1"/>
            </w14:solidFill>
          </w14:textFill>
        </w:rPr>
        <w:t>条不可抗力</w:t>
      </w:r>
    </w:p>
    <w:p>
      <w:pPr>
        <w:wordWrap w:val="0"/>
        <w:spacing w:before="120" w:beforeLines="50" w:after="120" w:afterLines="50" w:line="300" w:lineRule="auto"/>
        <w:ind w:firstLine="472" w:firstLineChars="196"/>
        <w:rPr>
          <w:b/>
          <w:color w:val="000000" w:themeColor="text1"/>
          <w:sz w:val="24"/>
          <w14:textFill>
            <w14:solidFill>
              <w14:schemeClr w14:val="tx1"/>
            </w14:solidFill>
          </w14:textFill>
        </w:rPr>
      </w:pPr>
      <w:r>
        <w:rPr>
          <w:b/>
          <w:color w:val="000000" w:themeColor="text1"/>
          <w:sz w:val="24"/>
          <w14:textFill>
            <w14:solidFill>
              <w14:schemeClr w14:val="tx1"/>
            </w14:solidFill>
          </w14:textFill>
        </w:rPr>
        <w:t>17.</w:t>
      </w:r>
      <w:r>
        <w:rPr>
          <w:rFonts w:hint="eastAsia"/>
          <w:b/>
          <w:color w:val="000000" w:themeColor="text1"/>
          <w:sz w:val="24"/>
          <w14:textFill>
            <w14:solidFill>
              <w14:schemeClr w14:val="tx1"/>
            </w14:solidFill>
          </w14:textFill>
        </w:rPr>
        <w:t xml:space="preserve">1  </w:t>
      </w:r>
      <w:r>
        <w:rPr>
          <w:b/>
          <w:color w:val="000000" w:themeColor="text1"/>
          <w:sz w:val="24"/>
          <w14:textFill>
            <w14:solidFill>
              <w14:schemeClr w14:val="tx1"/>
            </w14:solidFill>
          </w14:textFill>
        </w:rPr>
        <w:t>不可抗力发生</w:t>
      </w:r>
      <w:r>
        <w:rPr>
          <w:rFonts w:hint="eastAsia"/>
          <w:b/>
          <w:color w:val="000000" w:themeColor="text1"/>
          <w:sz w:val="24"/>
          <w14:textFill>
            <w14:solidFill>
              <w14:schemeClr w14:val="tx1"/>
            </w14:solidFill>
          </w14:textFill>
        </w:rPr>
        <w:t>时的义务</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17.</w:t>
      </w: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 xml:space="preserve">.1 </w:t>
      </w:r>
      <w:r>
        <w:rPr>
          <w:rFonts w:hint="eastAsia"/>
          <w:color w:val="000000" w:themeColor="text1"/>
          <w:sz w:val="24"/>
          <w14:textFill>
            <w14:solidFill>
              <w14:schemeClr w14:val="tx1"/>
            </w14:solidFill>
          </w14:textFill>
        </w:rPr>
        <w:t>通知义务</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觉察或发现不可抗力事件发生的一方，有义务立即通知另一方。根据本合同约定，工程现场照管的责任方，在不可抗力事件发生时，应在力所能及的条件下迅速采取措施，尽力减少损失；另一方全力协助并采取措施。需暂停实施的施工或工作，立即停止。</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17.</w:t>
      </w: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.2  通报义务</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工程现场发生</w:t>
      </w:r>
      <w:r>
        <w:rPr>
          <w:color w:val="000000" w:themeColor="text1"/>
          <w:sz w:val="24"/>
          <w14:textFill>
            <w14:solidFill>
              <w14:schemeClr w14:val="tx1"/>
            </w14:solidFill>
          </w14:textFill>
        </w:rPr>
        <w:t>不可抗力</w:t>
      </w:r>
      <w:r>
        <w:rPr>
          <w:rFonts w:hint="eastAsia"/>
          <w:color w:val="000000" w:themeColor="text1"/>
          <w:sz w:val="24"/>
          <w14:textFill>
            <w14:solidFill>
              <w14:schemeClr w14:val="tx1"/>
            </w14:solidFill>
          </w14:textFill>
        </w:rPr>
        <w:t>时，在不可抗力</w:t>
      </w:r>
      <w:r>
        <w:rPr>
          <w:color w:val="000000" w:themeColor="text1"/>
          <w:sz w:val="24"/>
          <w14:textFill>
            <w14:solidFill>
              <w14:schemeClr w14:val="tx1"/>
            </w14:solidFill>
          </w14:textFill>
        </w:rPr>
        <w:t>事件结束后的48小时内，</w:t>
      </w:r>
      <w:r>
        <w:rPr>
          <w:rFonts w:hint="eastAsia"/>
          <w:color w:val="000000" w:themeColor="text1"/>
          <w:sz w:val="24"/>
          <w14:textFill>
            <w14:solidFill>
              <w14:schemeClr w14:val="tx1"/>
            </w14:solidFill>
          </w14:textFill>
        </w:rPr>
        <w:t>承包人（如为工程现场的照管方）须</w:t>
      </w:r>
      <w:r>
        <w:rPr>
          <w:color w:val="000000" w:themeColor="text1"/>
          <w:sz w:val="24"/>
          <w14:textFill>
            <w14:solidFill>
              <w14:schemeClr w14:val="tx1"/>
            </w14:solidFill>
          </w14:textFill>
        </w:rPr>
        <w:t>向发包人通报受害和损失情况。</w:t>
      </w:r>
      <w:r>
        <w:rPr>
          <w:rFonts w:hint="eastAsia"/>
          <w:color w:val="000000" w:themeColor="text1"/>
          <w:sz w:val="24"/>
          <w14:textFill>
            <w14:solidFill>
              <w14:schemeClr w14:val="tx1"/>
            </w14:solidFill>
          </w14:textFill>
        </w:rPr>
        <w:t>当</w:t>
      </w:r>
      <w:r>
        <w:rPr>
          <w:color w:val="000000" w:themeColor="text1"/>
          <w:sz w:val="24"/>
          <w14:textFill>
            <w14:solidFill>
              <w14:schemeClr w14:val="tx1"/>
            </w14:solidFill>
          </w14:textFill>
        </w:rPr>
        <w:t>不可抗力事件持续发生</w:t>
      </w:r>
      <w:r>
        <w:rPr>
          <w:rFonts w:hint="eastAsia"/>
          <w:color w:val="000000" w:themeColor="text1"/>
          <w:sz w:val="24"/>
          <w14:textFill>
            <w14:solidFill>
              <w14:schemeClr w14:val="tx1"/>
            </w14:solidFill>
          </w14:textFill>
        </w:rPr>
        <w:t>时</w:t>
      </w:r>
      <w:r>
        <w:rPr>
          <w:color w:val="000000" w:themeColor="text1"/>
          <w:sz w:val="24"/>
          <w14:textFill>
            <w14:solidFill>
              <w14:schemeClr w14:val="tx1"/>
            </w14:solidFill>
          </w14:textFill>
        </w:rPr>
        <w:t>，承包人每周</w:t>
      </w:r>
      <w:r>
        <w:rPr>
          <w:rFonts w:hint="eastAsia"/>
          <w:color w:val="000000" w:themeColor="text1"/>
          <w:sz w:val="24"/>
          <w14:textFill>
            <w14:solidFill>
              <w14:schemeClr w14:val="tx1"/>
            </w14:solidFill>
          </w14:textFill>
        </w:rPr>
        <w:t>应</w:t>
      </w:r>
      <w:r>
        <w:rPr>
          <w:color w:val="000000" w:themeColor="text1"/>
          <w:sz w:val="24"/>
          <w14:textFill>
            <w14:solidFill>
              <w14:schemeClr w14:val="tx1"/>
            </w14:solidFill>
          </w14:textFill>
        </w:rPr>
        <w:t>向发包人和工程总监报告受害情况。对报告周期另有约定</w:t>
      </w:r>
      <w:r>
        <w:rPr>
          <w:rFonts w:hint="eastAsia"/>
          <w:color w:val="000000" w:themeColor="text1"/>
          <w:sz w:val="24"/>
          <w14:textFill>
            <w14:solidFill>
              <w14:schemeClr w14:val="tx1"/>
            </w14:solidFill>
          </w14:textFill>
        </w:rPr>
        <w:t>时</w:t>
      </w:r>
      <w:r>
        <w:rPr>
          <w:color w:val="000000" w:themeColor="text1"/>
          <w:sz w:val="24"/>
          <w14:textFill>
            <w14:solidFill>
              <w14:schemeClr w14:val="tx1"/>
            </w14:solidFill>
          </w14:textFill>
        </w:rPr>
        <w:t>除外。</w:t>
      </w:r>
    </w:p>
    <w:p>
      <w:pPr>
        <w:wordWrap w:val="0"/>
        <w:spacing w:before="120" w:beforeLines="50" w:after="120" w:afterLines="50" w:line="300" w:lineRule="auto"/>
        <w:ind w:firstLine="472" w:firstLineChars="196"/>
        <w:rPr>
          <w:b/>
          <w:color w:val="000000" w:themeColor="text1"/>
          <w:sz w:val="24"/>
          <w14:textFill>
            <w14:solidFill>
              <w14:schemeClr w14:val="tx1"/>
            </w14:solidFill>
          </w14:textFill>
        </w:rPr>
      </w:pPr>
      <w:r>
        <w:rPr>
          <w:b/>
          <w:color w:val="000000" w:themeColor="text1"/>
          <w:sz w:val="24"/>
          <w14:textFill>
            <w14:solidFill>
              <w14:schemeClr w14:val="tx1"/>
            </w14:solidFill>
          </w14:textFill>
        </w:rPr>
        <w:t>17.</w:t>
      </w:r>
      <w:r>
        <w:rPr>
          <w:rFonts w:hint="eastAsia"/>
          <w:b/>
          <w:color w:val="000000" w:themeColor="text1"/>
          <w:sz w:val="24"/>
          <w14:textFill>
            <w14:solidFill>
              <w14:schemeClr w14:val="tx1"/>
            </w14:solidFill>
          </w14:textFill>
        </w:rPr>
        <w:t>2</w:t>
      </w:r>
      <w:r>
        <w:rPr>
          <w:b/>
          <w:color w:val="000000" w:themeColor="text1"/>
          <w:sz w:val="24"/>
          <w14:textFill>
            <w14:solidFill>
              <w14:schemeClr w14:val="tx1"/>
            </w14:solidFill>
          </w14:textFill>
        </w:rPr>
        <w:t>不可抗力的后果</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因不可抗力事件导致的损失、损害、伤害所发生的费用及延误的竣工日期，按如下约定处理：</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）永久性工程和工程物资等的损失、损害，由发包人承担；</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（2）受雇人员的伤害，分别按照各自的雇用合同关系负责处理；</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（3）承包人的机具、设备、财产和临时工程的损失、损害，由承包人承担；</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（4）承包人的停工损失，由承包人承担；</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（5）不可抗力事件发生后，因一方迟延履行合同约定的保护义务导致的延续损失、损害，由迟延履行义务的一方承担相应责任及其损失；</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（6）发包人通知恢复建设时，承包人应在接到通知后的</w:t>
      </w:r>
      <w:r>
        <w:rPr>
          <w:color w:val="000000" w:themeColor="text1"/>
          <w:sz w:val="24"/>
          <w14:textFill>
            <w14:solidFill>
              <w14:schemeClr w14:val="tx1"/>
            </w14:solidFill>
          </w14:textFill>
        </w:rPr>
        <w:t>20</w:t>
      </w:r>
      <w:r>
        <w:rPr>
          <w:rFonts w:hint="eastAsia"/>
          <w:color w:val="000000" w:themeColor="text1"/>
          <w:sz w:val="24"/>
          <w14:textFill>
            <w14:solidFill>
              <w14:schemeClr w14:val="tx1"/>
            </w14:solidFill>
          </w14:textFill>
        </w:rPr>
        <w:t>日内、或双方根据具体情况约定的时间内，提交清理、修复的方案及其估算，以及进度计划安排的资料和报告，经发包人确认后，所需的清理、修复费用由发包人承担。恢复建设的竣工日期相应顺延。</w:t>
      </w:r>
    </w:p>
    <w:p>
      <w:pPr>
        <w:wordWrap w:val="0"/>
        <w:spacing w:before="120" w:beforeLines="50" w:after="120" w:afterLines="50" w:line="300" w:lineRule="auto"/>
        <w:ind w:firstLine="551" w:firstLineChars="196"/>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第</w:t>
      </w:r>
      <w:r>
        <w:rPr>
          <w:b/>
          <w:color w:val="000000" w:themeColor="text1"/>
          <w:sz w:val="28"/>
          <w:szCs w:val="28"/>
          <w14:textFill>
            <w14:solidFill>
              <w14:schemeClr w14:val="tx1"/>
            </w14:solidFill>
          </w14:textFill>
        </w:rPr>
        <w:t>18</w:t>
      </w:r>
      <w:r>
        <w:rPr>
          <w:rFonts w:hint="eastAsia"/>
          <w:b/>
          <w:color w:val="000000" w:themeColor="text1"/>
          <w:sz w:val="28"/>
          <w:szCs w:val="28"/>
          <w14:textFill>
            <w14:solidFill>
              <w14:schemeClr w14:val="tx1"/>
            </w14:solidFill>
          </w14:textFill>
        </w:rPr>
        <w:t>条合同解除</w:t>
      </w:r>
    </w:p>
    <w:p>
      <w:pPr>
        <w:wordWrap w:val="0"/>
        <w:spacing w:before="120" w:beforeLines="50" w:after="120" w:afterLines="50" w:line="300" w:lineRule="auto"/>
        <w:ind w:firstLine="472" w:firstLineChars="196"/>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18.1由发包人解除合同</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18.1.1通知改正</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承包人未能按合同履行其职责、责任和义务，发包人可通知承包人，在合理的时间内纠正并补救其违约行为。</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18.1.2由发包人解除合同</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发包人有权基于下列原因，以书面形式通知解除合同或解除合同的部分工作。发包人应在发出解除合同通知15日前告知承包人。发包人解除合同并不影响其根据合同约定享有的任何其它权利。</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（1）承包人未能遵守14.2.1款履约保函的约定；</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（2）承包人未能执行18.1.1款通知改正的约定；</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（3）承包人未能遵守3.8.1款至</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8</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4款的有关分包和转包的约定；</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（4）承包人实际进度明显落后于进度计划，发包人指令其采取措施并修正进度计划时，承包人无作为；</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（5）工程质量有严重缺陷，承包人无正当理由使修复开始日期拖延达30日以上；</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（6）承包人明确表示或以自己的行为明显表明不履行合同、或经发包人以书面形式通知其履约后仍未能依约履行合同、或以明显不适当的方式履行合同；</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（7）根据8.6.2款第（4）项（或）和10.8款的约定，未能通过的竣工试验、未能通过的竣工后试验，使工程的任何部分和（或）整个工程丧失了主要使用功能、生产功能；</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（8）承包人破产、停业清理或进入清算程序，或情况表明承包人将进入破产和（或）清算程序。</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发包人不能为另行安排其它承包人实施工程而解除合同或解除合同的部分工作。发包人违反该约定时，承包人有权依据本项约定，提出仲裁或诉讼。</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18.1.3解除合同通知后停止和进行的工作</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承包人收到解除合同通知后的工作。承包人应在解除合同30日内或双方约定的时间内，完成以下工作：</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）除了为保护生命、财产或工程安全、清理和必须执行的工作外，停止执行所有被通知解除的工作；</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（2）将发包人提供的所有信息及承包人为本工程编制的设计文件、技术资料及其它文件移交给发包人。在承包人留有的资料文件中，销毁与发包人提供的所有信息相关的数据及资料的备份；</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w:t>
      </w:r>
      <w:r>
        <w:rPr>
          <w:color w:val="000000" w:themeColor="text1"/>
          <w:sz w:val="24"/>
          <w14:textFill>
            <w14:solidFill>
              <w14:schemeClr w14:val="tx1"/>
            </w14:solidFill>
          </w14:textFill>
        </w:rPr>
        <w:t>移交</w:t>
      </w:r>
      <w:r>
        <w:rPr>
          <w:rFonts w:hint="eastAsia"/>
          <w:color w:val="000000" w:themeColor="text1"/>
          <w:sz w:val="24"/>
          <w14:textFill>
            <w14:solidFill>
              <w14:schemeClr w14:val="tx1"/>
            </w14:solidFill>
          </w14:textFill>
        </w:rPr>
        <w:t>已完成的永久性</w:t>
      </w:r>
      <w:r>
        <w:rPr>
          <w:color w:val="000000" w:themeColor="text1"/>
          <w:sz w:val="24"/>
          <w14:textFill>
            <w14:solidFill>
              <w14:schemeClr w14:val="tx1"/>
            </w14:solidFill>
          </w14:textFill>
        </w:rPr>
        <w:t>工程及</w:t>
      </w:r>
      <w:r>
        <w:rPr>
          <w:rFonts w:hint="eastAsia"/>
          <w:color w:val="000000" w:themeColor="text1"/>
          <w:sz w:val="24"/>
          <w14:textFill>
            <w14:solidFill>
              <w14:schemeClr w14:val="tx1"/>
            </w14:solidFill>
          </w14:textFill>
        </w:rPr>
        <w:t>负责已运抵现场的永久性工程物资。在移交前，</w:t>
      </w:r>
      <w:r>
        <w:rPr>
          <w:color w:val="000000" w:themeColor="text1"/>
          <w:sz w:val="24"/>
          <w14:textFill>
            <w14:solidFill>
              <w14:schemeClr w14:val="tx1"/>
            </w14:solidFill>
          </w14:textFill>
        </w:rPr>
        <w:t>妥善做好已完工程和已运抵</w:t>
      </w:r>
      <w:r>
        <w:rPr>
          <w:rFonts w:hint="eastAsia"/>
          <w:color w:val="000000" w:themeColor="text1"/>
          <w:sz w:val="24"/>
          <w14:textFill>
            <w14:solidFill>
              <w14:schemeClr w14:val="tx1"/>
            </w14:solidFill>
          </w14:textFill>
        </w:rPr>
        <w:t>现场的</w:t>
      </w:r>
      <w:r>
        <w:rPr>
          <w:color w:val="000000" w:themeColor="text1"/>
          <w:sz w:val="24"/>
          <w14:textFill>
            <w14:solidFill>
              <w14:schemeClr w14:val="tx1"/>
            </w14:solidFill>
          </w14:textFill>
        </w:rPr>
        <w:t>永久性工程物资的</w:t>
      </w:r>
      <w:r>
        <w:rPr>
          <w:rFonts w:hint="eastAsia"/>
          <w:color w:val="000000" w:themeColor="text1"/>
          <w:sz w:val="24"/>
          <w14:textFill>
            <w14:solidFill>
              <w14:schemeClr w14:val="tx1"/>
            </w14:solidFill>
          </w14:textFill>
        </w:rPr>
        <w:t>保管、维护和保养；</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（4）移交相应实施阶段已经付款的并已完成的和尚待完成的设计文件、图纸、资料、操作维修手册、施工组织设计、质检资料、竣工资料等；</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向发包人提交全部分包合同及执行情况说明。其中包括：承包人提供的工程物资（含在现场保管的、已经订货的、正在加工的、运输途中的、运抵现场尚未交接的），发包人承担解除合同通知之日之前发生的、合同约定的此类款项。承包人有义务协助并配合处理与其有合同关系的分包人的关系；</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经发包人批准，承包人应将其与被解除合同或被解除合同中的部分工作相关的和正在执行的分包合同及相关的责任和义务转让至发包人和（或）发包人指定方的名下，包括永久性工程及工程物资，以及相关工作；</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（7）承包人按照合同约定，继续履行其未被解除的合同部分工作；</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（8）在解除合同的结算尚未结清之前，承包人不得将其机具、设备、设施、周转材料、措施材料撤离现场和（或）拆除，除非得到发包人同意。</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18.1.4解除日期的结算</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18.1.2款的约定，承包人收到解除合同或解除合同部分工作的通知后，发包人应立即与承包人商定已发生的合同款项，包括14.3款的预付款、14.4款的工程进度款、13.7款的合同价格调整的款项、14.5款的缺陷责任保修金暂扣的款项、16.2.款的索赔款项、本合同补充协议的款项，及合同约定的任何应增减的款项。经双方协商一致的合同款项，作为解除日期的结算资料。</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18.1.5解除合同后的结算</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双方应根据18.1.4款解除合同日期的结算资料，结清双方应收应付款项的余额。此后，发包人应将承包人根据14.2.1款约定提交的履约保函返还给承包人，承包人应将发包人根据14.2.2款约定提交的支付保函返还给发包人。</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（2）如合同解除时仍有未被扣减完的预付款，发包人应根据14.3.3预付款抵扣的约定扣除，并在此后将约定提交的预付款保函返还给承包人。</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（3）发包人尚有其它未能扣减完的应收款余额时，有权从</w:t>
      </w:r>
      <w:r>
        <w:rPr>
          <w:color w:val="000000" w:themeColor="text1"/>
          <w:sz w:val="24"/>
          <w14:textFill>
            <w14:solidFill>
              <w14:schemeClr w14:val="tx1"/>
            </w14:solidFill>
          </w14:textFill>
        </w:rPr>
        <w:t>14.2.1</w:t>
      </w:r>
      <w:r>
        <w:rPr>
          <w:rFonts w:hint="eastAsia"/>
          <w:color w:val="000000" w:themeColor="text1"/>
          <w:sz w:val="24"/>
          <w14:textFill>
            <w14:solidFill>
              <w14:schemeClr w14:val="tx1"/>
            </w14:solidFill>
          </w14:textFill>
        </w:rPr>
        <w:t>款约定的承包人提交的履约保函中扣减，并在此后将履约保函返还给承包人。</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发包人按上述约定扣减后，仍有未能收回的款项时；或合同未能约定提交履约保函和预付款保函时，仍有未能扣减应收款项的余额时，可扣留与应收款价值相当的承包人的机具、设备、设施、周转材料等作为抵偿。</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18.1.6承包人的撤离</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（1）全部合同解除的撤离。承包人有权按18.1.5款第（4）项的约定，承将未被因抵偿扣留的机具、设备、设施等自行撤离现场。并承担撤离和拆除临时设施的费用。发包人为此提供必要条件。</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（2）部分合同解除的撤离。承包人接到发包人发出撤离现场的通知后，将其多余的机具、设备、设施等自费拆除并自费撤离现场（不包括根据18.1.5款第（4）项约定被抵偿的机具等）。发包人为此提供必要条件。</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18.1.7解除合同后继续实施工程的权利。发包人可继续完成工程或委托其他承包人继续完成工程。发包人有权与其它承包人使用已移交的永久性工程的物资，及承包人为本工程编制的设计文件、实施文件及资料，以及使用根据18.1.5款第（4）项约定扣留抵偿的设施、机具和设备。</w:t>
      </w:r>
    </w:p>
    <w:p>
      <w:pPr>
        <w:wordWrap w:val="0"/>
        <w:spacing w:before="120" w:beforeLines="50" w:after="120" w:afterLines="50" w:line="300" w:lineRule="auto"/>
        <w:ind w:firstLine="472" w:firstLineChars="196"/>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18.2由承包人解除合同</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18.2.1由承包人解除合同。基于下列原因，承包人有权以书面形式通知发包人解除合同，但在发出解除合同通知15日前告知发包人：</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（1）发包人延误付款达60日以上，或根据4.</w:t>
      </w:r>
      <w:r>
        <w:rPr>
          <w:rFonts w:hint="eastAsia"/>
          <w:color w:val="000000" w:themeColor="text1"/>
          <w:sz w:val="24"/>
          <w14:textFill>
            <w14:solidFill>
              <w14:schemeClr w14:val="tx1"/>
            </w14:solidFill>
          </w14:textFill>
        </w:rPr>
        <w:t>6</w:t>
      </w:r>
      <w:r>
        <w:rPr>
          <w:color w:val="000000" w:themeColor="text1"/>
          <w:sz w:val="24"/>
          <w14:textFill>
            <w14:solidFill>
              <w14:schemeClr w14:val="tx1"/>
            </w14:solidFill>
          </w14:textFill>
        </w:rPr>
        <w:t>.4款承包人要求复工</w:t>
      </w:r>
      <w:r>
        <w:rPr>
          <w:rFonts w:hint="eastAsia"/>
          <w:color w:val="000000" w:themeColor="text1"/>
          <w:sz w:val="24"/>
          <w14:textFill>
            <w14:solidFill>
              <w14:schemeClr w14:val="tx1"/>
            </w14:solidFill>
          </w14:textFill>
        </w:rPr>
        <w:t>，但发包人在180日内仍未通知复工的</w:t>
      </w:r>
      <w:r>
        <w:rPr>
          <w:color w:val="000000" w:themeColor="text1"/>
          <w:sz w:val="24"/>
          <w14:textFill>
            <w14:solidFill>
              <w14:schemeClr w14:val="tx1"/>
            </w14:solidFill>
          </w14:textFill>
        </w:rPr>
        <w:t>；</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（2）发包人实质上未能根据合同约定履行其义务，影响承包人实施工作停止30日以上；</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（3）发包人未能按</w:t>
      </w:r>
      <w:r>
        <w:rPr>
          <w:rFonts w:hint="eastAsia"/>
          <w:color w:val="000000" w:themeColor="text1"/>
          <w:sz w:val="24"/>
          <w14:textFill>
            <w14:solidFill>
              <w14:schemeClr w14:val="tx1"/>
            </w14:solidFill>
          </w14:textFill>
        </w:rPr>
        <w:t>14.2.2款的</w:t>
      </w:r>
      <w:r>
        <w:rPr>
          <w:color w:val="000000" w:themeColor="text1"/>
          <w:sz w:val="24"/>
          <w14:textFill>
            <w14:solidFill>
              <w14:schemeClr w14:val="tx1"/>
            </w14:solidFill>
          </w14:textFill>
        </w:rPr>
        <w:t>约定提交支付保函；</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（4）出现第17条约定的不可抗力事件，导致继续履行合同主要义务已成为不可能或不必要；</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（5）发包人破产、停业清理或进入清算程序、或情况表明发包人将进入破产和（或）清算程序，或发包人无力支付合同款项。</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发包人接到承包人根据本款第（1）项、（2）项、（3）项解除合同的通知后，发包人随后给予了付款，或同意复工、或继续履行其义务、或提供了支付保函时，承包人</w:t>
      </w:r>
      <w:r>
        <w:rPr>
          <w:rFonts w:hint="eastAsia"/>
          <w:color w:val="000000" w:themeColor="text1"/>
          <w:sz w:val="24"/>
          <w14:textFill>
            <w14:solidFill>
              <w14:schemeClr w14:val="tx1"/>
            </w14:solidFill>
          </w14:textFill>
        </w:rPr>
        <w:t>应</w:t>
      </w:r>
      <w:r>
        <w:rPr>
          <w:color w:val="000000" w:themeColor="text1"/>
          <w:sz w:val="24"/>
          <w14:textFill>
            <w14:solidFill>
              <w14:schemeClr w14:val="tx1"/>
            </w14:solidFill>
          </w14:textFill>
        </w:rPr>
        <w:t>尽快安排并恢复正常工作。因此造成</w:t>
      </w:r>
      <w:r>
        <w:rPr>
          <w:rFonts w:hint="eastAsia"/>
          <w:color w:val="000000" w:themeColor="text1"/>
          <w:sz w:val="24"/>
          <w14:textFill>
            <w14:solidFill>
              <w14:schemeClr w14:val="tx1"/>
            </w14:solidFill>
          </w14:textFill>
        </w:rPr>
        <w:t>关键路线</w:t>
      </w:r>
      <w:r>
        <w:rPr>
          <w:color w:val="000000" w:themeColor="text1"/>
          <w:sz w:val="24"/>
          <w14:textFill>
            <w14:solidFill>
              <w14:schemeClr w14:val="tx1"/>
            </w14:solidFill>
          </w14:textFill>
        </w:rPr>
        <w:t>延误时，竣工日期顺延；</w:t>
      </w:r>
      <w:r>
        <w:rPr>
          <w:rFonts w:hint="eastAsia"/>
          <w:color w:val="000000" w:themeColor="text1"/>
          <w:sz w:val="24"/>
          <w14:textFill>
            <w14:solidFill>
              <w14:schemeClr w14:val="tx1"/>
            </w14:solidFill>
          </w14:textFill>
        </w:rPr>
        <w:t>承包人</w:t>
      </w:r>
      <w:r>
        <w:rPr>
          <w:color w:val="000000" w:themeColor="text1"/>
          <w:sz w:val="24"/>
          <w14:textFill>
            <w14:solidFill>
              <w14:schemeClr w14:val="tx1"/>
            </w14:solidFill>
          </w14:textFill>
        </w:rPr>
        <w:t>因此增加的费用，由发包人承担。</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18.2.2承包人发出解除合同的通知后，有权停止和必须进行的工作如下：</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）除为保护生命、财产、工程安全、清理和必须执行的工作外，停止所有进一步的工作；</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移交</w:t>
      </w:r>
      <w:r>
        <w:rPr>
          <w:rFonts w:hint="eastAsia"/>
          <w:color w:val="000000" w:themeColor="text1"/>
          <w:sz w:val="24"/>
          <w14:textFill>
            <w14:solidFill>
              <w14:schemeClr w14:val="tx1"/>
            </w14:solidFill>
          </w14:textFill>
        </w:rPr>
        <w:t>已完成的永久性</w:t>
      </w:r>
      <w:r>
        <w:rPr>
          <w:color w:val="000000" w:themeColor="text1"/>
          <w:sz w:val="24"/>
          <w14:textFill>
            <w14:solidFill>
              <w14:schemeClr w14:val="tx1"/>
            </w14:solidFill>
          </w14:textFill>
        </w:rPr>
        <w:t>工程及</w:t>
      </w:r>
      <w:r>
        <w:rPr>
          <w:rFonts w:hint="eastAsia"/>
          <w:color w:val="000000" w:themeColor="text1"/>
          <w:sz w:val="24"/>
          <w14:textFill>
            <w14:solidFill>
              <w14:schemeClr w14:val="tx1"/>
            </w14:solidFill>
          </w14:textFill>
        </w:rPr>
        <w:t>承包人提供的工程物资（包括现场保管的、已经订货的、正在加工制造的、正在运输途中的、现场尚未交接的）。在未移交之前，承包人有义务</w:t>
      </w:r>
      <w:r>
        <w:rPr>
          <w:color w:val="000000" w:themeColor="text1"/>
          <w:sz w:val="24"/>
          <w14:textFill>
            <w14:solidFill>
              <w14:schemeClr w14:val="tx1"/>
            </w14:solidFill>
          </w14:textFill>
        </w:rPr>
        <w:t>妥善做好已完工程和已购工程物资</w:t>
      </w:r>
      <w:r>
        <w:rPr>
          <w:rFonts w:hint="eastAsia"/>
          <w:color w:val="000000" w:themeColor="text1"/>
          <w:sz w:val="24"/>
          <w14:textFill>
            <w14:solidFill>
              <w14:schemeClr w14:val="tx1"/>
            </w14:solidFill>
          </w14:textFill>
        </w:rPr>
        <w:t>的保管、维护和保养；</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w:t>
      </w:r>
      <w:r>
        <w:rPr>
          <w:color w:val="000000" w:themeColor="text1"/>
          <w:sz w:val="24"/>
          <w14:textFill>
            <w14:solidFill>
              <w14:schemeClr w14:val="tx1"/>
            </w14:solidFill>
          </w14:textFill>
        </w:rPr>
        <w:t>移交已经付款</w:t>
      </w:r>
      <w:r>
        <w:rPr>
          <w:rFonts w:hint="eastAsia"/>
          <w:color w:val="000000" w:themeColor="text1"/>
          <w:sz w:val="24"/>
          <w14:textFill>
            <w14:solidFill>
              <w14:schemeClr w14:val="tx1"/>
            </w14:solidFill>
          </w14:textFill>
        </w:rPr>
        <w:t>并已经完成和尚待完成</w:t>
      </w:r>
      <w:r>
        <w:rPr>
          <w:color w:val="000000" w:themeColor="text1"/>
          <w:sz w:val="24"/>
          <w14:textFill>
            <w14:solidFill>
              <w14:schemeClr w14:val="tx1"/>
            </w14:solidFill>
          </w14:textFill>
        </w:rPr>
        <w:t>的设计文件、图纸、资料、操作维修手册、施工组织设计、质检资料、竣工资料</w:t>
      </w:r>
      <w:r>
        <w:rPr>
          <w:rFonts w:hint="eastAsia"/>
          <w:color w:val="000000" w:themeColor="text1"/>
          <w:sz w:val="24"/>
          <w14:textFill>
            <w14:solidFill>
              <w14:schemeClr w14:val="tx1"/>
            </w14:solidFill>
          </w14:textFill>
        </w:rPr>
        <w:t>等。应发包人的要求，对已经完成但尚未付款的相关设计文件、图纸和资料等，按商定的价格付款后，承包人按约定的时间提交给发包人。</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（4）向发包人提交全部分包合同及执行情况说明，由发包人承担其费用。</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（5）应发包人的要求，承包人将分包合同转让至发包人和（或）发包人指定方的名下，包括永久性工程及其物资，以及相关工作；</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（6）在承包人自留文件资料中，销毁发包人提供的所有信息及其相关的数据及资料的备份。</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18.2.3解除合同日期的结算资料</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18.2.1款的约定，发包人收到解除合同的通知后，应与承包人商定已发生的工程款项，包括：14.3款预付款、14.4款工程进度款、13.7款合同价格调整的款项、14.5款保修金暂扣与支付的款项、16.2款索赔的款项、本合同补充协议的款项，及合同任何条款约定的增减款项，以及承包人拆除临时设施和机具、设备等撤离到承包人企业所在地的费用（当出现18.2.1款第（4）项不可抗力的情况，撤离费用由承包人承担）。经双方协商一致的合同款项，作为解除日期的结算依据。</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18.2.4解除合同后的结算</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双方应根据18.2.3款解除合同日期的结算资料，结清解除合同时双方的应收应付款项的余额。此后，承包人应将发包人根据14.2.2款约定提交的支付保函返还给发包人，发包人将承包人根据14.2.1款约定提交的履约保函返还给承包人。</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（2）如合同解除时发包人仍有未被扣减完的预付款，发包人可根据14.3.3款预付款抵扣的约定扣除，此后，应将预付款保函返还给承包人。</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（3）如合同解除时承包人尚有其它未能收回的应收款余额，承包人可从</w:t>
      </w:r>
      <w:r>
        <w:rPr>
          <w:color w:val="000000" w:themeColor="text1"/>
          <w:sz w:val="24"/>
          <w14:textFill>
            <w14:solidFill>
              <w14:schemeClr w14:val="tx1"/>
            </w14:solidFill>
          </w14:textFill>
        </w:rPr>
        <w:t>14.2.</w:t>
      </w:r>
      <w:r>
        <w:rPr>
          <w:rFonts w:hint="eastAsia"/>
          <w:color w:val="000000" w:themeColor="text1"/>
          <w:sz w:val="24"/>
          <w14:textFill>
            <w14:solidFill>
              <w14:schemeClr w14:val="tx1"/>
            </w14:solidFill>
          </w14:textFill>
        </w:rPr>
        <w:t>2款约定的发包人提交的支付保函中扣减，此后，应将支付保函返还给发包人。</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（4）如合同解除时承包人尚有其它未能收回的应收款余额，而合同未约定发包人按</w:t>
      </w:r>
      <w:r>
        <w:rPr>
          <w:color w:val="000000" w:themeColor="text1"/>
          <w:sz w:val="24"/>
          <w14:textFill>
            <w14:solidFill>
              <w14:schemeClr w14:val="tx1"/>
            </w14:solidFill>
          </w14:textFill>
        </w:rPr>
        <w:t>14.2.</w:t>
      </w:r>
      <w:r>
        <w:rPr>
          <w:rFonts w:hint="eastAsia"/>
          <w:color w:val="000000" w:themeColor="text1"/>
          <w:sz w:val="24"/>
          <w14:textFill>
            <w14:solidFill>
              <w14:schemeClr w14:val="tx1"/>
            </w14:solidFill>
          </w14:textFill>
        </w:rPr>
        <w:t>2款提交支付保函时，发包人应根据18.2.3款的约定，经协商一致的解除合同日期结算资料后的第1日起，</w:t>
      </w:r>
      <w:r>
        <w:rPr>
          <w:color w:val="000000" w:themeColor="text1"/>
          <w:sz w:val="24"/>
          <w14:textFill>
            <w14:solidFill>
              <w14:schemeClr w14:val="tx1"/>
            </w14:solidFill>
          </w14:textFill>
        </w:rPr>
        <w:t>按中国人民银行同期同类贷款利率，支付拖欠的余额和利息。</w:t>
      </w:r>
      <w:r>
        <w:rPr>
          <w:rFonts w:hint="eastAsia"/>
          <w:color w:val="000000" w:themeColor="text1"/>
          <w:sz w:val="24"/>
          <w14:textFill>
            <w14:solidFill>
              <w14:schemeClr w14:val="tx1"/>
            </w14:solidFill>
          </w14:textFill>
        </w:rPr>
        <w:t>发</w:t>
      </w:r>
      <w:r>
        <w:rPr>
          <w:color w:val="000000" w:themeColor="text1"/>
          <w:sz w:val="24"/>
          <w14:textFill>
            <w14:solidFill>
              <w14:schemeClr w14:val="tx1"/>
            </w14:solidFill>
          </w14:textFill>
        </w:rPr>
        <w:t>包人在</w:t>
      </w:r>
      <w:r>
        <w:rPr>
          <w:rFonts w:hint="eastAsia"/>
          <w:color w:val="000000" w:themeColor="text1"/>
          <w:sz w:val="24"/>
          <w14:textFill>
            <w14:solidFill>
              <w14:schemeClr w14:val="tx1"/>
            </w14:solidFill>
          </w14:textFill>
        </w:rPr>
        <w:t>此后的6</w:t>
      </w:r>
      <w:r>
        <w:rPr>
          <w:color w:val="000000" w:themeColor="text1"/>
          <w:sz w:val="24"/>
          <w14:textFill>
            <w14:solidFill>
              <w14:schemeClr w14:val="tx1"/>
            </w14:solidFill>
          </w14:textFill>
        </w:rPr>
        <w:t>0</w:t>
      </w:r>
      <w:r>
        <w:rPr>
          <w:rFonts w:hint="eastAsia"/>
          <w:color w:val="000000" w:themeColor="text1"/>
          <w:sz w:val="24"/>
          <w14:textFill>
            <w14:solidFill>
              <w14:schemeClr w14:val="tx1"/>
            </w14:solidFill>
          </w14:textFill>
        </w:rPr>
        <w:t>日</w:t>
      </w:r>
      <w:r>
        <w:rPr>
          <w:color w:val="000000" w:themeColor="text1"/>
          <w:sz w:val="24"/>
          <w14:textFill>
            <w14:solidFill>
              <w14:schemeClr w14:val="tx1"/>
            </w14:solidFill>
          </w14:textFill>
        </w:rPr>
        <w:t>内仍未支付，</w:t>
      </w:r>
      <w:r>
        <w:rPr>
          <w:rFonts w:hint="eastAsia"/>
          <w:color w:val="000000" w:themeColor="text1"/>
          <w:sz w:val="24"/>
          <w14:textFill>
            <w14:solidFill>
              <w14:schemeClr w14:val="tx1"/>
            </w14:solidFill>
          </w14:textFill>
        </w:rPr>
        <w:t>承</w:t>
      </w:r>
      <w:r>
        <w:rPr>
          <w:color w:val="000000" w:themeColor="text1"/>
          <w:sz w:val="24"/>
          <w14:textFill>
            <w14:solidFill>
              <w14:schemeClr w14:val="tx1"/>
            </w14:solidFill>
          </w14:textFill>
        </w:rPr>
        <w:t>包人有权根据第16.3款争议和裁决的</w:t>
      </w:r>
      <w:r>
        <w:rPr>
          <w:rFonts w:hint="eastAsia"/>
          <w:color w:val="000000" w:themeColor="text1"/>
          <w:sz w:val="24"/>
          <w14:textFill>
            <w14:solidFill>
              <w14:schemeClr w14:val="tx1"/>
            </w14:solidFill>
          </w14:textFill>
        </w:rPr>
        <w:t>约定</w:t>
      </w:r>
      <w:r>
        <w:rPr>
          <w:color w:val="000000" w:themeColor="text1"/>
          <w:sz w:val="24"/>
          <w14:textFill>
            <w14:solidFill>
              <w14:schemeClr w14:val="tx1"/>
            </w14:solidFill>
          </w14:textFill>
        </w:rPr>
        <w:t>解决。</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（5）如合同解除时承包人尚有未能付给发包人的付款余额，发包人有权根据18.1.5款约定的解除合同后的结算中的第（2）项至第（4）项进行结算。</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18.2.5承包人的撤离。在合同解除后，承包人应将除为安全需要以外的所有其它物资、机具、设备和设施，全部撤离现场。</w:t>
      </w:r>
    </w:p>
    <w:p>
      <w:pPr>
        <w:wordWrap w:val="0"/>
        <w:spacing w:line="300" w:lineRule="auto"/>
        <w:ind w:firstLine="472" w:firstLineChars="196"/>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 xml:space="preserve">18.3  </w:t>
      </w:r>
      <w:r>
        <w:rPr>
          <w:b/>
          <w:color w:val="000000" w:themeColor="text1"/>
          <w:sz w:val="24"/>
          <w14:textFill>
            <w14:solidFill>
              <w14:schemeClr w14:val="tx1"/>
            </w14:solidFill>
          </w14:textFill>
        </w:rPr>
        <w:t>合同解除后的事项</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18.</w:t>
      </w:r>
      <w:r>
        <w:rPr>
          <w:rFonts w:hint="eastAsia"/>
          <w:color w:val="000000" w:themeColor="text1"/>
          <w:sz w:val="24"/>
          <w14:textFill>
            <w14:solidFill>
              <w14:schemeClr w14:val="tx1"/>
            </w14:solidFill>
          </w14:textFill>
        </w:rPr>
        <w:t>3</w:t>
      </w:r>
      <w:r>
        <w:rPr>
          <w:color w:val="000000" w:themeColor="text1"/>
          <w:sz w:val="24"/>
          <w14:textFill>
            <w14:solidFill>
              <w14:schemeClr w14:val="tx1"/>
            </w14:solidFill>
          </w14:textFill>
        </w:rPr>
        <w:t xml:space="preserve">.1  </w:t>
      </w:r>
      <w:r>
        <w:rPr>
          <w:rFonts w:hint="eastAsia"/>
          <w:color w:val="000000" w:themeColor="text1"/>
          <w:sz w:val="24"/>
          <w14:textFill>
            <w14:solidFill>
              <w14:schemeClr w14:val="tx1"/>
            </w14:solidFill>
          </w14:textFill>
        </w:rPr>
        <w:t>付款约定仍然有效</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合同解除后，</w:t>
      </w:r>
      <w:r>
        <w:rPr>
          <w:rFonts w:hint="eastAsia"/>
          <w:color w:val="000000" w:themeColor="text1"/>
          <w:sz w:val="24"/>
          <w14:textFill>
            <w14:solidFill>
              <w14:schemeClr w14:val="tx1"/>
            </w14:solidFill>
          </w14:textFill>
        </w:rPr>
        <w:t>由发包人或由承包人解除合同</w:t>
      </w:r>
      <w:r>
        <w:rPr>
          <w:color w:val="000000" w:themeColor="text1"/>
          <w:sz w:val="24"/>
          <w14:textFill>
            <w14:solidFill>
              <w14:schemeClr w14:val="tx1"/>
            </w14:solidFill>
          </w14:textFill>
        </w:rPr>
        <w:t>的结算及结算后的付款</w:t>
      </w:r>
      <w:r>
        <w:rPr>
          <w:rFonts w:hint="eastAsia"/>
          <w:color w:val="000000" w:themeColor="text1"/>
          <w:sz w:val="24"/>
          <w14:textFill>
            <w14:solidFill>
              <w14:schemeClr w14:val="tx1"/>
            </w14:solidFill>
          </w14:textFill>
        </w:rPr>
        <w:t>约定</w:t>
      </w:r>
      <w:r>
        <w:rPr>
          <w:color w:val="000000" w:themeColor="text1"/>
          <w:sz w:val="24"/>
          <w14:textFill>
            <w14:solidFill>
              <w14:schemeClr w14:val="tx1"/>
            </w14:solidFill>
          </w14:textFill>
        </w:rPr>
        <w:t>仍然有效，直至</w:t>
      </w:r>
      <w:r>
        <w:rPr>
          <w:rFonts w:hint="eastAsia"/>
          <w:color w:val="000000" w:themeColor="text1"/>
          <w:sz w:val="24"/>
          <w14:textFill>
            <w14:solidFill>
              <w14:schemeClr w14:val="tx1"/>
            </w14:solidFill>
          </w14:textFill>
        </w:rPr>
        <w:t>解除合同的结算工作</w:t>
      </w:r>
      <w:r>
        <w:rPr>
          <w:color w:val="000000" w:themeColor="text1"/>
          <w:sz w:val="24"/>
          <w14:textFill>
            <w14:solidFill>
              <w14:schemeClr w14:val="tx1"/>
            </w14:solidFill>
          </w14:textFill>
        </w:rPr>
        <w:t>结清。</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18.</w:t>
      </w:r>
      <w:r>
        <w:rPr>
          <w:rFonts w:hint="eastAsia"/>
          <w:color w:val="000000" w:themeColor="text1"/>
          <w:sz w:val="24"/>
          <w14:textFill>
            <w14:solidFill>
              <w14:schemeClr w14:val="tx1"/>
            </w14:solidFill>
          </w14:textFill>
        </w:rPr>
        <w:t>3</w:t>
      </w:r>
      <w:r>
        <w:rPr>
          <w:color w:val="000000" w:themeColor="text1"/>
          <w:sz w:val="24"/>
          <w14:textFill>
            <w14:solidFill>
              <w14:schemeClr w14:val="tx1"/>
            </w14:solidFill>
          </w14:textFill>
        </w:rPr>
        <w:t>.2  解除合同的争议</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合同</w:t>
      </w:r>
      <w:r>
        <w:rPr>
          <w:rFonts w:hint="eastAsia"/>
          <w:color w:val="000000" w:themeColor="text1"/>
          <w:sz w:val="24"/>
          <w14:textFill>
            <w14:solidFill>
              <w14:schemeClr w14:val="tx1"/>
            </w14:solidFill>
          </w14:textFill>
        </w:rPr>
        <w:t>双</w:t>
      </w:r>
      <w:r>
        <w:rPr>
          <w:color w:val="000000" w:themeColor="text1"/>
          <w:sz w:val="24"/>
          <w14:textFill>
            <w14:solidFill>
              <w14:schemeClr w14:val="tx1"/>
            </w14:solidFill>
          </w14:textFill>
        </w:rPr>
        <w:t>方对解除合同或对解除日期的结算有争议</w:t>
      </w:r>
      <w:r>
        <w:rPr>
          <w:rFonts w:hint="eastAsia"/>
          <w:color w:val="000000" w:themeColor="text1"/>
          <w:sz w:val="24"/>
          <w14:textFill>
            <w14:solidFill>
              <w14:schemeClr w14:val="tx1"/>
            </w14:solidFill>
          </w14:textFill>
        </w:rPr>
        <w:t>的</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应采取</w:t>
      </w:r>
      <w:r>
        <w:rPr>
          <w:color w:val="000000" w:themeColor="text1"/>
          <w:sz w:val="24"/>
          <w14:textFill>
            <w14:solidFill>
              <w14:schemeClr w14:val="tx1"/>
            </w14:solidFill>
          </w14:textFill>
        </w:rPr>
        <w:t>友好协商</w:t>
      </w:r>
      <w:r>
        <w:rPr>
          <w:rFonts w:hint="eastAsia"/>
          <w:color w:val="000000" w:themeColor="text1"/>
          <w:sz w:val="24"/>
          <w14:textFill>
            <w14:solidFill>
              <w14:schemeClr w14:val="tx1"/>
            </w14:solidFill>
          </w14:textFill>
        </w:rPr>
        <w:t>方式</w:t>
      </w:r>
      <w:r>
        <w:rPr>
          <w:color w:val="000000" w:themeColor="text1"/>
          <w:sz w:val="24"/>
          <w14:textFill>
            <w14:solidFill>
              <w14:schemeClr w14:val="tx1"/>
            </w14:solidFill>
          </w14:textFill>
        </w:rPr>
        <w:t>解决。经友好协商仍存在争议、或</w:t>
      </w:r>
      <w:r>
        <w:rPr>
          <w:rFonts w:hint="eastAsia"/>
          <w:color w:val="000000" w:themeColor="text1"/>
          <w:sz w:val="24"/>
          <w14:textFill>
            <w14:solidFill>
              <w14:schemeClr w14:val="tx1"/>
            </w14:solidFill>
          </w14:textFill>
        </w:rPr>
        <w:t>有一方</w:t>
      </w:r>
      <w:r>
        <w:rPr>
          <w:color w:val="000000" w:themeColor="text1"/>
          <w:sz w:val="24"/>
          <w14:textFill>
            <w14:solidFill>
              <w14:schemeClr w14:val="tx1"/>
            </w14:solidFill>
          </w14:textFill>
        </w:rPr>
        <w:t>不接受友好协商</w:t>
      </w:r>
      <w:r>
        <w:rPr>
          <w:rFonts w:hint="eastAsia"/>
          <w:color w:val="000000" w:themeColor="text1"/>
          <w:sz w:val="24"/>
          <w14:textFill>
            <w14:solidFill>
              <w14:schemeClr w14:val="tx1"/>
            </w14:solidFill>
          </w14:textFill>
        </w:rPr>
        <w:t>时</w:t>
      </w:r>
      <w:r>
        <w:rPr>
          <w:color w:val="000000" w:themeColor="text1"/>
          <w:sz w:val="24"/>
          <w14:textFill>
            <w14:solidFill>
              <w14:schemeClr w14:val="tx1"/>
            </w14:solidFill>
          </w14:textFill>
        </w:rPr>
        <w:t>，根据16.3款争议和裁决的</w:t>
      </w:r>
      <w:r>
        <w:rPr>
          <w:rFonts w:hint="eastAsia"/>
          <w:color w:val="000000" w:themeColor="text1"/>
          <w:sz w:val="24"/>
          <w14:textFill>
            <w14:solidFill>
              <w14:schemeClr w14:val="tx1"/>
            </w14:solidFill>
          </w14:textFill>
        </w:rPr>
        <w:t>约定</w:t>
      </w:r>
      <w:r>
        <w:rPr>
          <w:color w:val="000000" w:themeColor="text1"/>
          <w:sz w:val="24"/>
          <w14:textFill>
            <w14:solidFill>
              <w14:schemeClr w14:val="tx1"/>
            </w14:solidFill>
          </w14:textFill>
        </w:rPr>
        <w:t>解决。</w:t>
      </w:r>
    </w:p>
    <w:p>
      <w:pPr>
        <w:wordWrap w:val="0"/>
        <w:spacing w:before="120" w:beforeLines="50" w:after="120" w:afterLines="50"/>
        <w:ind w:firstLine="551" w:firstLineChars="196"/>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第19条合同生效与终止</w:t>
      </w:r>
    </w:p>
    <w:p>
      <w:pPr>
        <w:wordWrap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19.1  合同生效。</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在合同协议书中</w:t>
      </w:r>
      <w:r>
        <w:rPr>
          <w:rFonts w:hint="eastAsia"/>
          <w:color w:val="000000" w:themeColor="text1"/>
          <w:sz w:val="24"/>
          <w14:textFill>
            <w14:solidFill>
              <w14:schemeClr w14:val="tx1"/>
            </w14:solidFill>
          </w14:textFill>
        </w:rPr>
        <w:t>约定</w:t>
      </w:r>
      <w:r>
        <w:rPr>
          <w:color w:val="000000" w:themeColor="text1"/>
          <w:sz w:val="24"/>
          <w14:textFill>
            <w14:solidFill>
              <w14:schemeClr w14:val="tx1"/>
            </w14:solidFill>
          </w14:textFill>
        </w:rPr>
        <w:t>的合同生效条件满足之日生效。</w:t>
      </w:r>
    </w:p>
    <w:p>
      <w:pPr>
        <w:wordWrap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19.2  </w:t>
      </w:r>
      <w:r>
        <w:rPr>
          <w:rFonts w:hint="eastAsia"/>
          <w:b/>
          <w:color w:val="000000" w:themeColor="text1"/>
          <w:sz w:val="24"/>
          <w14:textFill>
            <w14:solidFill>
              <w14:schemeClr w14:val="tx1"/>
            </w14:solidFill>
          </w14:textFill>
        </w:rPr>
        <w:t>合同份数</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合同</w:t>
      </w:r>
      <w:r>
        <w:rPr>
          <w:rFonts w:hint="eastAsia"/>
          <w:color w:val="000000" w:themeColor="text1"/>
          <w:sz w:val="24"/>
          <w14:textFill>
            <w14:solidFill>
              <w14:schemeClr w14:val="tx1"/>
            </w14:solidFill>
          </w14:textFill>
        </w:rPr>
        <w:t>正本、合同副本的份数，及合同双方应持的份数，在专用条款中约定。</w:t>
      </w:r>
    </w:p>
    <w:p>
      <w:pPr>
        <w:wordWrap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19.3  </w:t>
      </w:r>
      <w:r>
        <w:rPr>
          <w:rFonts w:hint="eastAsia"/>
          <w:b/>
          <w:color w:val="000000" w:themeColor="text1"/>
          <w:sz w:val="24"/>
          <w14:textFill>
            <w14:solidFill>
              <w14:schemeClr w14:val="tx1"/>
            </w14:solidFill>
          </w14:textFill>
        </w:rPr>
        <w:t>后合同义务</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合同双方</w:t>
      </w:r>
      <w:r>
        <w:rPr>
          <w:rFonts w:hint="eastAsia"/>
          <w:color w:val="000000" w:themeColor="text1"/>
          <w:sz w:val="24"/>
          <w14:textFill>
            <w14:solidFill>
              <w14:schemeClr w14:val="tx1"/>
            </w14:solidFill>
          </w14:textFill>
        </w:rPr>
        <w:t>应</w:t>
      </w:r>
      <w:r>
        <w:rPr>
          <w:color w:val="000000" w:themeColor="text1"/>
          <w:sz w:val="24"/>
          <w14:textFill>
            <w14:solidFill>
              <w14:schemeClr w14:val="tx1"/>
            </w14:solidFill>
          </w14:textFill>
        </w:rPr>
        <w:t>在合同终止后，遵循诚实信用原则，履行通知、协助、保密等义务。</w:t>
      </w:r>
    </w:p>
    <w:p>
      <w:pPr>
        <w:wordWrap w:val="0"/>
        <w:spacing w:before="120" w:beforeLines="50" w:after="120" w:afterLines="50" w:line="300" w:lineRule="auto"/>
        <w:ind w:firstLine="551" w:firstLineChars="196"/>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第20条补充条款</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双方对本通用条款内容的具体约定、补充或修改在专用条款中约定。</w:t>
      </w:r>
    </w:p>
    <w:p>
      <w:pPr>
        <w:widowControl/>
        <w:wordWrap w:val="0"/>
        <w:jc w:val="left"/>
        <w:rPr>
          <w:b/>
          <w:color w:val="000000" w:themeColor="text1"/>
          <w:sz w:val="44"/>
          <w:szCs w:val="44"/>
          <w14:textFill>
            <w14:solidFill>
              <w14:schemeClr w14:val="tx1"/>
            </w14:solidFill>
          </w14:textFill>
        </w:rPr>
      </w:pPr>
      <w:r>
        <w:rPr>
          <w:b/>
          <w:color w:val="000000" w:themeColor="text1"/>
          <w:sz w:val="44"/>
          <w:szCs w:val="44"/>
          <w14:textFill>
            <w14:solidFill>
              <w14:schemeClr w14:val="tx1"/>
            </w14:solidFill>
          </w14:textFill>
        </w:rPr>
        <w:br w:type="page"/>
      </w:r>
    </w:p>
    <w:p>
      <w:pPr>
        <w:wordWrap w:val="0"/>
        <w:spacing w:before="120" w:beforeLines="50" w:after="120" w:afterLines="50" w:line="300" w:lineRule="auto"/>
        <w:jc w:val="center"/>
        <w:rPr>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第三部分专用条款</w:t>
      </w:r>
    </w:p>
    <w:p>
      <w:pPr>
        <w:wordWrap w:val="0"/>
        <w:spacing w:before="120" w:beforeLines="50" w:after="120" w:afterLines="50" w:line="300" w:lineRule="auto"/>
        <w:ind w:firstLine="551" w:firstLineChars="196"/>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第</w:t>
      </w:r>
      <w:r>
        <w:rPr>
          <w:b/>
          <w:color w:val="000000" w:themeColor="text1"/>
          <w:sz w:val="28"/>
          <w:szCs w:val="28"/>
          <w14:textFill>
            <w14:solidFill>
              <w14:schemeClr w14:val="tx1"/>
            </w14:solidFill>
          </w14:textFill>
        </w:rPr>
        <w:t>1</w:t>
      </w:r>
      <w:r>
        <w:rPr>
          <w:rFonts w:hint="eastAsia"/>
          <w:b/>
          <w:color w:val="000000" w:themeColor="text1"/>
          <w:sz w:val="28"/>
          <w:szCs w:val="28"/>
          <w14:textFill>
            <w14:solidFill>
              <w14:schemeClr w14:val="tx1"/>
            </w14:solidFill>
          </w14:textFill>
        </w:rPr>
        <w:t>条一般规定</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1.1  定义与解释</w:t>
      </w:r>
    </w:p>
    <w:p>
      <w:pPr>
        <w:tabs>
          <w:tab w:val="left" w:pos="1276"/>
        </w:tabs>
        <w:wordWrap w:val="0"/>
        <w:spacing w:before="120" w:beforeLines="50" w:after="120" w:afterLines="50"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1.1.51 双方约定的视为不可抗力时间处理的其它情形如下：</w:t>
      </w:r>
      <w:r>
        <w:rPr>
          <w:rFonts w:hint="eastAsia"/>
          <w:color w:val="000000" w:themeColor="text1"/>
          <w:sz w:val="24"/>
          <w:u w:val="single"/>
          <w14:textFill>
            <w14:solidFill>
              <w14:schemeClr w14:val="tx1"/>
            </w14:solidFill>
          </w14:textFill>
        </w:rPr>
        <w:t xml:space="preserve">  / </w:t>
      </w:r>
      <w:r>
        <w:rPr>
          <w:rFonts w:hint="eastAsia"/>
          <w:color w:val="000000" w:themeColor="text1"/>
          <w:sz w:val="24"/>
          <w14:textFill>
            <w14:solidFill>
              <w14:schemeClr w14:val="tx1"/>
            </w14:solidFill>
          </w14:textFill>
        </w:rPr>
        <w:t xml:space="preserve"> </w:t>
      </w:r>
    </w:p>
    <w:p>
      <w:pPr>
        <w:tabs>
          <w:tab w:val="left" w:pos="1276"/>
        </w:tabs>
        <w:wordWrap w:val="0"/>
        <w:spacing w:before="120" w:beforeLines="50" w:after="120" w:afterLines="50"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不可抗力具体情形包括地震、海啸、瘟疫、骚乱、戒严、暴动、战争。</w:t>
      </w:r>
    </w:p>
    <w:p>
      <w:pPr>
        <w:wordWrap w:val="0"/>
        <w:spacing w:before="120" w:beforeLines="50" w:after="120" w:afterLines="50"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1.1.52 双方根据本合同工程的特点，补充约定的其它定义：</w:t>
      </w:r>
      <w:r>
        <w:rPr>
          <w:rFonts w:hint="eastAsia"/>
          <w:color w:val="000000" w:themeColor="text1"/>
          <w:sz w:val="24"/>
          <w:u w:val="single"/>
          <w14:textFill>
            <w14:solidFill>
              <w14:schemeClr w14:val="tx1"/>
            </w14:solidFill>
          </w14:textFill>
        </w:rPr>
        <w:t xml:space="preserve">  /</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1.3  语言文字</w:t>
      </w:r>
    </w:p>
    <w:p>
      <w:pPr>
        <w:wordWrap w:val="0"/>
        <w:spacing w:before="120" w:beforeLines="50" w:after="120" w:afterLines="50"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本合同除使用汉语外，还使用语言：</w:t>
      </w:r>
      <w:r>
        <w:rPr>
          <w:rFonts w:hint="eastAsia"/>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1.4  适用法律</w:t>
      </w:r>
    </w:p>
    <w:p>
      <w:pPr>
        <w:wordWrap w:val="0"/>
        <w:spacing w:before="120" w:beforeLines="50" w:after="120" w:afterLines="50"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合同双方需要明示的法律、行政法规、地方性法规：</w:t>
      </w:r>
      <w:r>
        <w:rPr>
          <w:rFonts w:hint="eastAsia"/>
          <w:color w:val="000000" w:themeColor="text1"/>
          <w:sz w:val="24"/>
          <w:u w:val="single"/>
          <w14:textFill>
            <w14:solidFill>
              <w14:schemeClr w14:val="tx1"/>
            </w14:solidFill>
          </w14:textFill>
        </w:rPr>
        <w:t>（1）《中华人民共和国合同法》；（2）《中华人民共和国建筑法》；（3）《中华人民共和国招标投标法》；（4）《建筑工程质量管理条例》；（5）《中华人民共和国安全生产法》；（6）《建设工程安全生产管理条例》；（7）国家关于建设工程款结算的有关规定；（8）江苏省、盐城市、大丰区地方法规和及行业、行政主管部门的规定和政策文件及其它相关规定</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1.5  标准、规范</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1.5.1</w:t>
      </w:r>
      <w:r>
        <w:rPr>
          <w:color w:val="000000" w:themeColor="text1"/>
          <w:sz w:val="24"/>
          <w14:textFill>
            <w14:solidFill>
              <w14:schemeClr w14:val="tx1"/>
            </w14:solidFill>
          </w14:textFill>
        </w:rPr>
        <w:t> </w:t>
      </w:r>
      <w:r>
        <w:rPr>
          <w:rFonts w:hint="eastAsia"/>
          <w:color w:val="000000" w:themeColor="text1"/>
          <w:sz w:val="24"/>
          <w14:textFill>
            <w14:solidFill>
              <w14:schemeClr w14:val="tx1"/>
            </w14:solidFill>
          </w14:textFill>
        </w:rPr>
        <w:t>本合同</w:t>
      </w:r>
      <w:r>
        <w:rPr>
          <w:color w:val="000000" w:themeColor="text1"/>
          <w:sz w:val="24"/>
          <w14:textFill>
            <w14:solidFill>
              <w14:schemeClr w14:val="tx1"/>
            </w14:solidFill>
          </w14:textFill>
        </w:rPr>
        <w:t>适用</w:t>
      </w:r>
      <w:r>
        <w:rPr>
          <w:rFonts w:hint="eastAsia"/>
          <w:color w:val="000000" w:themeColor="text1"/>
          <w:sz w:val="24"/>
          <w14:textFill>
            <w14:solidFill>
              <w14:schemeClr w14:val="tx1"/>
            </w14:solidFill>
          </w14:textFill>
        </w:rPr>
        <w:t>的</w:t>
      </w:r>
      <w:r>
        <w:rPr>
          <w:color w:val="000000" w:themeColor="text1"/>
          <w:sz w:val="24"/>
          <w14:textFill>
            <w14:solidFill>
              <w14:schemeClr w14:val="tx1"/>
            </w14:solidFill>
          </w14:textFill>
        </w:rPr>
        <w:t>标准、规范</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名称</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r>
        <w:rPr>
          <w:rFonts w:hint="eastAsia"/>
          <w:color w:val="000000" w:themeColor="text1"/>
          <w:sz w:val="24"/>
          <w:u w:val="single"/>
          <w14:textFill>
            <w14:solidFill>
              <w14:schemeClr w14:val="tx1"/>
            </w14:solidFill>
          </w14:textFill>
        </w:rPr>
        <w:t>以技术规范中各有关部分节所列标准、规范为准；技术规范若有未指明的标准、规范，则为：</w:t>
      </w:r>
    </w:p>
    <w:p>
      <w:pPr>
        <w:wordWrap w:val="0"/>
        <w:spacing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u w:val="single"/>
          <w14:textFill>
            <w14:solidFill>
              <w14:schemeClr w14:val="tx1"/>
            </w14:solidFill>
          </w14:textFill>
        </w:rPr>
        <w:t>适用于工程的国家标准、行业标准和江苏省地方性标准，以及相应的规范、规程等；按国家和江苏省质量评定标准和施工验收规范执行。</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1.5.2  发包人提供的国外标准、规范的名称、份数和时间：</w:t>
      </w:r>
      <w:r>
        <w:rPr>
          <w:rFonts w:hint="eastAsia"/>
          <w:color w:val="000000" w:themeColor="text1"/>
          <w:sz w:val="24"/>
          <w:u w:val="single"/>
          <w14:textFill>
            <w14:solidFill>
              <w14:schemeClr w14:val="tx1"/>
            </w14:solidFill>
          </w14:textFill>
        </w:rPr>
        <w:t>/</w:t>
      </w:r>
    </w:p>
    <w:p>
      <w:pPr>
        <w:wordWrap w:val="0"/>
        <w:spacing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1.5.3  没有成文规范、标准规定的约定：</w:t>
      </w:r>
      <w:r>
        <w:rPr>
          <w:rFonts w:hint="eastAsia"/>
          <w:color w:val="000000" w:themeColor="text1"/>
          <w:sz w:val="24"/>
          <w:u w:val="single"/>
          <w14:textFill>
            <w14:solidFill>
              <w14:schemeClr w14:val="tx1"/>
            </w14:solidFill>
          </w14:textFill>
        </w:rPr>
        <w:t xml:space="preserve">  /    </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发包人的技术要求及提交时间：</w:t>
      </w:r>
      <w:r>
        <w:rPr>
          <w:rFonts w:hint="eastAsia"/>
          <w:color w:val="000000" w:themeColor="text1"/>
          <w:sz w:val="24"/>
          <w:u w:val="single"/>
          <w14:textFill>
            <w14:solidFill>
              <w14:schemeClr w14:val="tx1"/>
            </w14:solidFill>
          </w14:textFill>
        </w:rPr>
        <w:t xml:space="preserve">   /</w:t>
      </w:r>
    </w:p>
    <w:p>
      <w:pPr>
        <w:wordWrap w:val="0"/>
        <w:spacing w:line="300" w:lineRule="auto"/>
        <w:ind w:firstLine="465"/>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承包人提交实施方法的时间：</w:t>
      </w:r>
      <w:r>
        <w:rPr>
          <w:rFonts w:hint="eastAsia"/>
          <w:color w:val="000000" w:themeColor="text1"/>
          <w:sz w:val="24"/>
          <w:u w:val="single"/>
          <w14:textFill>
            <w14:solidFill>
              <w14:schemeClr w14:val="tx1"/>
            </w14:solidFill>
          </w14:textFill>
        </w:rPr>
        <w:t>/</w:t>
      </w:r>
    </w:p>
    <w:p>
      <w:pPr>
        <w:wordWrap w:val="0"/>
        <w:spacing w:line="300" w:lineRule="auto"/>
        <w:ind w:firstLine="465"/>
        <w:rPr>
          <w:color w:val="000000" w:themeColor="text1"/>
          <w:sz w:val="24"/>
          <w:u w:val="single"/>
          <w14:textFill>
            <w14:solidFill>
              <w14:schemeClr w14:val="tx1"/>
            </w14:solidFill>
          </w14:textFill>
        </w:rPr>
      </w:pPr>
      <w:r>
        <w:rPr>
          <w:rFonts w:hint="eastAsia"/>
          <w:color w:val="000000" w:themeColor="text1"/>
          <w:sz w:val="24"/>
          <w:u w:val="single"/>
          <w14:textFill>
            <w14:solidFill>
              <w14:schemeClr w14:val="tx1"/>
            </w14:solidFill>
          </w14:textFill>
        </w:rPr>
        <w:t>承包人需要对实施方法进行研发试验的，或须对施工人员进行特殊培训的，合同价格已包含此项费用外</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1.6  保密事项</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双方签订的商业保密协议（名称）：双方签订合同时另行约定，作为本合同附件。</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双方签订的技术保密协议（名称）：双方签订合同时另行约定，作为本合同附件。</w:t>
      </w:r>
    </w:p>
    <w:p>
      <w:pPr>
        <w:wordWrap w:val="0"/>
        <w:spacing w:before="120" w:beforeLines="50" w:after="120" w:afterLines="50" w:line="300" w:lineRule="auto"/>
        <w:ind w:firstLine="551" w:firstLineChars="196"/>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第</w:t>
      </w:r>
      <w:r>
        <w:rPr>
          <w:b/>
          <w:color w:val="000000" w:themeColor="text1"/>
          <w:sz w:val="28"/>
          <w:szCs w:val="28"/>
          <w14:textFill>
            <w14:solidFill>
              <w14:schemeClr w14:val="tx1"/>
            </w14:solidFill>
          </w14:textFill>
        </w:rPr>
        <w:t>2</w:t>
      </w:r>
      <w:r>
        <w:rPr>
          <w:rFonts w:hint="eastAsia"/>
          <w:b/>
          <w:color w:val="000000" w:themeColor="text1"/>
          <w:sz w:val="28"/>
          <w:szCs w:val="28"/>
          <w14:textFill>
            <w14:solidFill>
              <w14:schemeClr w14:val="tx1"/>
            </w14:solidFill>
          </w14:textFill>
        </w:rPr>
        <w:t>条发包人</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2.2  发包人代表</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发包人代表的姓名：；</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发包人代表的职务：；</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发包人代表的职责：</w:t>
      </w:r>
      <w:r>
        <w:rPr>
          <w:rFonts w:hint="eastAsia"/>
          <w:color w:val="000000" w:themeColor="text1"/>
          <w:sz w:val="24"/>
          <w:u w:val="single"/>
          <w14:textFill>
            <w14:solidFill>
              <w14:schemeClr w14:val="tx1"/>
            </w14:solidFill>
          </w14:textFill>
        </w:rPr>
        <w:t>负责处理合同履行过程中与发包人有关的事宜，对本工程质量、工期、进度、安全、文明施工及材料和设备进场进行监督检查；对涉及工期延长、设计变更和现场收方及签证、已完工程量报告、竣工结算报告等影响工程造价的相关事项作出处理；办理中间交工工程验收手续；协调施工现场及外部有关事宜；对监理工作的进行督查</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2.3  监理人</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2.3.1  监理单位名称</w:t>
      </w:r>
      <w:r>
        <w:rPr>
          <w:rFonts w:hint="eastAsia"/>
          <w:color w:val="000000" w:themeColor="text1"/>
          <w:sz w:val="24"/>
          <w:u w:val="single"/>
          <w14:textFill>
            <w14:solidFill>
              <w14:schemeClr w14:val="tx1"/>
            </w14:solidFill>
          </w14:textFill>
        </w:rPr>
        <w:t>：</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工程总监理姓名：</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监理的范围：</w:t>
      </w:r>
      <w:r>
        <w:rPr>
          <w:rFonts w:hint="eastAsia"/>
          <w:color w:val="000000" w:themeColor="text1"/>
          <w:sz w:val="24"/>
          <w:u w:val="single"/>
          <w14:textFill>
            <w14:solidFill>
              <w14:schemeClr w14:val="tx1"/>
            </w14:solidFill>
          </w14:textFill>
        </w:rPr>
        <w:t>设计、采购、施工、调试</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监理的内容：</w:t>
      </w:r>
      <w:r>
        <w:rPr>
          <w:rFonts w:hint="eastAsia"/>
          <w:color w:val="000000" w:themeColor="text1"/>
          <w:sz w:val="24"/>
          <w:u w:val="single"/>
          <w14:textFill>
            <w14:solidFill>
              <w14:schemeClr w14:val="tx1"/>
            </w14:solidFill>
          </w14:textFill>
        </w:rPr>
        <w:t>对工程全过程质量控制、进度控制、合同管理、信息管理、安全管理、组织协调等</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监理的权限：</w:t>
      </w:r>
      <w:r>
        <w:rPr>
          <w:rFonts w:hint="eastAsia"/>
          <w:color w:val="000000" w:themeColor="text1"/>
          <w:sz w:val="24"/>
          <w:u w:val="single"/>
          <w14:textFill>
            <w14:solidFill>
              <w14:schemeClr w14:val="tx1"/>
            </w14:solidFill>
          </w14:textFill>
        </w:rPr>
        <w:t>对工程投资、质量、进度、安全、变更、合同管理、信息管理等进行全面控制，作好分部分项工程检验、验收及签证，对现场材料、设备进行检查、验收等；须经发包人事先批准行使的权力：开工、停工、复工令的下达， 设计变更和技术核定，现场技术、质量、进度签证、涉及工程造价的签证</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2.</w:t>
      </w:r>
      <w:r>
        <w:rPr>
          <w:rFonts w:hint="eastAsia"/>
          <w:b/>
          <w:color w:val="000000" w:themeColor="text1"/>
          <w:sz w:val="24"/>
          <w14:textFill>
            <w14:solidFill>
              <w14:schemeClr w14:val="tx1"/>
            </w14:solidFill>
          </w14:textFill>
        </w:rPr>
        <w:t>5  保安责任</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2.5.1  现场保安责任的约定。在以下两者中选择其一，作为合同双方对现场保安责任的约定。</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□发包人负责保安的归口管理</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■委托承包人负责保安管理</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2.5.2  保安区域责任划分及双方相关保安制度、责任制度和报告制度的约定：</w:t>
      </w:r>
      <w:r>
        <w:rPr>
          <w:rFonts w:hint="eastAsia"/>
          <w:color w:val="000000" w:themeColor="text1"/>
          <w:sz w:val="24"/>
          <w:u w:val="single"/>
          <w14:textFill>
            <w14:solidFill>
              <w14:schemeClr w14:val="tx1"/>
            </w14:solidFill>
          </w14:textFill>
        </w:rPr>
        <w:t>现场保安区域责任全部由承包人负责，相关制度和报告由承包人制定</w:t>
      </w:r>
    </w:p>
    <w:p>
      <w:pPr>
        <w:wordWrap w:val="0"/>
        <w:spacing w:before="120" w:beforeLines="50" w:after="120" w:afterLines="50" w:line="300" w:lineRule="auto"/>
        <w:ind w:firstLine="602" w:firstLineChars="200"/>
        <w:rPr>
          <w:b/>
          <w:color w:val="000000" w:themeColor="text1"/>
          <w:sz w:val="30"/>
          <w:szCs w:val="30"/>
          <w14:textFill>
            <w14:solidFill>
              <w14:schemeClr w14:val="tx1"/>
            </w14:solidFill>
          </w14:textFill>
        </w:rPr>
      </w:pPr>
      <w:r>
        <w:rPr>
          <w:rFonts w:hint="eastAsia"/>
          <w:b/>
          <w:color w:val="000000" w:themeColor="text1"/>
          <w:sz w:val="30"/>
          <w:szCs w:val="30"/>
          <w14:textFill>
            <w14:solidFill>
              <w14:schemeClr w14:val="tx1"/>
            </w14:solidFill>
          </w14:textFill>
        </w:rPr>
        <w:t>第</w:t>
      </w:r>
      <w:r>
        <w:rPr>
          <w:b/>
          <w:color w:val="000000" w:themeColor="text1"/>
          <w:sz w:val="30"/>
          <w:szCs w:val="30"/>
          <w14:textFill>
            <w14:solidFill>
              <w14:schemeClr w14:val="tx1"/>
            </w14:solidFill>
          </w14:textFill>
        </w:rPr>
        <w:t>3</w:t>
      </w:r>
      <w:r>
        <w:rPr>
          <w:rFonts w:hint="eastAsia"/>
          <w:b/>
          <w:color w:val="000000" w:themeColor="text1"/>
          <w:sz w:val="30"/>
          <w:szCs w:val="30"/>
          <w14:textFill>
            <w14:solidFill>
              <w14:schemeClr w14:val="tx1"/>
            </w14:solidFill>
          </w14:textFill>
        </w:rPr>
        <w:t>条承包人</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3.1</w:t>
      </w:r>
      <w:r>
        <w:rPr>
          <w:rFonts w:hint="eastAsia"/>
          <w:b/>
          <w:color w:val="000000" w:themeColor="text1"/>
          <w:sz w:val="24"/>
          <w14:textFill>
            <w14:solidFill>
              <w14:schemeClr w14:val="tx1"/>
            </w14:solidFill>
          </w14:textFill>
        </w:rPr>
        <w:t>承包人的一般义务和权力</w:t>
      </w:r>
    </w:p>
    <w:p>
      <w:pPr>
        <w:wordWrap w:val="0"/>
        <w:spacing w:before="120" w:beforeLines="50" w:after="120" w:afterLines="50"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3.1.3  经合同双方商定，承包人应提交的报表类别、名称、要求、报告期、提交的时间和份数：</w:t>
      </w:r>
    </w:p>
    <w:p>
      <w:pPr>
        <w:wordWrap w:val="0"/>
        <w:spacing w:before="120" w:beforeLines="50" w:after="120" w:afterLines="50"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（1）承包人应在每月25日前向发包人代表提交3份工程进度计划及相应进度统计报表的月报，每月28日前向发包人代表提交施工月报，份数：三份或按发包人要求提供。</w:t>
      </w:r>
    </w:p>
    <w:p>
      <w:pPr>
        <w:wordWrap w:val="0"/>
        <w:spacing w:before="120" w:beforeLines="50" w:after="120" w:afterLines="50"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u w:val="single"/>
          <w14:textFill>
            <w14:solidFill>
              <w14:schemeClr w14:val="tx1"/>
            </w14:solidFill>
          </w14:textFill>
        </w:rPr>
        <w:t>施工组织设计、施工进度计划等的编制、提交按本合同专用条款第4.4.1条执行。</w:t>
      </w:r>
    </w:p>
    <w:p>
      <w:pPr>
        <w:wordWrap w:val="0"/>
        <w:spacing w:before="120" w:beforeLines="50" w:after="120" w:afterLines="50"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（2）其他各类文件的提交内容以技术规范为准。提交时间：至少有5个工作日的时间供发包人代表审核认可。份数：视发包人代表的需要而定。</w:t>
      </w:r>
    </w:p>
    <w:p>
      <w:pPr>
        <w:wordWrap w:val="0"/>
        <w:spacing w:before="120" w:beforeLines="50" w:after="120" w:afterLines="50"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（3）所有承包人提交的文件或图纸的修改和撤回，必须得到发包人代表的认可。</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3.2</w:t>
      </w:r>
      <w:r>
        <w:rPr>
          <w:rFonts w:hint="eastAsia"/>
          <w:b/>
          <w:color w:val="000000" w:themeColor="text1"/>
          <w:sz w:val="24"/>
          <w14:textFill>
            <w14:solidFill>
              <w14:schemeClr w14:val="tx1"/>
            </w14:solidFill>
          </w14:textFill>
        </w:rPr>
        <w:t>项目经理</w:t>
      </w:r>
    </w:p>
    <w:p>
      <w:pPr>
        <w:wordWrap w:val="0"/>
        <w:spacing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3.2.1  项目经理姓名：</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项目经理职责：</w:t>
      </w:r>
      <w:r>
        <w:rPr>
          <w:rFonts w:hint="eastAsia"/>
          <w:color w:val="000000" w:themeColor="text1"/>
          <w:sz w:val="24"/>
          <w:u w:val="single"/>
          <w14:textFill>
            <w14:solidFill>
              <w14:schemeClr w14:val="tx1"/>
            </w14:solidFill>
          </w14:textFill>
        </w:rPr>
        <w:t>按照合同约定，组织设计、施工，确保安全生产，按期完成、交付合格产品</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项目经理权限：</w:t>
      </w:r>
      <w:r>
        <w:rPr>
          <w:rFonts w:hint="eastAsia"/>
          <w:color w:val="000000" w:themeColor="text1"/>
          <w:sz w:val="24"/>
          <w:u w:val="single"/>
          <w14:textFill>
            <w14:solidFill>
              <w14:schemeClr w14:val="tx1"/>
            </w14:solidFill>
          </w14:textFill>
        </w:rPr>
        <w:t>代表承包人负责整体工程的质量、进度（工期）、安全、合同管理等与工程有关的协调管理、签证索赔等事宜</w:t>
      </w:r>
    </w:p>
    <w:p>
      <w:pPr>
        <w:wordWrap w:val="0"/>
        <w:spacing w:line="300" w:lineRule="auto"/>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因擅自更换项目经理或项目经理兼职其它项目经理的违约约定：</w:t>
      </w:r>
      <w:r>
        <w:rPr>
          <w:rFonts w:hint="eastAsia"/>
          <w:color w:val="000000" w:themeColor="text1"/>
          <w:sz w:val="24"/>
          <w:u w:val="single"/>
          <w14:textFill>
            <w14:solidFill>
              <w14:schemeClr w14:val="tx1"/>
            </w14:solidFill>
          </w14:textFill>
        </w:rPr>
        <w:t>该工程施工过程中项目负责人和投标时确认的项目部成员必须常驻现场实施施工管理，并参与建设单位的日常考勤，每月不得少于25天</w:t>
      </w:r>
    </w:p>
    <w:p>
      <w:pPr>
        <w:wordWrap w:val="0"/>
        <w:spacing w:before="120" w:beforeLines="50" w:after="120" w:afterLines="50"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项目经理每月在现场时间未达到合同约定天数的，每少一天应向发包人支付违约金2000元。</w:t>
      </w:r>
    </w:p>
    <w:p>
      <w:pPr>
        <w:wordWrap w:val="0"/>
        <w:spacing w:before="120" w:beforeLines="50" w:after="120" w:afterLines="50"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经理未经批准，擅自离开施工现场的违约责任：该工程施工过程中，项目经理及项目组成员必须常驻现场实施工程管理，中途如需离岗必须履行书面请假手续报总监并经发包人同意。若未经发包人同意而擅自脱岗，承包人承担违约金，项目经理按2000元/天进行处罚，其他管理人员不在现场，按500元/天进行处罚，从到期的工程款中扣回，若擅自脱岗连续达7天以上的，经发包人提出仍未改正的，发包人有权终止合同，由此给发包人造成损失的，发包人将依法追偿。</w:t>
      </w:r>
    </w:p>
    <w:p>
      <w:pPr>
        <w:wordWrap w:val="0"/>
        <w:spacing w:before="120" w:beforeLines="50" w:after="120" w:afterLines="50"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u w:val="single"/>
          <w14:textFill>
            <w14:solidFill>
              <w14:schemeClr w14:val="tx1"/>
            </w14:solidFill>
          </w14:textFill>
        </w:rPr>
        <w:t>承包人未提交劳动合同，以及没有为项目负责人缴纳社会保险证明的违约责任：一切责任、损失均由承包人承担。</w:t>
      </w:r>
    </w:p>
    <w:p>
      <w:pPr>
        <w:wordWrap w:val="0"/>
        <w:spacing w:before="120" w:beforeLines="50" w:after="120" w:afterLines="50"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u w:val="single"/>
          <w14:textFill>
            <w14:solidFill>
              <w14:schemeClr w14:val="tx1"/>
            </w14:solidFill>
          </w14:textFill>
        </w:rPr>
        <w:t>3.2.3承包人擅自更换项目经理的违约责任：在合同执行期间，若承包人因故对项目部主要人员进行更换，应向发包人提出书面申请，经发包人书面确认后方可更换，更换人员必须满足为本单位在职职工、同等学历、资历、调优配强。不论何种原因更换人员，承包人均需向发包人交纳审查费、违约金【更换经理5万元/人次】，更换后人员的证书交由发包人代管，若擅自更换项目经理，发包人可没收承包人部分履约保证金。在发包人代管期间，若因故确需短期使用证书原件，应由承包人向发包人提出申请，在获得发包人批准后可暂时取回原件，并在使用完成后及时交还。</w:t>
      </w:r>
    </w:p>
    <w:p>
      <w:pPr>
        <w:wordWrap w:val="0"/>
        <w:spacing w:before="120" w:beforeLines="50" w:after="120" w:afterLines="50"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3.2.4发包人有权以书而形式通知更换其认为不称职的项目经理，通知中应当载明要求更换的理由。承包人无正当理由拒绝更换项目经理的违约责任：</w:t>
      </w:r>
      <w:r>
        <w:rPr>
          <w:rFonts w:hint="eastAsia"/>
          <w:color w:val="000000" w:themeColor="text1"/>
          <w:sz w:val="24"/>
          <w:u w:val="single"/>
          <w14:textFill>
            <w14:solidFill>
              <w14:schemeClr w14:val="tx1"/>
            </w14:solidFill>
          </w14:textFill>
        </w:rPr>
        <w:t>发包人保留行使如下全部或部分权利：①没收承包人的全部履约保证金；②终止合同，勒令承包人限期撤出施工人员、施工机械、原材料、成品及半成品；③拒绝承包人已完成工程量的工程款支付请求。</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3.8  分包</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3.3.1  分包约定</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约定的分包工作事项：</w:t>
      </w:r>
      <w:r>
        <w:rPr>
          <w:rFonts w:hint="eastAsia"/>
          <w:color w:val="000000" w:themeColor="text1"/>
          <w:sz w:val="24"/>
          <w:u w:val="single"/>
          <w14:textFill>
            <w14:solidFill>
              <w14:schemeClr w14:val="tx1"/>
            </w14:solidFill>
          </w14:textFill>
        </w:rPr>
        <w:t>未经发包人批准，不得分包</w:t>
      </w:r>
    </w:p>
    <w:p>
      <w:pPr>
        <w:wordWrap w:val="0"/>
        <w:spacing w:before="120" w:beforeLines="50" w:after="120" w:afterLines="50" w:line="300" w:lineRule="auto"/>
        <w:ind w:firstLine="562" w:firstLineChars="200"/>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第4条进度计划、延误和暂停</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4</w:t>
      </w:r>
      <w:r>
        <w:rPr>
          <w:b/>
          <w:color w:val="000000" w:themeColor="text1"/>
          <w:sz w:val="24"/>
          <w14:textFill>
            <w14:solidFill>
              <w14:schemeClr w14:val="tx1"/>
            </w14:solidFill>
          </w14:textFill>
        </w:rPr>
        <w:t>.1</w:t>
      </w:r>
      <w:r>
        <w:rPr>
          <w:rFonts w:hint="eastAsia"/>
          <w:b/>
          <w:color w:val="000000" w:themeColor="text1"/>
          <w:sz w:val="24"/>
          <w14:textFill>
            <w14:solidFill>
              <w14:schemeClr w14:val="tx1"/>
            </w14:solidFill>
          </w14:textFill>
        </w:rPr>
        <w:t>项目进度计划</w:t>
      </w:r>
    </w:p>
    <w:p>
      <w:pPr>
        <w:wordWrap w:val="0"/>
        <w:spacing w:before="120" w:beforeLines="50" w:after="120" w:afterLines="50"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4</w:t>
      </w:r>
      <w:r>
        <w:rPr>
          <w:color w:val="000000" w:themeColor="text1"/>
          <w:sz w:val="24"/>
          <w14:textFill>
            <w14:solidFill>
              <w14:schemeClr w14:val="tx1"/>
            </w14:solidFill>
          </w14:textFill>
        </w:rPr>
        <w:t>.1.1</w:t>
      </w:r>
      <w:r>
        <w:rPr>
          <w:rFonts w:hint="eastAsia"/>
          <w:color w:val="000000" w:themeColor="text1"/>
          <w:sz w:val="24"/>
          <w14:textFill>
            <w14:solidFill>
              <w14:schemeClr w14:val="tx1"/>
            </w14:solidFill>
          </w14:textFill>
        </w:rPr>
        <w:t>项目进度计划中的关键路径及关键路径变化的确定原则：</w:t>
      </w:r>
      <w:r>
        <w:rPr>
          <w:rFonts w:hint="eastAsia"/>
          <w:color w:val="000000" w:themeColor="text1"/>
          <w:sz w:val="24"/>
          <w:u w:val="single"/>
          <w14:textFill>
            <w14:solidFill>
              <w14:schemeClr w14:val="tx1"/>
            </w14:solidFill>
          </w14:textFill>
        </w:rPr>
        <w:t>因不可抗力因素，但必须经发包人签字认可后可适当延长工期，否则不得影响项目进度计划；</w:t>
      </w:r>
    </w:p>
    <w:p>
      <w:pPr>
        <w:wordWrap w:val="0"/>
        <w:spacing w:before="120" w:beforeLines="50" w:after="120" w:afterLines="50"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u w:val="single"/>
          <w14:textFill>
            <w14:solidFill>
              <w14:schemeClr w14:val="tx1"/>
            </w14:solidFill>
          </w14:textFill>
        </w:rPr>
        <w:t>如果工程的实际进度与已经批复的进度计划不符，根据工程师的要求，承包人应按工程师的要求提出改进措施，经工程师确认后执行</w:t>
      </w:r>
    </w:p>
    <w:p>
      <w:pPr>
        <w:wordWrap w:val="0"/>
        <w:spacing w:before="120" w:beforeLines="50" w:after="120" w:afterLines="50"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承包人提交项目进度计划的份数和时间：</w:t>
      </w:r>
      <w:r>
        <w:rPr>
          <w:rFonts w:hint="eastAsia"/>
          <w:color w:val="000000" w:themeColor="text1"/>
          <w:sz w:val="24"/>
          <w:u w:val="single"/>
          <w14:textFill>
            <w14:solidFill>
              <w14:schemeClr w14:val="tx1"/>
            </w14:solidFill>
          </w14:textFill>
        </w:rPr>
        <w:t>承包人应在签订合同后 7天内提交工程总承包组织设计和进度计划，份数：3份或按发包人要求</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4</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2  设计进度计划</w:t>
      </w:r>
    </w:p>
    <w:p>
      <w:pPr>
        <w:wordWrap w:val="0"/>
        <w:spacing w:before="120" w:beforeLines="50" w:after="120" w:afterLines="50"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u w:val="single"/>
          <w14:textFill>
            <w14:solidFill>
              <w14:schemeClr w14:val="tx1"/>
            </w14:solidFill>
          </w14:textFill>
        </w:rPr>
        <w:t>发包人需提供设计基础资料、现场障碍资料等相关资料在本项目招标阶段已经提供，因此，承包人须按约定完成全部设计工作；因承包人原因造成设计延误的，按通用条款4.1.2 款的约定，自费赶上。</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4.</w:t>
      </w:r>
      <w:r>
        <w:rPr>
          <w:rFonts w:hint="eastAsia"/>
          <w:b/>
          <w:color w:val="000000" w:themeColor="text1"/>
          <w:sz w:val="24"/>
          <w14:textFill>
            <w14:solidFill>
              <w14:schemeClr w14:val="tx1"/>
            </w14:solidFill>
          </w14:textFill>
        </w:rPr>
        <w:t>3  采购进度计划</w:t>
      </w:r>
    </w:p>
    <w:p>
      <w:pPr>
        <w:wordWrap w:val="0"/>
        <w:spacing w:before="120" w:beforeLines="50" w:after="120" w:afterLines="50"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4.3.1  采购进度计划提交的份数和日期：</w:t>
      </w:r>
      <w:r>
        <w:rPr>
          <w:rFonts w:hint="eastAsia"/>
          <w:color w:val="000000" w:themeColor="text1"/>
          <w:sz w:val="24"/>
          <w:u w:val="single"/>
          <w14:textFill>
            <w14:solidFill>
              <w14:schemeClr w14:val="tx1"/>
            </w14:solidFill>
          </w14:textFill>
        </w:rPr>
        <w:t>承包人应在签订合同后 7天内提交采购进度计划，份数：3份或按发包人要求</w:t>
      </w:r>
    </w:p>
    <w:p>
      <w:pPr>
        <w:wordWrap w:val="0"/>
        <w:spacing w:before="120" w:beforeLines="50" w:after="120" w:afterLines="50"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4.3.2  采购开始日期：</w:t>
      </w:r>
      <w:r>
        <w:rPr>
          <w:rFonts w:hint="eastAsia"/>
          <w:color w:val="000000" w:themeColor="text1"/>
          <w:sz w:val="24"/>
          <w:u w:val="single"/>
          <w14:textFill>
            <w14:solidFill>
              <w14:schemeClr w14:val="tx1"/>
            </w14:solidFill>
          </w14:textFill>
        </w:rPr>
        <w:t>符合项目的进度要求</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4.4   施工进度计划</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4.4.1  施工进度计划（以表格或文字表述）</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提交关键单项工程施工计划的名称、份数和时间：</w:t>
      </w:r>
      <w:r>
        <w:rPr>
          <w:rFonts w:hint="eastAsia"/>
          <w:color w:val="000000" w:themeColor="text1"/>
          <w:sz w:val="24"/>
          <w:u w:val="single"/>
          <w14:textFill>
            <w14:solidFill>
              <w14:schemeClr w14:val="tx1"/>
            </w14:solidFill>
          </w14:textFill>
        </w:rPr>
        <w:t>现场施工开工15 日前向发包人提交单项工程施工计划，份数：3份或按发包人要求</w:t>
      </w:r>
    </w:p>
    <w:p>
      <w:pPr>
        <w:wordWrap w:val="0"/>
        <w:spacing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提交关键分部分项工程施工计划的名称、份数和时间：</w:t>
      </w:r>
      <w:r>
        <w:rPr>
          <w:rFonts w:hint="eastAsia"/>
          <w:color w:val="000000" w:themeColor="text1"/>
          <w:sz w:val="24"/>
          <w:u w:val="single"/>
          <w14:textFill>
            <w14:solidFill>
              <w14:schemeClr w14:val="tx1"/>
            </w14:solidFill>
          </w14:textFill>
        </w:rPr>
        <w:t>现场施工开工15 日前向发包人提交关键分部分项工程施工计划，份数：3份或按发包人要求。</w:t>
      </w:r>
    </w:p>
    <w:p>
      <w:pPr>
        <w:wordWrap w:val="0"/>
        <w:spacing w:line="300" w:lineRule="auto"/>
        <w:ind w:firstLine="480" w:firstLineChars="200"/>
        <w:rPr>
          <w:color w:val="000000" w:themeColor="text1"/>
          <w:sz w:val="24"/>
          <w14:textFill>
            <w14:solidFill>
              <w14:schemeClr w14:val="tx1"/>
            </w14:solidFill>
          </w14:textFill>
        </w:rPr>
      </w:pP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4.5  误期赔偿</w:t>
      </w:r>
    </w:p>
    <w:p>
      <w:pPr>
        <w:wordWrap w:val="0"/>
        <w:spacing w:before="120" w:beforeLines="50" w:after="120" w:afterLines="50"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（1）因承包人原因使竣工日期延误，每延误1日的误期赔偿金额为2000元，累计最高赔偿金额为合同协议书的合同价格的：10%。</w:t>
      </w:r>
    </w:p>
    <w:p>
      <w:pPr>
        <w:wordWrap w:val="0"/>
        <w:spacing w:line="360" w:lineRule="auto"/>
        <w:ind w:firstLine="480" w:firstLineChars="200"/>
        <w:rPr>
          <w:rFonts w:ascii="宋体" w:hAnsi="宋体"/>
          <w:color w:val="000000" w:themeColor="text1"/>
          <w:szCs w:val="21"/>
          <w:u w:val="single"/>
          <w14:textFill>
            <w14:solidFill>
              <w14:schemeClr w14:val="tx1"/>
            </w14:solidFill>
          </w14:textFill>
        </w:rPr>
      </w:pPr>
      <w:r>
        <w:rPr>
          <w:rFonts w:hint="eastAsia"/>
          <w:color w:val="000000" w:themeColor="text1"/>
          <w:sz w:val="24"/>
          <w14:textFill>
            <w14:solidFill>
              <w14:schemeClr w14:val="tx1"/>
            </w14:solidFill>
          </w14:textFill>
        </w:rPr>
        <w:t>本项目受季节性影响，承包人晚于招标文件规定的工期完工，发包人可拒绝接受工程验收，由此产生的费用损失由承包人承担，给发包人造成损失的，发包人将依法追偿</w:t>
      </w:r>
      <w:r>
        <w:rPr>
          <w:rFonts w:hint="eastAsia" w:ascii="宋体" w:hAnsi="宋体"/>
          <w:color w:val="000000" w:themeColor="text1"/>
          <w:szCs w:val="21"/>
          <w:u w:val="single"/>
          <w14:textFill>
            <w14:solidFill>
              <w14:schemeClr w14:val="tx1"/>
            </w14:solidFill>
          </w14:textFill>
        </w:rPr>
        <w:t>。</w:t>
      </w:r>
    </w:p>
    <w:p>
      <w:pPr>
        <w:wordWrap w:val="0"/>
        <w:spacing w:before="120" w:beforeLines="50" w:after="120" w:afterLines="50" w:line="300" w:lineRule="auto"/>
        <w:ind w:firstLine="480" w:firstLineChars="200"/>
        <w:rPr>
          <w:color w:val="000000" w:themeColor="text1"/>
          <w:sz w:val="24"/>
          <w14:textFill>
            <w14:solidFill>
              <w14:schemeClr w14:val="tx1"/>
            </w14:solidFill>
          </w14:textFill>
        </w:rPr>
      </w:pPr>
      <w:r>
        <w:rPr>
          <w:rFonts w:hint="eastAsia"/>
          <w:color w:val="000000" w:themeColor="text1"/>
          <w:sz w:val="24"/>
          <w:u w:val="single"/>
          <w14:textFill>
            <w14:solidFill>
              <w14:schemeClr w14:val="tx1"/>
            </w14:solidFill>
          </w14:textFill>
        </w:rPr>
        <w:t>误期天数为从规定竣工日期起直到全部工程或相应部分工程的移交报告的批准日期之间的天数（最多不超过90天），超出规定误期天数，发包人有权单方面与承包人解除合同。发包人可从应向承包人支付的任何金额中扣除此项赔偿费或以其他方式收回此款，此赔偿费的支付并不解除承包人应完成工程责任或合同规定的其他责任。</w:t>
      </w:r>
    </w:p>
    <w:p>
      <w:pPr>
        <w:wordWrap w:val="0"/>
        <w:spacing w:before="120" w:beforeLines="50" w:after="120" w:afterLines="50"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u w:val="single"/>
          <w14:textFill>
            <w14:solidFill>
              <w14:schemeClr w14:val="tx1"/>
            </w14:solidFill>
          </w14:textFill>
        </w:rPr>
        <w:t>（2）因以下原因造成工期延误，经工程师确认，工期相应顺延：不可抗力或专用条款约定或工程师认可的其它情况。</w:t>
      </w:r>
    </w:p>
    <w:p>
      <w:pPr>
        <w:wordWrap w:val="0"/>
        <w:spacing w:before="120" w:beforeLines="50" w:after="120" w:afterLines="50"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u w:val="single"/>
          <w14:textFill>
            <w14:solidFill>
              <w14:schemeClr w14:val="tx1"/>
            </w14:solidFill>
          </w14:textFill>
        </w:rPr>
        <w:t>承包人应在上款情况发生后5天内，就延误的工期和因此发生的经济支出向工程师提出书面报告。工程师在收到报告后5天内予以确认，逾期不予确认也不提出修改意见，视为同意顺延工期。</w:t>
      </w:r>
    </w:p>
    <w:p>
      <w:pPr>
        <w:wordWrap w:val="0"/>
        <w:spacing w:before="120" w:beforeLines="50" w:after="120" w:afterLines="50" w:line="300" w:lineRule="auto"/>
        <w:ind w:firstLine="562" w:firstLineChars="200"/>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第</w:t>
      </w:r>
      <w:r>
        <w:rPr>
          <w:b/>
          <w:color w:val="000000" w:themeColor="text1"/>
          <w:sz w:val="28"/>
          <w:szCs w:val="28"/>
          <w14:textFill>
            <w14:solidFill>
              <w14:schemeClr w14:val="tx1"/>
            </w14:solidFill>
          </w14:textFill>
        </w:rPr>
        <w:t>5</w:t>
      </w:r>
      <w:r>
        <w:rPr>
          <w:rFonts w:hint="eastAsia"/>
          <w:b/>
          <w:color w:val="000000" w:themeColor="text1"/>
          <w:sz w:val="28"/>
          <w:szCs w:val="28"/>
          <w14:textFill>
            <w14:solidFill>
              <w14:schemeClr w14:val="tx1"/>
            </w14:solidFill>
          </w14:textFill>
        </w:rPr>
        <w:t>条技术与设计</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5.1  生产工艺技术、建筑艺术造型</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5.1.1  承包人提供的生产工艺技术和（或）建筑设计方案</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根据工程考核特点，在以下类型中选择其一，作为双方的约定。</w:t>
      </w:r>
    </w:p>
    <w:p>
      <w:pPr>
        <w:numPr>
          <w:ilvl w:val="0"/>
          <w:numId w:val="4"/>
        </w:numPr>
        <w:wordWrap w:val="0"/>
        <w:spacing w:line="300" w:lineRule="auto"/>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按工程量考核，工程考核保证值和（或）使用功能说明：</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■按单项工程考核，各单项工程考核保证值和（或）使用功能说明：承包人对其提供的生产工艺技术和（或）建筑设计方案负总责，达到招标需求的使用功能且经验收达到合格标准。</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5.</w:t>
      </w:r>
      <w:r>
        <w:rPr>
          <w:rFonts w:hint="eastAsia"/>
          <w:b/>
          <w:color w:val="000000" w:themeColor="text1"/>
          <w:sz w:val="24"/>
          <w14:textFill>
            <w14:solidFill>
              <w14:schemeClr w14:val="tx1"/>
            </w14:solidFill>
          </w14:textFill>
        </w:rPr>
        <w:t>2设计</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5.2</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发包人的义务</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（1）提供项目基础资料。发包人提供的项目基础资料的类别、内容、份数和时间：招标人时已附在招标文件中</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（2）提供现场障碍资料。发包人提供的现场障碍资料的类别、内容、份数和时间</w:t>
      </w:r>
      <w:r>
        <w:rPr>
          <w:rFonts w:hint="eastAsia"/>
          <w:color w:val="000000" w:themeColor="text1"/>
          <w:sz w:val="24"/>
          <w:u w:val="single"/>
          <w14:textFill>
            <w14:solidFill>
              <w14:schemeClr w14:val="tx1"/>
            </w14:solidFill>
          </w14:textFill>
        </w:rPr>
        <w:t>：承包人在投标时已经踏勘工程现场并已经按照招标文件所附材料取得相应资料。</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5.2.</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承包人的义务</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（1）经合同双方商定，发包人提供的项目基础资料、现场障碍资料的如下部分，可按本款中约定的如下时间期限，提出进一步要求：</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承包人在投标时已经获取发包人按</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款第（</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）项提供与设计有关的项目基础资料、第（</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项提供的与设计有关的现场障碍资料。对这些资料中的短缺、遗漏、错误、疑问，承包人已经在投标前向发包人提出进一步的要求并已经得到有效回复后投标报价。因承包人未能在上述时间内提出要求而发生的损失由承包人自行承担；由此造成工程关键路径延误的，竣工日期不予顺延。其中，对工程场地的基准坐标资料（包括基准控制点、基准控制标高和基准坐标控制线），承包人有义务约定实测复验的时间并纠正其错误（如果有），因承包人对此项工作的延误，导致的费用增加和关键路线延误，由承包人承担。</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5.2.4  操作维修手册</w:t>
      </w:r>
    </w:p>
    <w:p>
      <w:pPr>
        <w:wordWrap w:val="0"/>
        <w:spacing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发包人提交的操作指南、分析手册的份数和提交期限：</w:t>
      </w:r>
      <w:r>
        <w:rPr>
          <w:rFonts w:hint="eastAsia"/>
          <w:color w:val="000000" w:themeColor="text1"/>
          <w:sz w:val="24"/>
          <w:u w:val="single"/>
          <w14:textFill>
            <w14:solidFill>
              <w14:schemeClr w14:val="tx1"/>
            </w14:solidFill>
          </w14:textFill>
        </w:rPr>
        <w:t xml:space="preserve">  /   </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承包人提交的操作维修手册的份数和最终提交期限：</w:t>
      </w:r>
      <w:r>
        <w:rPr>
          <w:rFonts w:hint="eastAsia"/>
          <w:color w:val="000000" w:themeColor="text1"/>
          <w:sz w:val="24"/>
          <w:u w:val="single"/>
          <w14:textFill>
            <w14:solidFill>
              <w14:schemeClr w14:val="tx1"/>
            </w14:solidFill>
          </w14:textFill>
        </w:rPr>
        <w:t>竣工试验前提交，份数;3份或按发包人要求</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5.2.5  设计文件的份数和提交时间</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规划设计阶段设计文件、资料和图纸的份数和提交时间：按发包人（或审查部门）要求提供</w:t>
      </w:r>
    </w:p>
    <w:p>
      <w:pPr>
        <w:wordWrap w:val="0"/>
        <w:spacing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初步设计阶段设计文件、资料和图纸的份数和提交时间：按发包人（或审查部门）要求提供</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技术设计阶段设计文件、资料和图纸的份数和提交时间：按发包人（或审查部门）要求提供</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施工图设计阶段设计文件、资料和图纸的份数和提交时间：按发包人（或审查部门）要求提供</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5</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3  设计阶段审查</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3</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设计审查阶段及审查会议时间</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本工程的设计阶段（名称）：</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设计审查阶段及其审查会议的时间安排：按发包人（或审查部门）要求</w:t>
      </w:r>
    </w:p>
    <w:p>
      <w:pPr>
        <w:wordWrap w:val="0"/>
        <w:spacing w:before="120" w:beforeLines="50" w:after="120" w:afterLines="50" w:line="300" w:lineRule="auto"/>
        <w:ind w:firstLine="562" w:firstLineChars="200"/>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第</w:t>
      </w:r>
      <w:r>
        <w:rPr>
          <w:b/>
          <w:color w:val="000000" w:themeColor="text1"/>
          <w:sz w:val="28"/>
          <w:szCs w:val="28"/>
          <w14:textFill>
            <w14:solidFill>
              <w14:schemeClr w14:val="tx1"/>
            </w14:solidFill>
          </w14:textFill>
        </w:rPr>
        <w:t>6</w:t>
      </w:r>
      <w:r>
        <w:rPr>
          <w:rFonts w:hint="eastAsia"/>
          <w:b/>
          <w:color w:val="000000" w:themeColor="text1"/>
          <w:sz w:val="28"/>
          <w:szCs w:val="28"/>
          <w14:textFill>
            <w14:solidFill>
              <w14:schemeClr w14:val="tx1"/>
            </w14:solidFill>
          </w14:textFill>
        </w:rPr>
        <w:t>条工程物资</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6.1  工程物资的提供</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6.1.1  发包人提供的工程物资</w:t>
      </w:r>
    </w:p>
    <w:p>
      <w:pPr>
        <w:wordWrap w:val="0"/>
        <w:spacing w:line="300" w:lineRule="auto"/>
        <w:ind w:firstLine="600" w:firstLineChars="25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（1）工程物资的类别、估算数量：</w:t>
      </w:r>
      <w:r>
        <w:rPr>
          <w:rFonts w:hint="eastAsia"/>
          <w:color w:val="000000" w:themeColor="text1"/>
          <w:sz w:val="24"/>
          <w:u w:val="single"/>
          <w14:textFill>
            <w14:solidFill>
              <w14:schemeClr w14:val="tx1"/>
            </w14:solidFill>
          </w14:textFill>
        </w:rPr>
        <w:t xml:space="preserve">   /   </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6.1.2  承包人提供的工程物资</w:t>
      </w:r>
    </w:p>
    <w:p>
      <w:pPr>
        <w:wordWrap w:val="0"/>
        <w:spacing w:line="300" w:lineRule="auto"/>
        <w:ind w:firstLine="600" w:firstLineChars="2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（1）工程物资的类别、估算数量：所有材料均由承包人负责组织采购（包括备品备件、专用工具及厂商提供的技术文件），负责运抵现场，并对其需用量、质量检查结果和性能负责。</w:t>
      </w:r>
    </w:p>
    <w:p>
      <w:pPr>
        <w:wordWrap w:val="0"/>
        <w:spacing w:line="300" w:lineRule="auto"/>
        <w:ind w:firstLine="600" w:firstLineChars="2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凡由承包人采购的材料，承包人应按照设计要求、技术标准及招标文件的约定采购符合上述要求的材料。并向招标人提供质量保证书、出厂合格证及现场抽样检测报告等证明材料，对材料质量负责。如不符合质量及技术标准要求或规格有差异的，承包人应按招标人要求的时间将不符合要求的材料运出施工场地，重新采购符合要求的材料。若已使用，由承包人负责整改处理，确保达到要求的质量目标。因使用不符合要求的材料对工程造成的损失由承包人负责，由此延误的工期不予顺延。</w:t>
      </w:r>
    </w:p>
    <w:p>
      <w:pPr>
        <w:wordWrap w:val="0"/>
        <w:spacing w:line="300" w:lineRule="auto"/>
        <w:ind w:firstLine="600" w:firstLineChars="2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包人对本工程的主要材料、设备及供应厂商，进行资格认定（但发包人的资格认定及对本工程的主要材料、设备的检验、验收等质量认可表示，并不免除承包人应承担的质量责任），承包人在采购前应将供应商的有关资料（如质保书、准用证、生产许可证等）报监理单位审查（监理、发包人有权要求对供应商进行考察评审），并经发包人批准后方可采购。否则，发包人有权不予验收进场，由此造成的损失由承包人自负，工期不予顺延。</w:t>
      </w:r>
    </w:p>
    <w:p>
      <w:pPr>
        <w:wordWrap w:val="0"/>
        <w:spacing w:line="300" w:lineRule="auto"/>
        <w:ind w:firstLine="600" w:firstLineChars="2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未经监理、发包人代表书面认可的上述主要材料不得用于本工程，否则发包人将按承包人投标书中的质量承诺要求承包人支付违约金，该款项从工程款中直接扣除，并保留进一步追究承包人违约责任的权利。承包人在采购成批材料、设备时必须要预先交监理、发包人代表确认，并要拿样品封样。</w:t>
      </w:r>
    </w:p>
    <w:p>
      <w:pPr>
        <w:wordWrap w:val="0"/>
        <w:spacing w:line="300" w:lineRule="auto"/>
        <w:ind w:firstLine="600" w:firstLineChars="2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在施工过程中所使用的建筑材料、构配件不论是否履行了质量确认手续，发包人均可视需要进行抽查或送专业检验部门检验，如存在不合格的，应按监理工程师发出的书面通知立即进行更换、拆除、重建，工期不予顺延，并由承包人承担全部责任和送检费用。</w:t>
      </w:r>
    </w:p>
    <w:p>
      <w:pPr>
        <w:wordWrap w:val="0"/>
        <w:spacing w:line="300" w:lineRule="auto"/>
        <w:ind w:firstLine="600" w:firstLineChars="25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（3）竣工后试验的生产性材料的类别或（和）清单：</w:t>
      </w:r>
      <w:r>
        <w:rPr>
          <w:rFonts w:hint="eastAsia"/>
          <w:color w:val="000000" w:themeColor="text1"/>
          <w:sz w:val="24"/>
          <w:u w:val="single"/>
          <w14:textFill>
            <w14:solidFill>
              <w14:schemeClr w14:val="tx1"/>
            </w14:solidFill>
          </w14:textFill>
        </w:rPr>
        <w:t xml:space="preserve">  /   </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6.2  检验</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6.2.1  工程检验与报告</w:t>
      </w:r>
    </w:p>
    <w:p>
      <w:pPr>
        <w:wordWrap w:val="0"/>
        <w:spacing w:line="300" w:lineRule="auto"/>
        <w:ind w:firstLine="480" w:firstLineChars="200"/>
        <w:rPr>
          <w:b/>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（1）报告提交日记、报告内容和提交份数：</w:t>
      </w:r>
      <w:r>
        <w:rPr>
          <w:rFonts w:hint="eastAsia"/>
          <w:color w:val="000000" w:themeColor="text1"/>
          <w:sz w:val="24"/>
          <w:u w:val="single"/>
          <w14:textFill>
            <w14:solidFill>
              <w14:schemeClr w14:val="tx1"/>
            </w14:solidFill>
          </w14:textFill>
        </w:rPr>
        <w:t>按最新标准要求提交</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6.3  进口工程物资的采购、</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6.3.1  采购责任方及采购方式：</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工程物资的进口采购责任方：</w:t>
      </w:r>
      <w:r>
        <w:rPr>
          <w:rFonts w:hint="eastAsia"/>
          <w:color w:val="000000" w:themeColor="text1"/>
          <w:sz w:val="24"/>
          <w:u w:val="single"/>
          <w14:textFill>
            <w14:solidFill>
              <w14:schemeClr w14:val="tx1"/>
            </w14:solidFill>
          </w14:textFill>
        </w:rPr>
        <w:t>承包人</w:t>
      </w:r>
    </w:p>
    <w:p>
      <w:pPr>
        <w:wordWrap w:val="0"/>
        <w:spacing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采购方式：</w:t>
      </w:r>
      <w:r>
        <w:rPr>
          <w:rFonts w:hint="eastAsia"/>
          <w:color w:val="000000" w:themeColor="text1"/>
          <w:sz w:val="24"/>
          <w:u w:val="single"/>
          <w14:textFill>
            <w14:solidFill>
              <w14:schemeClr w14:val="tx1"/>
            </w14:solidFill>
          </w14:textFill>
        </w:rPr>
        <w:t>承包人组织</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6.6  工程物资保管与剩余</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6.6.1  工程物资保管</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委托承包人保管的工程物资的类别和估算数量：</w:t>
      </w:r>
      <w:r>
        <w:rPr>
          <w:rFonts w:hint="eastAsia"/>
          <w:color w:val="000000" w:themeColor="text1"/>
          <w:sz w:val="24"/>
          <w:u w:val="single"/>
          <w14:textFill>
            <w14:solidFill>
              <w14:schemeClr w14:val="tx1"/>
            </w14:solidFill>
          </w14:textFill>
        </w:rPr>
        <w:t>所有材料、设备</w:t>
      </w:r>
    </w:p>
    <w:p>
      <w:pPr>
        <w:wordWrap w:val="0"/>
        <w:spacing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承包人提交保管、维护方案的时间：</w:t>
      </w:r>
      <w:r>
        <w:rPr>
          <w:rFonts w:hint="eastAsia"/>
          <w:color w:val="000000" w:themeColor="text1"/>
          <w:sz w:val="24"/>
          <w:u w:val="single"/>
          <w14:textFill>
            <w14:solidFill>
              <w14:schemeClr w14:val="tx1"/>
            </w14:solidFill>
          </w14:textFill>
        </w:rPr>
        <w:t>提交工程总承包管理方案时一并提交或按发包人要求</w:t>
      </w:r>
    </w:p>
    <w:p>
      <w:pPr>
        <w:wordWrap w:val="0"/>
        <w:spacing w:line="300" w:lineRule="auto"/>
        <w:rPr>
          <w:color w:val="000000" w:themeColor="text1"/>
          <w:sz w:val="24"/>
          <w14:textFill>
            <w14:solidFill>
              <w14:schemeClr w14:val="tx1"/>
            </w14:solidFill>
          </w14:textFill>
        </w:rPr>
      </w:pPr>
    </w:p>
    <w:p>
      <w:pPr>
        <w:wordWrap w:val="0"/>
        <w:spacing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由发包人提供的库房、堆场、设施及设备：</w:t>
      </w:r>
      <w:r>
        <w:rPr>
          <w:rFonts w:hint="eastAsia"/>
          <w:color w:val="000000" w:themeColor="text1"/>
          <w:sz w:val="24"/>
          <w:u w:val="single"/>
          <w14:textFill>
            <w14:solidFill>
              <w14:schemeClr w14:val="tx1"/>
            </w14:solidFill>
          </w14:textFill>
        </w:rPr>
        <w:t xml:space="preserve">   /    </w:t>
      </w:r>
    </w:p>
    <w:p>
      <w:pPr>
        <w:wordWrap w:val="0"/>
        <w:spacing w:before="120" w:beforeLines="50" w:after="120" w:afterLines="50" w:line="300" w:lineRule="auto"/>
        <w:ind w:firstLine="562" w:firstLineChars="200"/>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第</w:t>
      </w:r>
      <w:r>
        <w:rPr>
          <w:b/>
          <w:color w:val="000000" w:themeColor="text1"/>
          <w:sz w:val="28"/>
          <w:szCs w:val="28"/>
          <w14:textFill>
            <w14:solidFill>
              <w14:schemeClr w14:val="tx1"/>
            </w14:solidFill>
          </w14:textFill>
        </w:rPr>
        <w:t>7</w:t>
      </w:r>
      <w:r>
        <w:rPr>
          <w:rFonts w:hint="eastAsia"/>
          <w:b/>
          <w:color w:val="000000" w:themeColor="text1"/>
          <w:sz w:val="28"/>
          <w:szCs w:val="28"/>
          <w14:textFill>
            <w14:solidFill>
              <w14:schemeClr w14:val="tx1"/>
            </w14:solidFill>
          </w14:textFill>
        </w:rPr>
        <w:t>条施工</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7.1  发包人的义务</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7.1.3  进场条件和进场日期</w:t>
      </w:r>
    </w:p>
    <w:p>
      <w:pPr>
        <w:wordWrap w:val="0"/>
        <w:spacing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承包人的进场条件：</w:t>
      </w:r>
      <w:r>
        <w:rPr>
          <w:rFonts w:hint="eastAsia"/>
          <w:color w:val="000000" w:themeColor="text1"/>
          <w:sz w:val="24"/>
          <w:u w:val="single"/>
          <w14:textFill>
            <w14:solidFill>
              <w14:schemeClr w14:val="tx1"/>
            </w14:solidFill>
          </w14:textFill>
        </w:rPr>
        <w:t>本项目工程招标时发包人已经要求承包人在投标截止期前到工程实施现场进行踏勘，施工用临时接水、接电及场内外运输、通行所需的条件等均由承包人自行解决，由此发生的费用已经包含在签约合同价中；</w:t>
      </w:r>
    </w:p>
    <w:p>
      <w:pPr>
        <w:wordWrap w:val="0"/>
        <w:spacing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u w:val="single"/>
          <w14:textFill>
            <w14:solidFill>
              <w14:schemeClr w14:val="tx1"/>
            </w14:solidFill>
          </w14:textFill>
        </w:rPr>
        <w:t>鉴于发包人在招标时提供给承包人现场勘察的机会，承包人应接受项目招标时的现场施工条件，并应自费消除影响工程进行的先前留在现场的任何垃圾和残留物。承包人以不知道现场或现有建筑物、或在建工程对本工程可能造成影响等情况为借口而做出的额外索赔或延长完工期限的要求将不予批准。</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承包人的进场日期：</w:t>
      </w:r>
      <w:r>
        <w:rPr>
          <w:rFonts w:hint="eastAsia"/>
          <w:color w:val="000000" w:themeColor="text1"/>
          <w:sz w:val="24"/>
          <w:u w:val="single"/>
          <w14:textFill>
            <w14:solidFill>
              <w14:schemeClr w14:val="tx1"/>
            </w14:solidFill>
          </w14:textFill>
        </w:rPr>
        <w:t>按发包人要求</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7.1.4  临时用水电等提供和节点铺设：</w:t>
      </w:r>
      <w:r>
        <w:rPr>
          <w:rFonts w:hint="eastAsia"/>
          <w:color w:val="000000" w:themeColor="text1"/>
          <w:sz w:val="24"/>
          <w:u w:val="single"/>
          <w14:textFill>
            <w14:solidFill>
              <w14:schemeClr w14:val="tx1"/>
            </w14:solidFill>
          </w14:textFill>
        </w:rPr>
        <w:t>详见上述专用条款7.1.3条</w:t>
      </w:r>
    </w:p>
    <w:p>
      <w:pPr>
        <w:wordWrap w:val="0"/>
        <w:spacing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发包人提供的临时用水、用电等类别、取费单价：</w:t>
      </w:r>
      <w:r>
        <w:rPr>
          <w:rFonts w:hint="eastAsia"/>
          <w:color w:val="000000" w:themeColor="text1"/>
          <w:sz w:val="24"/>
          <w:u w:val="single"/>
          <w14:textFill>
            <w14:solidFill>
              <w14:schemeClr w14:val="tx1"/>
            </w14:solidFill>
          </w14:textFill>
        </w:rPr>
        <w:t>按实际计量收费，取费单价以当地实际价格为准</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7.1.5  办理开工等批准手续：</w:t>
      </w:r>
      <w:r>
        <w:rPr>
          <w:rFonts w:hint="eastAsia"/>
          <w:color w:val="000000" w:themeColor="text1"/>
          <w:sz w:val="24"/>
          <w:u w:val="single"/>
          <w14:textFill>
            <w14:solidFill>
              <w14:schemeClr w14:val="tx1"/>
            </w14:solidFill>
          </w14:textFill>
        </w:rPr>
        <w:t>双方约定施工许可相关手续由承包人负责办理, 甲方协助，各部门所征收费用按相关规定各自承担（发包人提供各项配合）；质监手续及其它施工所需证件，均由承包人办理</w:t>
      </w:r>
    </w:p>
    <w:p>
      <w:pPr>
        <w:wordWrap w:val="0"/>
        <w:spacing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7.1.10  由发包人履行的其它义务：</w:t>
      </w:r>
    </w:p>
    <w:p>
      <w:pPr>
        <w:wordWrap w:val="0"/>
        <w:spacing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u w:val="single"/>
          <w14:textFill>
            <w14:solidFill>
              <w14:schemeClr w14:val="tx1"/>
            </w14:solidFill>
          </w14:textFill>
        </w:rPr>
        <w:t>（1）施工场地具备施工条件的要求及完成时间：施工场地已具备施工条件。</w:t>
      </w:r>
    </w:p>
    <w:p>
      <w:pPr>
        <w:wordWrap w:val="0"/>
        <w:spacing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u w:val="single"/>
          <w14:textFill>
            <w14:solidFill>
              <w14:schemeClr w14:val="tx1"/>
            </w14:solidFill>
          </w14:textFill>
        </w:rPr>
        <w:t>（2）施工所需水、电、通讯等管网线路接至施工现场的时间、地点和供应要求：供电到发包人总配电箱；施工所需水、电、通讯等管网线路由承包人自行解决，达到施工要求的标准，满足施工需要，费用已列入投标报价中，电按表计量，费用由承包人负担。</w:t>
      </w:r>
    </w:p>
    <w:p>
      <w:pPr>
        <w:wordWrap w:val="0"/>
        <w:spacing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u w:val="single"/>
          <w14:textFill>
            <w14:solidFill>
              <w14:schemeClr w14:val="tx1"/>
            </w14:solidFill>
          </w14:textFill>
        </w:rPr>
        <w:t>（3）施工场地与公共道路的开通时间：发包人应在施工前负责办理临时用地和占道许可。</w:t>
      </w:r>
    </w:p>
    <w:p>
      <w:pPr>
        <w:wordWrap w:val="0"/>
        <w:spacing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u w:val="single"/>
          <w14:textFill>
            <w14:solidFill>
              <w14:schemeClr w14:val="tx1"/>
            </w14:solidFill>
          </w14:textFill>
        </w:rPr>
        <w:t>（4）水准点与坐标控制点交验要求：发包人负责在施工现场将水准点与坐标控制点位置以书面形式交给承包人，做好交验报告。</w:t>
      </w:r>
    </w:p>
    <w:p>
      <w:pPr>
        <w:wordWrap w:val="0"/>
        <w:spacing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u w:val="single"/>
          <w14:textFill>
            <w14:solidFill>
              <w14:schemeClr w14:val="tx1"/>
            </w14:solidFill>
          </w14:textFill>
        </w:rPr>
        <w:t>（5）发包人应在合同签订后10天内负责组织承包人和设计单位进行图纸会审，向承包人进行设计交底。</w:t>
      </w:r>
    </w:p>
    <w:p>
      <w:pPr>
        <w:wordWrap w:val="0"/>
        <w:spacing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u w:val="single"/>
          <w14:textFill>
            <w14:solidFill>
              <w14:schemeClr w14:val="tx1"/>
            </w14:solidFill>
          </w14:textFill>
        </w:rPr>
        <w:t>（6）协调处理施工场地周围地下管线和邻近建筑和构筑物（包含文物保护）、古树名木的保护工作：发包人委托承包人负责做好施工场地周围地下管线和邻近建筑和构筑物（包含文物保护）、古树、名木、花草的保护工作</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7.2  对承包人的义务</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7.2.2  施工组织设计</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提交工程总体施工组织设计的份数和时间：</w:t>
      </w:r>
      <w:r>
        <w:rPr>
          <w:rFonts w:hint="eastAsia"/>
          <w:color w:val="000000" w:themeColor="text1"/>
          <w:sz w:val="24"/>
          <w:u w:val="single"/>
          <w14:textFill>
            <w14:solidFill>
              <w14:schemeClr w14:val="tx1"/>
            </w14:solidFill>
          </w14:textFill>
        </w:rPr>
        <w:t>承包人应在施工开工15日前向发包人提交总体施工组织设计，份数：3份或按发包人要求</w:t>
      </w:r>
    </w:p>
    <w:p>
      <w:pPr>
        <w:wordWrap w:val="0"/>
        <w:spacing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需要提交的主要单项工程、主要分部分项工程施工组织设计的名称、份数和时间：</w:t>
      </w:r>
      <w:r>
        <w:rPr>
          <w:rFonts w:hint="eastAsia"/>
          <w:color w:val="000000" w:themeColor="text1"/>
          <w:sz w:val="24"/>
          <w:u w:val="single"/>
          <w14:textFill>
            <w14:solidFill>
              <w14:schemeClr w14:val="tx1"/>
            </w14:solidFill>
          </w14:textFill>
        </w:rPr>
        <w:t>按发包人或工程监理要求提交</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7.2.3  提交临时占地资料</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提交临时占地资料的时间：</w:t>
      </w:r>
      <w:r>
        <w:rPr>
          <w:rFonts w:hint="eastAsia"/>
          <w:color w:val="000000" w:themeColor="text1"/>
          <w:sz w:val="24"/>
          <w:u w:val="single"/>
          <w14:textFill>
            <w14:solidFill>
              <w14:schemeClr w14:val="tx1"/>
            </w14:solidFill>
          </w14:textFill>
        </w:rPr>
        <w:t>开工前，但须取得发包人同意，发包人不承担临时占地所需费用</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7.2.4  提供临时用水电等资料</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承包人需要水电等品质、正常用量、高峰量和使用时间：</w:t>
      </w:r>
      <w:r>
        <w:rPr>
          <w:rFonts w:hint="eastAsia"/>
          <w:color w:val="000000" w:themeColor="text1"/>
          <w:sz w:val="24"/>
          <w:u w:val="single"/>
          <w14:textFill>
            <w14:solidFill>
              <w14:schemeClr w14:val="tx1"/>
            </w14:solidFill>
          </w14:textFill>
        </w:rPr>
        <w:t>开工前</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发包人能够满足施工临时用水、电等类别和数量：</w:t>
      </w:r>
      <w:r>
        <w:rPr>
          <w:rFonts w:hint="eastAsia"/>
          <w:color w:val="000000" w:themeColor="text1"/>
          <w:sz w:val="24"/>
          <w:u w:val="single"/>
          <w14:textFill>
            <w14:solidFill>
              <w14:schemeClr w14:val="tx1"/>
            </w14:solidFill>
          </w14:textFill>
        </w:rPr>
        <w:t>发包人提供接驳，但不对其是否满足施工需要负责</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水电等节点位置资料的提交时间：开工前</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7.2.5   发包人委托承包人代办开工等批准手续，按专用条款7.1.5条执行</w:t>
      </w:r>
    </w:p>
    <w:p>
      <w:pPr>
        <w:wordWrap w:val="0"/>
        <w:spacing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7.2.12  清理现场的费用：已包含在签约合同价中</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7.2.13  由承包人履行的其它义务：</w:t>
      </w:r>
    </w:p>
    <w:p>
      <w:pPr>
        <w:wordWrap w:val="0"/>
        <w:spacing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u w:val="single"/>
          <w14:textFill>
            <w14:solidFill>
              <w14:schemeClr w14:val="tx1"/>
            </w14:solidFill>
          </w14:textFill>
        </w:rPr>
        <w:t>（1）承包人应提供满足国家规范和工程建设标准的安全道路、安全设施、安全设备、安全环境以保证各级建设行政主管部门和相关行业主管部门、设计单位以及相关质量检测单位、发包人、监理人进入施工现场检查、监督施工的实施；（2）向监理人或发包人提供月度工程进度计划、工程竣工决算资料、质量评定资料等；（3）根据工程需要，提供和维修施工使用的照明、围栏设施， 并负责安全保卫,有责任阻止非本工程所需人员进入现场；承担施工安全保卫工作及夜间非夜间施工照明的责任和费用。（4）遵守政府有关主管部门对施工场地交通、 施工噪音以及环境保护和安全生产等的管理规定，按交通、环境保护、环卫和施工噪音管理的有关规定控制施工并完善各项手续；（5）已竣工工程未交付发包人之前，承包人负责已完工程的保护工作，保护期间发生损坏，承包人自费予以修复；（6）做好施工场地地下管线和邻近建筑物、构筑物（包含文物）、古树名木等的保护工作(对由于承包人在施工过程造成的地下管线和各类建筑物、构筑物的损坏，承包人应负全部责任，并承担由此而产生的一切赔偿。发包人按情节轻重，对承包人处以罚款、书面通报)；（7）保证在各施工阶段的施工场地清洁，符合环境卫生管理的有关规定， 符合建筑施工安全检查标准的相关规定；承担因自身原因违反有关规定造成的损失和违约罚金(施工场地清洁卫生的要求：承包人应保证施工场地整洁卫生，符合文明施工的要求。职工临时宿舍及卫生设施应符合治安、消防、卫生要求，保持文明清洁。承包人在工程施工期间，严格执行质量管理、安全管理、文明施工管理措施，确保优质、安全、文明完成本工程的建设。承包人由于管理不善，引起政府有关部门罚款、停工整改等处罚，其发生的费用和损失由承包人自行承担，且发包人保留缓付工程款的权利)；（8）对发包人移交的水准点与坐标控制点负责保护，承担由于破坏或失准带来的重新测量、放点费用及由此造成的其他损失；（9）按合同约定做好总包管理及配合；承包人须为专业分包的分包人以及本合同工程由发包人发包的其他单位工程的分包人（施工单位）提供如下总包管理及配合：（9.1）承包人须对工程整体进度负责，编制含分包工程在内的进度计划。分包工程实施前，承包人应要求各发包人认可的专业分包人提供专业承包的施工组织设计与进度计划，进行汇总分析审查，对施工程序中有矛盾的地方进行协调解决。（9.2）按进度计划要求移交分包工程所需的工作面，为分包 人在使用施工用地、道路和其他公用设施等方面提供方便。（9.3）向分包人提供标高、定位点线、施工通道与场地以及现场已铺设的脚手架等。负责安排作业面及作业时间；负责分配分包人的施工、办 公、仓储等用途的场地。（9.4）向分包人提供施工用照明用电、施工用水接口，由分包人按表计量并按供电供水有关部门当期的实际单价向承包人交纳所使用的水电费。若不能安表或没有安表，承包人与分包人协商解决水电费用。承包人还应负责向分包人提供现有的施工脚手架和垂直运输设施的使用。（9.5） 承包人所敷设的临时施工水电源及所搭设的工程脚手架和垂直运输设施应考虑专业分包的施工需要。承包人拆除临时施工水电源、工程脚手架和垂直运输设施前须征得监理人和发包人批准，如擅自拆除上述设施，则承包人需重新完善满足分包工程施工需要的设施。若承包人具备拆除条件，由于分包人原因造成延迟拆除，费用和工期由双方协商解决。 （9.6）审核分包人进场材料必须是经发包人认可并达到相关标准的材料，监督分包人按现行施工及验收规范施工，参加工程施工验收，对分包人的施工质量和工期进行管理并承担总包责任。（9.7）要求分包人作好分包工程的成品保护，协调交叉工作面的成品保护工作，整体工程的成品保护由承包人负责。（9.8）其他配合工作，如剔槽打眼、嵌缝补缝、抹面及因工程实际情况而指定承包人预留预埋和配合的施工。 （9.9）负责承包人在现场指定的垃圾堆施点的统一垃圾清运并承担费用，承包人应在施工总平面布置中考虑统一的垃圾堆放点。分包人应负责将其施工范围内的建筑垃圾运到承包人在现场指定的垃圾堆放点。 （9.10）督促、协助分包人完善各阶段的工程归档资料，并归类整理汇入总包工程竣工档案。（9.11）总包管理及配合费用计算方式：按承包人投标文件所报标准计算。除此以外，承包人不得再向发包工程所有施工单位收取管理费用。（10）施工涉及的标准图集由承包人负责。</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7.4 人力和机具资源</w:t>
      </w:r>
    </w:p>
    <w:p>
      <w:pPr>
        <w:wordWrap w:val="0"/>
        <w:spacing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7.4.1  人力资源计划一览表的格式、内容、份数和提交时间：</w:t>
      </w:r>
      <w:r>
        <w:rPr>
          <w:rFonts w:hint="eastAsia"/>
          <w:color w:val="000000" w:themeColor="text1"/>
          <w:sz w:val="24"/>
          <w:u w:val="single"/>
          <w14:textFill>
            <w14:solidFill>
              <w14:schemeClr w14:val="tx1"/>
            </w14:solidFill>
          </w14:textFill>
        </w:rPr>
        <w:t>满足工程设计、施工需要，内容、格式、份数按发包人或工程监理要求提交</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人力资源实际进场的报表格式、份数和报告期：</w:t>
      </w:r>
      <w:r>
        <w:rPr>
          <w:rFonts w:hint="eastAsia"/>
          <w:color w:val="000000" w:themeColor="text1"/>
          <w:sz w:val="24"/>
          <w:u w:val="single"/>
          <w14:textFill>
            <w14:solidFill>
              <w14:schemeClr w14:val="tx1"/>
            </w14:solidFill>
          </w14:textFill>
        </w:rPr>
        <w:t>按发包人或工程监理要求提交</w:t>
      </w:r>
    </w:p>
    <w:p>
      <w:pPr>
        <w:wordWrap w:val="0"/>
        <w:spacing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7.4.2  主要机具计划一览表的格式、内容、份数和提交时间：</w:t>
      </w:r>
      <w:r>
        <w:rPr>
          <w:rFonts w:hint="eastAsia"/>
          <w:color w:val="000000" w:themeColor="text1"/>
          <w:sz w:val="24"/>
          <w:u w:val="single"/>
          <w14:textFill>
            <w14:solidFill>
              <w14:schemeClr w14:val="tx1"/>
            </w14:solidFill>
          </w14:textFill>
        </w:rPr>
        <w:t>满足工程设计、施工需要，内容、格式、份数按发包人或工程监理要求提交</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主要机具实际进场的报表格式、份数和报告期：</w:t>
      </w:r>
      <w:r>
        <w:rPr>
          <w:rFonts w:hint="eastAsia"/>
          <w:color w:val="000000" w:themeColor="text1"/>
          <w:sz w:val="24"/>
          <w:u w:val="single"/>
          <w14:textFill>
            <w14:solidFill>
              <w14:schemeClr w14:val="tx1"/>
            </w14:solidFill>
          </w14:textFill>
        </w:rPr>
        <w:t>按发包人或工程监理要求提交</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7.5  质量与检验</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7.5.2 质检部位与参检方</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三方参检的部位、标准及表格形式：按发包人要求或工程监理要求或第三方检测机构要求</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两方参检的部位、标准及表格形式：按工程监理要求</w:t>
      </w:r>
    </w:p>
    <w:p>
      <w:pPr>
        <w:wordWrap w:val="0"/>
        <w:spacing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第三方检查的部位、标准及表格形式：按第三方检测机构要求</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承包人自检的部位、标准及表格形式：按规范、标准执行</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7.6  隐蔽工程和中间验收</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7.6.1  隐蔽工程和中间验收。</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需要质检的隐蔽工程和中间验收部位的分类、部位、质检内容、标准、表格和参检方的约定：</w:t>
      </w:r>
      <w:r>
        <w:rPr>
          <w:rFonts w:hint="eastAsia"/>
          <w:color w:val="000000" w:themeColor="text1"/>
          <w:sz w:val="24"/>
          <w:u w:val="single"/>
          <w14:textFill>
            <w14:solidFill>
              <w14:schemeClr w14:val="tx1"/>
            </w14:solidFill>
          </w14:textFill>
        </w:rPr>
        <w:t>按规范、标准执行</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7.8  职业健康、安全、环境保护</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7.8.1  职业健康、安全、环境保护管理</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（2）提交职业健康、安全、环境管理计划的份数和时间：按相关规定提交</w:t>
      </w:r>
    </w:p>
    <w:p>
      <w:pPr>
        <w:wordWrap w:val="0"/>
        <w:spacing w:line="300" w:lineRule="auto"/>
        <w:ind w:firstLine="480" w:firstLineChars="200"/>
        <w:rPr>
          <w:color w:val="000000" w:themeColor="text1"/>
          <w:sz w:val="24"/>
          <w14:textFill>
            <w14:solidFill>
              <w14:schemeClr w14:val="tx1"/>
            </w14:solidFill>
          </w14:textFill>
        </w:rPr>
      </w:pPr>
    </w:p>
    <w:p>
      <w:pPr>
        <w:wordWrap w:val="0"/>
        <w:spacing w:before="120" w:beforeLines="50" w:after="120" w:afterLines="50" w:line="300" w:lineRule="auto"/>
        <w:ind w:firstLine="562" w:firstLineChars="200"/>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第</w:t>
      </w:r>
      <w:r>
        <w:rPr>
          <w:b/>
          <w:color w:val="000000" w:themeColor="text1"/>
          <w:sz w:val="28"/>
          <w:szCs w:val="28"/>
          <w14:textFill>
            <w14:solidFill>
              <w14:schemeClr w14:val="tx1"/>
            </w14:solidFill>
          </w14:textFill>
        </w:rPr>
        <w:t>8</w:t>
      </w:r>
      <w:r>
        <w:rPr>
          <w:rFonts w:hint="eastAsia"/>
          <w:b/>
          <w:color w:val="000000" w:themeColor="text1"/>
          <w:sz w:val="28"/>
          <w:szCs w:val="28"/>
          <w14:textFill>
            <w14:solidFill>
              <w14:schemeClr w14:val="tx1"/>
            </w14:solidFill>
          </w14:textFill>
        </w:rPr>
        <w:t>条竣工试验</w:t>
      </w:r>
    </w:p>
    <w:p>
      <w:pPr>
        <w:wordWrap w:val="0"/>
        <w:spacing w:before="120" w:beforeLines="50" w:after="120" w:afterLines="50"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本合同工程，包含竣工试验阶段。</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8.1</w:t>
      </w:r>
      <w:r>
        <w:rPr>
          <w:rFonts w:hint="eastAsia"/>
          <w:b/>
          <w:color w:val="000000" w:themeColor="text1"/>
          <w:sz w:val="24"/>
          <w14:textFill>
            <w14:solidFill>
              <w14:schemeClr w14:val="tx1"/>
            </w14:solidFill>
          </w14:textFill>
        </w:rPr>
        <w:t>竣工试验的义务</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8.1.1</w:t>
      </w:r>
      <w:r>
        <w:rPr>
          <w:rFonts w:hint="eastAsia"/>
          <w:color w:val="000000" w:themeColor="text1"/>
          <w:sz w:val="24"/>
          <w14:textFill>
            <w14:solidFill>
              <w14:schemeClr w14:val="tx1"/>
            </w14:solidFill>
          </w14:textFill>
        </w:rPr>
        <w:t>承包人的一般义务</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（4）竣工试验方案</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提交竣工试验方案的份数和时间：承包人应根据有关规定、要求提交竣工试验方案</w:t>
      </w:r>
    </w:p>
    <w:p>
      <w:pPr>
        <w:wordWrap w:val="0"/>
        <w:spacing w:before="120" w:beforeLines="50" w:after="120" w:afterLines="50" w:line="300" w:lineRule="auto"/>
        <w:ind w:firstLine="562" w:firstLineChars="200"/>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第9条工程接收</w:t>
      </w:r>
    </w:p>
    <w:p>
      <w:pPr>
        <w:wordWrap w:val="0"/>
        <w:spacing w:before="120" w:beforeLines="50" w:after="120" w:afterLines="50"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9.1</w:t>
      </w:r>
      <w:r>
        <w:rPr>
          <w:rFonts w:hint="eastAsia"/>
          <w:color w:val="000000" w:themeColor="text1"/>
          <w:sz w:val="24"/>
          <w14:textFill>
            <w14:solidFill>
              <w14:schemeClr w14:val="tx1"/>
            </w14:solidFill>
          </w14:textFill>
        </w:rPr>
        <w:t>工程接收</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9.1.1</w:t>
      </w:r>
      <w:r>
        <w:rPr>
          <w:rFonts w:hint="eastAsia"/>
          <w:color w:val="000000" w:themeColor="text1"/>
          <w:sz w:val="24"/>
          <w14:textFill>
            <w14:solidFill>
              <w14:schemeClr w14:val="tx1"/>
            </w14:solidFill>
          </w14:textFill>
        </w:rPr>
        <w:t>按单项工程或（和）按工程接收</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在以下两种情况中选择其一，作为双方对工程接受的约定。</w:t>
      </w:r>
    </w:p>
    <w:p>
      <w:pPr>
        <w:wordWrap w:val="0"/>
        <w:spacing w:line="300" w:lineRule="auto"/>
        <w:ind w:firstLine="960" w:firstLineChars="4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□由承包人负责指导发包人进行单项工程或（和）工程竣工后试验，并承担试运行考核责任的，接收单项工程的先后顺序及时间安排，或接受工程的时间安排如下：</w:t>
      </w:r>
    </w:p>
    <w:p>
      <w:pPr>
        <w:wordWrap w:val="0"/>
        <w:spacing w:line="30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■由发包人负责单项工程或（和）工程竣工后试验及其试运行考核责任的，接收单项工程的先后顺序及时间安排，或接受工程的时间安排如下：</w:t>
      </w:r>
    </w:p>
    <w:p>
      <w:pPr>
        <w:wordWrap w:val="0"/>
        <w:spacing w:line="300" w:lineRule="auto"/>
        <w:ind w:firstLine="960" w:firstLineChars="400"/>
        <w:rPr>
          <w:color w:val="000000" w:themeColor="text1"/>
          <w:sz w:val="24"/>
          <w:u w:val="single"/>
          <w14:textFill>
            <w14:solidFill>
              <w14:schemeClr w14:val="tx1"/>
            </w14:solidFill>
          </w14:textFill>
        </w:rPr>
      </w:pP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9.1.2  接收工程提交的资料</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提交竣工试验资料的类别、内容、份数和时间：按规范及相关规定提交</w:t>
      </w:r>
    </w:p>
    <w:p>
      <w:pPr>
        <w:wordWrap w:val="0"/>
        <w:spacing w:before="120" w:beforeLines="50" w:after="120" w:afterLines="50" w:line="300" w:lineRule="auto"/>
        <w:ind w:firstLine="562" w:firstLineChars="200"/>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第</w:t>
      </w:r>
      <w:r>
        <w:rPr>
          <w:b/>
          <w:color w:val="000000" w:themeColor="text1"/>
          <w:sz w:val="28"/>
          <w:szCs w:val="28"/>
          <w14:textFill>
            <w14:solidFill>
              <w14:schemeClr w14:val="tx1"/>
            </w14:solidFill>
          </w14:textFill>
        </w:rPr>
        <w:t>10</w:t>
      </w:r>
      <w:r>
        <w:rPr>
          <w:rFonts w:hint="eastAsia"/>
          <w:b/>
          <w:color w:val="000000" w:themeColor="text1"/>
          <w:sz w:val="28"/>
          <w:szCs w:val="28"/>
          <w14:textFill>
            <w14:solidFill>
              <w14:schemeClr w14:val="tx1"/>
            </w14:solidFill>
          </w14:textFill>
        </w:rPr>
        <w:t>条竣工后试验</w:t>
      </w:r>
    </w:p>
    <w:p>
      <w:pPr>
        <w:wordWrap w:val="0"/>
        <w:spacing w:before="120" w:beforeLines="50" w:after="120" w:afterLines="50"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本合同包含承包人知道竣工后试验。</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10.</w:t>
      </w:r>
      <w:r>
        <w:rPr>
          <w:rFonts w:hint="eastAsia"/>
          <w:b/>
          <w:color w:val="000000" w:themeColor="text1"/>
          <w:sz w:val="24"/>
          <w14:textFill>
            <w14:solidFill>
              <w14:schemeClr w14:val="tx1"/>
            </w14:solidFill>
          </w14:textFill>
        </w:rPr>
        <w:t>1  权利和义务</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10.1.1  发包人的权利和义务</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（6）其它义务和工作：</w:t>
      </w:r>
      <w:r>
        <w:rPr>
          <w:rFonts w:hint="eastAsia"/>
          <w:color w:val="000000" w:themeColor="text1"/>
          <w:sz w:val="24"/>
          <w:u w:val="single"/>
          <w14:textFill>
            <w14:solidFill>
              <w14:schemeClr w14:val="tx1"/>
            </w14:solidFill>
          </w14:textFill>
        </w:rPr>
        <w:t xml:space="preserve">  /  </w:t>
      </w:r>
      <w:r>
        <w:rPr>
          <w:rFonts w:hint="eastAsia"/>
          <w:color w:val="000000" w:themeColor="text1"/>
          <w:sz w:val="24"/>
          <w14:textFill>
            <w14:solidFill>
              <w14:schemeClr w14:val="tx1"/>
            </w14:solidFill>
          </w14:textFill>
        </w:rPr>
        <w:t xml:space="preserve"> </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10.1.2  承包人的责任和义务</w:t>
      </w:r>
    </w:p>
    <w:p>
      <w:pPr>
        <w:wordWrap w:val="0"/>
        <w:spacing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（2）竣工后试验方案的份数和完成时间：按规范、相关规定或发包人要求提交</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（7）其它义务和工作：</w:t>
      </w:r>
      <w:r>
        <w:rPr>
          <w:rFonts w:hint="eastAsia"/>
          <w:color w:val="000000" w:themeColor="text1"/>
          <w:sz w:val="24"/>
          <w:u w:val="single"/>
          <w14:textFill>
            <w14:solidFill>
              <w14:schemeClr w14:val="tx1"/>
            </w14:solidFill>
          </w14:textFill>
        </w:rPr>
        <w:t xml:space="preserve">  /  </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10.2</w:t>
      </w:r>
      <w:r>
        <w:rPr>
          <w:rFonts w:hint="eastAsia"/>
          <w:b/>
          <w:color w:val="000000" w:themeColor="text1"/>
          <w:sz w:val="24"/>
          <w14:textFill>
            <w14:solidFill>
              <w14:schemeClr w14:val="tx1"/>
            </w14:solidFill>
          </w14:textFill>
        </w:rPr>
        <w:t>竣工后试验程序</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10.2.5竣工后试验日期的通知</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单项工程或（和）工程竣工后试验开始日期的约定：发包人在接收单项工程后的15日内通知承包人开始竣工后试验的日期。</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10.</w:t>
      </w:r>
      <w:r>
        <w:rPr>
          <w:rFonts w:hint="eastAsia"/>
          <w:b/>
          <w:color w:val="000000" w:themeColor="text1"/>
          <w:sz w:val="24"/>
          <w14:textFill>
            <w14:solidFill>
              <w14:schemeClr w14:val="tx1"/>
            </w14:solidFill>
          </w14:textFill>
        </w:rPr>
        <w:t>3  竣工后试验及试运行考核</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10.3.3 试运行考核</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（3）试运行考核周期：由双方根据相关行业对试运行考核周期的规定另行约定</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10.</w:t>
      </w:r>
      <w:r>
        <w:rPr>
          <w:rFonts w:hint="eastAsia"/>
          <w:b/>
          <w:color w:val="000000" w:themeColor="text1"/>
          <w:sz w:val="24"/>
          <w14:textFill>
            <w14:solidFill>
              <w14:schemeClr w14:val="tx1"/>
            </w14:solidFill>
          </w14:textFill>
        </w:rPr>
        <w:t>6  未能通过考核</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（1）未能通过试运行考核的赔偿</w:t>
      </w:r>
    </w:p>
    <w:p>
      <w:pPr>
        <w:wordWrap w:val="0"/>
        <w:spacing w:line="30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1）承包人提供的生产工艺技术或建筑设计方案未能通过试运行考核的赔偿</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根据工程情况，在以下方式中选择一项，作为双方的考核赔偿约定，</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■各单项工程的赔偿金额（或赔偿公式）分别为：</w:t>
      </w:r>
      <w:r>
        <w:rPr>
          <w:rFonts w:hint="eastAsia"/>
          <w:color w:val="000000" w:themeColor="text1"/>
          <w:sz w:val="24"/>
          <w:u w:val="single"/>
          <w14:textFill>
            <w14:solidFill>
              <w14:schemeClr w14:val="tx1"/>
            </w14:solidFill>
          </w14:textFill>
        </w:rPr>
        <w:t>各单项工程合同价的5%</w:t>
      </w:r>
    </w:p>
    <w:p>
      <w:pPr>
        <w:numPr>
          <w:ilvl w:val="0"/>
          <w:numId w:val="4"/>
        </w:numPr>
        <w:wordWrap w:val="0"/>
        <w:spacing w:line="30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工程的赔偿金额（或赔偿公式）：</w:t>
      </w:r>
    </w:p>
    <w:p>
      <w:pPr>
        <w:wordWrap w:val="0"/>
        <w:spacing w:line="300" w:lineRule="auto"/>
        <w:ind w:firstLine="991" w:firstLineChars="413"/>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2）发包人提供的生产工艺技术或建筑设计方案未能通过试运行考核的赔偿</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其中，</w:t>
      </w:r>
    </w:p>
    <w:p>
      <w:pPr>
        <w:wordWrap w:val="0"/>
        <w:spacing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承包人应承担相关责任的赔偿金额（或赔偿公式）分别为：</w:t>
      </w:r>
      <w:r>
        <w:rPr>
          <w:rFonts w:hint="eastAsia"/>
          <w:color w:val="000000" w:themeColor="text1"/>
          <w:sz w:val="24"/>
          <w:u w:val="single"/>
          <w14:textFill>
            <w14:solidFill>
              <w14:schemeClr w14:val="tx1"/>
            </w14:solidFill>
          </w14:textFill>
        </w:rPr>
        <w:t xml:space="preserve"> /   </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10.</w:t>
      </w:r>
      <w:r>
        <w:rPr>
          <w:rFonts w:hint="eastAsia"/>
          <w:b/>
          <w:color w:val="000000" w:themeColor="text1"/>
          <w:sz w:val="24"/>
          <w14:textFill>
            <w14:solidFill>
              <w14:schemeClr w14:val="tx1"/>
            </w14:solidFill>
          </w14:textFill>
        </w:rPr>
        <w:t>7  考核验收证书</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10.</w:t>
      </w:r>
      <w:r>
        <w:rPr>
          <w:rFonts w:hint="eastAsia"/>
          <w:color w:val="000000" w:themeColor="text1"/>
          <w:sz w:val="24"/>
          <w14:textFill>
            <w14:solidFill>
              <w14:schemeClr w14:val="tx1"/>
            </w14:solidFill>
          </w14:textFill>
        </w:rPr>
        <w:t>7</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在以下方式中选择其一，作为颁发竣工后试验及考核验收证书的约定。</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■按工程颁发竣工后试验及考核验收证书</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□按单项工程和工程颁发竣工后试验及考核验收证书</w:t>
      </w:r>
    </w:p>
    <w:p>
      <w:pPr>
        <w:wordWrap w:val="0"/>
        <w:spacing w:before="120" w:beforeLines="50" w:after="120" w:afterLines="50" w:line="300" w:lineRule="auto"/>
        <w:ind w:firstLine="562" w:firstLineChars="200"/>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第11条质量保修责任</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11.2  缺陷责任保修金</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11.2.1  缺陷责任保修金金额</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缺陷责任保修金金额为合同协议书约定的合同价格的3%。</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11.2.2  缺陷责任保修金金额的暂扣</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缺陷责任保修金金额的暂扣方式：留置工程结算款以暂扣工程质量保修金</w:t>
      </w:r>
    </w:p>
    <w:p>
      <w:pPr>
        <w:wordWrap w:val="0"/>
        <w:spacing w:before="120" w:beforeLines="50" w:after="120" w:afterLines="50" w:line="300" w:lineRule="auto"/>
        <w:ind w:firstLine="562" w:firstLineChars="200"/>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第</w:t>
      </w:r>
      <w:r>
        <w:rPr>
          <w:b/>
          <w:color w:val="000000" w:themeColor="text1"/>
          <w:sz w:val="28"/>
          <w:szCs w:val="28"/>
          <w14:textFill>
            <w14:solidFill>
              <w14:schemeClr w14:val="tx1"/>
            </w14:solidFill>
          </w14:textFill>
        </w:rPr>
        <w:t>12</w:t>
      </w:r>
      <w:r>
        <w:rPr>
          <w:rFonts w:hint="eastAsia"/>
          <w:b/>
          <w:color w:val="000000" w:themeColor="text1"/>
          <w:sz w:val="28"/>
          <w:szCs w:val="28"/>
          <w14:textFill>
            <w14:solidFill>
              <w14:schemeClr w14:val="tx1"/>
            </w14:solidFill>
          </w14:textFill>
        </w:rPr>
        <w:t>条工程竣工验收</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12.1</w:t>
      </w:r>
      <w:r>
        <w:rPr>
          <w:rFonts w:hint="eastAsia"/>
          <w:b/>
          <w:color w:val="000000" w:themeColor="text1"/>
          <w:sz w:val="24"/>
          <w14:textFill>
            <w14:solidFill>
              <w14:schemeClr w14:val="tx1"/>
            </w14:solidFill>
          </w14:textFill>
        </w:rPr>
        <w:t>竣工资料及竣工验收报告</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12.1.1</w:t>
      </w:r>
      <w:r>
        <w:rPr>
          <w:rFonts w:hint="eastAsia"/>
          <w:color w:val="000000" w:themeColor="text1"/>
          <w:sz w:val="24"/>
          <w14:textFill>
            <w14:solidFill>
              <w14:schemeClr w14:val="tx1"/>
            </w14:solidFill>
          </w14:textFill>
        </w:rPr>
        <w:t>竣工资料和竣工验收报告</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竣工验收报告的格式、份数和提交时间：</w:t>
      </w:r>
      <w:r>
        <w:rPr>
          <w:rFonts w:hint="eastAsia"/>
          <w:color w:val="000000" w:themeColor="text1"/>
          <w:sz w:val="24"/>
          <w:u w:val="single"/>
          <w14:textFill>
            <w14:solidFill>
              <w14:schemeClr w14:val="tx1"/>
            </w14:solidFill>
          </w14:textFill>
        </w:rPr>
        <w:t xml:space="preserve">按规范、相关规定提交 </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完整竣工资料的格式、份数和提交时间：</w:t>
      </w:r>
      <w:r>
        <w:rPr>
          <w:rFonts w:hint="eastAsia"/>
          <w:color w:val="000000" w:themeColor="text1"/>
          <w:sz w:val="24"/>
          <w:u w:val="single"/>
          <w14:textFill>
            <w14:solidFill>
              <w14:schemeClr w14:val="tx1"/>
            </w14:solidFill>
          </w14:textFill>
        </w:rPr>
        <w:t>按规范、相关规定提交</w:t>
      </w:r>
    </w:p>
    <w:p>
      <w:pPr>
        <w:wordWrap w:val="0"/>
        <w:spacing w:before="120" w:beforeLines="50" w:after="120" w:afterLines="50" w:line="300" w:lineRule="auto"/>
        <w:ind w:firstLine="562" w:firstLineChars="200"/>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第</w:t>
      </w:r>
      <w:r>
        <w:rPr>
          <w:b/>
          <w:color w:val="000000" w:themeColor="text1"/>
          <w:sz w:val="28"/>
          <w:szCs w:val="28"/>
          <w14:textFill>
            <w14:solidFill>
              <w14:schemeClr w14:val="tx1"/>
            </w14:solidFill>
          </w14:textFill>
        </w:rPr>
        <w:t>13</w:t>
      </w:r>
      <w:r>
        <w:rPr>
          <w:rFonts w:hint="eastAsia"/>
          <w:b/>
          <w:color w:val="000000" w:themeColor="text1"/>
          <w:sz w:val="28"/>
          <w:szCs w:val="28"/>
          <w14:textFill>
            <w14:solidFill>
              <w14:schemeClr w14:val="tx1"/>
            </w14:solidFill>
          </w14:textFill>
        </w:rPr>
        <w:t>条变更和合同价格调整</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13</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2变更范围</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13.2.6其它变更</w:t>
      </w:r>
    </w:p>
    <w:p>
      <w:pPr>
        <w:wordWrap w:val="0"/>
        <w:spacing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双方根据本工程特点，商定的其它变更范围：</w:t>
      </w:r>
      <w:r>
        <w:rPr>
          <w:rFonts w:hint="eastAsia"/>
          <w:color w:val="000000" w:themeColor="text1"/>
          <w:sz w:val="24"/>
          <w:u w:val="single"/>
          <w14:textFill>
            <w14:solidFill>
              <w14:schemeClr w14:val="tx1"/>
            </w14:solidFill>
          </w14:textFill>
        </w:rPr>
        <w:t xml:space="preserve">   /   </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承包人对自身的设计、采购、施工、竣工试验、竣工后试验存在的缺陷，应自费修正、调整和完善，不属于变更。</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13.</w:t>
      </w:r>
      <w:r>
        <w:rPr>
          <w:rFonts w:hint="eastAsia"/>
          <w:b/>
          <w:color w:val="000000" w:themeColor="text1"/>
          <w:sz w:val="24"/>
          <w14:textFill>
            <w14:solidFill>
              <w14:schemeClr w14:val="tx1"/>
            </w14:solidFill>
          </w14:textFill>
        </w:rPr>
        <w:t>5  变更价款确定</w:t>
      </w:r>
    </w:p>
    <w:p>
      <w:pPr>
        <w:wordWrap w:val="0"/>
        <w:spacing w:before="120" w:beforeLines="50" w:after="120" w:afterLines="50"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13.5.4变更价款约定的其他方法：合同中无相应人工、机具、工程量等单价（含取费），亦无类似于变更工程的价格的，双方约定：</w:t>
      </w:r>
      <w:r>
        <w:rPr>
          <w:rFonts w:hint="eastAsia"/>
          <w:color w:val="000000" w:themeColor="text1"/>
          <w:sz w:val="24"/>
          <w:u w:val="single"/>
          <w14:textFill>
            <w14:solidFill>
              <w14:schemeClr w14:val="tx1"/>
            </w14:solidFill>
          </w14:textFill>
        </w:rPr>
        <w:t>承包人根据变更工程资料、计量规则和计价办法、工程造价管理机构发布的信息价格（或特种设备材料的采购价）送发包人审核，经发包人或其委托的审计单位审核确定后的价格作为变更部分工程价款。</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13.</w:t>
      </w:r>
      <w:r>
        <w:rPr>
          <w:rFonts w:hint="eastAsia"/>
          <w:b/>
          <w:color w:val="000000" w:themeColor="text1"/>
          <w:sz w:val="24"/>
          <w14:textFill>
            <w14:solidFill>
              <w14:schemeClr w14:val="tx1"/>
            </w14:solidFill>
          </w14:textFill>
        </w:rPr>
        <w:t>6  建议变更的利益分享</w:t>
      </w:r>
    </w:p>
    <w:p>
      <w:pPr>
        <w:wordWrap w:val="0"/>
        <w:spacing w:before="120" w:beforeLines="50" w:after="120" w:afterLines="50"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建议变更的利益分享的约定：</w:t>
      </w:r>
      <w:r>
        <w:rPr>
          <w:rFonts w:hint="eastAsia"/>
          <w:color w:val="000000" w:themeColor="text1"/>
          <w:sz w:val="24"/>
          <w:u w:val="single"/>
          <w14:textFill>
            <w14:solidFill>
              <w14:schemeClr w14:val="tx1"/>
            </w14:solidFill>
          </w14:textFill>
        </w:rPr>
        <w:t xml:space="preserve">    /      </w:t>
      </w:r>
    </w:p>
    <w:p>
      <w:pPr>
        <w:wordWrap w:val="0"/>
        <w:spacing w:before="120" w:beforeLines="50" w:after="120" w:afterLines="50" w:line="300" w:lineRule="auto"/>
        <w:ind w:firstLine="562" w:firstLineChars="200"/>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第</w:t>
      </w:r>
      <w:r>
        <w:rPr>
          <w:b/>
          <w:color w:val="000000" w:themeColor="text1"/>
          <w:sz w:val="28"/>
          <w:szCs w:val="28"/>
          <w14:textFill>
            <w14:solidFill>
              <w14:schemeClr w14:val="tx1"/>
            </w14:solidFill>
          </w14:textFill>
        </w:rPr>
        <w:t>14</w:t>
      </w:r>
      <w:r>
        <w:rPr>
          <w:rFonts w:hint="eastAsia"/>
          <w:b/>
          <w:color w:val="000000" w:themeColor="text1"/>
          <w:sz w:val="28"/>
          <w:szCs w:val="28"/>
          <w14:textFill>
            <w14:solidFill>
              <w14:schemeClr w14:val="tx1"/>
            </w14:solidFill>
          </w14:textFill>
        </w:rPr>
        <w:t>条合同总价和付款</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14</w:t>
      </w:r>
      <w:r>
        <w:rPr>
          <w:rFonts w:hint="eastAsia"/>
          <w:b/>
          <w:color w:val="000000" w:themeColor="text1"/>
          <w:sz w:val="24"/>
          <w14:textFill>
            <w14:solidFill>
              <w14:schemeClr w14:val="tx1"/>
            </w14:solidFill>
          </w14:textFill>
        </w:rPr>
        <w:t>.1  合同总价和付款</w:t>
      </w:r>
    </w:p>
    <w:p>
      <w:pPr>
        <w:wordWrap w:val="0"/>
        <w:spacing w:before="120" w:beforeLines="50" w:after="120" w:afterLines="50" w:line="300" w:lineRule="auto"/>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14.1.1</w:t>
      </w:r>
      <w:r>
        <w:rPr>
          <w:rFonts w:hint="eastAsia"/>
          <w:color w:val="000000" w:themeColor="text1"/>
          <w:sz w:val="24"/>
          <w14:textFill>
            <w14:solidFill>
              <w14:schemeClr w14:val="tx1"/>
            </w14:solidFill>
          </w14:textFill>
        </w:rPr>
        <w:t>本合同为总价合同，除根据第13条变更和合同价格的调整，以及合同中其它相关增减金额的约定进行调整外，合同价格不做调整。</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合同约定可以调整的价格：</w:t>
      </w:r>
    </w:p>
    <w:p>
      <w:pPr>
        <w:wordWrap w:val="0"/>
        <w:spacing w:before="120" w:beforeLines="50" w:after="120" w:afterLines="50"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u w:val="single"/>
          <w14:textFill>
            <w14:solidFill>
              <w14:schemeClr w14:val="tx1"/>
            </w14:solidFill>
          </w14:textFill>
        </w:rPr>
        <w:t>（1）招标工程以投标截止日前30天，非招标工程以合同签订前30天为基准日，其后国家的法律、法规、规章和政策发生变化引起工程造价增减变化的，发承包双方应当按照省级或行业建设主管部门或其授权的工程造价管理机构据此发布的规定调整合同价款。</w:t>
      </w:r>
    </w:p>
    <w:p>
      <w:pPr>
        <w:wordWrap w:val="0"/>
        <w:spacing w:before="120" w:beforeLines="50" w:after="120" w:afterLines="50"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u w:val="single"/>
          <w14:textFill>
            <w14:solidFill>
              <w14:schemeClr w14:val="tx1"/>
            </w14:solidFill>
          </w14:textFill>
        </w:rPr>
        <w:t>因承包人原因导致工期延误，上述第14.1.1-（1）条引起工程价款增加，则不予调整合同价款，否则相应调整合同价款。</w:t>
      </w:r>
    </w:p>
    <w:p>
      <w:pPr>
        <w:wordWrap w:val="0"/>
        <w:spacing w:before="120" w:beforeLines="50" w:after="120" w:afterLines="50"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u w:val="single"/>
          <w14:textFill>
            <w14:solidFill>
              <w14:schemeClr w14:val="tx1"/>
            </w14:solidFill>
          </w14:textFill>
        </w:rPr>
        <w:t>（2）合同履行期间，材料价格与合同工程基准日期相应单价或价格比较出现涨落的按照《关于加强建筑材料价格风险控制的指导意见》[苏建价（2008）67 号文]执行，发承包双方应调整合同价款。</w:t>
      </w:r>
    </w:p>
    <w:p>
      <w:pPr>
        <w:wordWrap w:val="0"/>
        <w:spacing w:before="120" w:beforeLines="50" w:after="120" w:afterLines="50"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u w:val="single"/>
          <w14:textFill>
            <w14:solidFill>
              <w14:schemeClr w14:val="tx1"/>
            </w14:solidFill>
          </w14:textFill>
        </w:rPr>
        <w:t>发生合同工程工期延误的，应按照下列规定确定合同履行期用于调整的价格或单价：</w:t>
      </w:r>
    </w:p>
    <w:p>
      <w:pPr>
        <w:wordWrap w:val="0"/>
        <w:spacing w:before="120" w:beforeLines="50" w:after="120" w:afterLines="50"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u w:val="single"/>
          <w14:textFill>
            <w14:solidFill>
              <w14:schemeClr w14:val="tx1"/>
            </w14:solidFill>
          </w14:textFill>
        </w:rPr>
        <w:t>因发包人原因导致工期延误的，按履行期工程造价管理机构公布的材料价格调整；</w:t>
      </w:r>
    </w:p>
    <w:p>
      <w:pPr>
        <w:wordWrap w:val="0"/>
        <w:spacing w:before="120" w:beforeLines="50" w:after="120" w:afterLines="50"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u w:val="single"/>
          <w14:textFill>
            <w14:solidFill>
              <w14:schemeClr w14:val="tx1"/>
            </w14:solidFill>
          </w14:textFill>
        </w:rPr>
        <w:t>因承包人原因导致工期延误的，应按照下列规定确定合同履行期用于调整的价格或单价则计划进度日期后续工程的价格或单价，采用计划进度日期与实际进度日期两者的较低者。</w:t>
      </w:r>
    </w:p>
    <w:p>
      <w:pPr>
        <w:wordWrap w:val="0"/>
        <w:spacing w:before="120" w:beforeLines="50" w:after="120" w:afterLines="50"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u w:val="single"/>
          <w14:textFill>
            <w14:solidFill>
              <w14:schemeClr w14:val="tx1"/>
            </w14:solidFill>
          </w14:textFill>
        </w:rPr>
        <w:t>补充约定：当按上述方式调整后若工程结算总价超过本签约合同价，则按合同价作为最终结算价。</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14.1.2 付款</w:t>
      </w:r>
    </w:p>
    <w:p>
      <w:pPr>
        <w:wordWrap w:val="0"/>
        <w:spacing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（2）承包人指定的开户银行及银行账户：</w:t>
      </w:r>
      <w:r>
        <w:rPr>
          <w:rFonts w:hint="eastAsia"/>
          <w:color w:val="000000" w:themeColor="text1"/>
          <w:sz w:val="24"/>
          <w:u w:val="single"/>
          <w14:textFill>
            <w14:solidFill>
              <w14:schemeClr w14:val="tx1"/>
            </w14:solidFill>
          </w14:textFill>
        </w:rPr>
        <w:t>中标人名称及其开户银行</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14</w:t>
      </w:r>
      <w:r>
        <w:rPr>
          <w:rFonts w:hint="eastAsia"/>
          <w:b/>
          <w:color w:val="000000" w:themeColor="text1"/>
          <w:sz w:val="24"/>
          <w14:textFill>
            <w14:solidFill>
              <w14:schemeClr w14:val="tx1"/>
            </w14:solidFill>
          </w14:textFill>
        </w:rPr>
        <w:t>.2  担保</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14.</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履约保函</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在以下方式中选择其一，作为双方对履约保函的约定。</w:t>
      </w:r>
    </w:p>
    <w:p>
      <w:pPr>
        <w:numPr>
          <w:ilvl w:val="255"/>
          <w:numId w:val="0"/>
        </w:numPr>
        <w:wordWrap w:val="0"/>
        <w:spacing w:line="300" w:lineRule="auto"/>
        <w:ind w:left="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■承包人不提交履约保函。</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承包人提交履约保函的格式、金额和时间：</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（1）本工程履约保证金为中标价的10%。在收到中标通知书后7日内，并在合同签订前将履约保证金以转帐形式汇转至招标人指定帐户。</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（2）中标人不能按要求提交履约担保的，视为放弃中标，其投标保证金不予退还，给招标人造成的损失超过投标保证金数额的，中标人还应当对超过部分予以赔偿。</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14.2.2 支付保函</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在以下方式中选择其一，作为双方对支付保函的约定。</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■发包人不提交支付保函。</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□发包人提交支付保函的格式、金额和时间：</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14.</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3 预付款保函</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在以下方式中选择其一，作为双方对预付款保函的约定。</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□承包人不提交预付款保函。</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承包人提交预付款保函的格式、金额和时间：</w:t>
      </w:r>
      <w:r>
        <w:rPr>
          <w:rFonts w:hint="eastAsia"/>
          <w:color w:val="000000" w:themeColor="text1"/>
          <w:sz w:val="24"/>
          <w:u w:val="single"/>
          <w14:textFill>
            <w14:solidFill>
              <w14:schemeClr w14:val="tx1"/>
            </w14:solidFill>
          </w14:textFill>
        </w:rPr>
        <w:t xml:space="preserve">预付款申请时提交 </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14.</w:t>
      </w:r>
      <w:r>
        <w:rPr>
          <w:rFonts w:hint="eastAsia"/>
          <w:b/>
          <w:color w:val="000000" w:themeColor="text1"/>
          <w:sz w:val="24"/>
          <w14:textFill>
            <w14:solidFill>
              <w14:schemeClr w14:val="tx1"/>
            </w14:solidFill>
          </w14:textFill>
        </w:rPr>
        <w:t>3  预付款</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14.3.1  预付款金额</w:t>
      </w:r>
    </w:p>
    <w:p>
      <w:pPr>
        <w:wordWrap w:val="0"/>
        <w:spacing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预付款的金额为：</w:t>
      </w:r>
      <w:r>
        <w:rPr>
          <w:rFonts w:hint="eastAsia"/>
          <w:color w:val="000000" w:themeColor="text1"/>
          <w:sz w:val="24"/>
          <w:u w:val="single"/>
          <w14:textFill>
            <w14:solidFill>
              <w14:schemeClr w14:val="tx1"/>
            </w14:solidFill>
          </w14:textFill>
        </w:rPr>
        <w:t>无预付款</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14.4  工程进度款</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14.4.1工程进度款</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工程无预付款，承包人于每月底向发包人、工程监理提交当月已完工程及其价款，发包人于次月10日前付经发包人确认的工程价款的40%，工程完工提交全套工程资料交付发包人使用后付至合同价的75%，工程竣工验收合格经审计后付至审定价的</w:t>
      </w:r>
      <w:r>
        <w:rPr>
          <w:color w:val="000000" w:themeColor="text1"/>
          <w:sz w:val="24"/>
          <w14:textFill>
            <w14:solidFill>
              <w14:schemeClr w14:val="tx1"/>
            </w14:solidFill>
          </w14:textFill>
        </w:rPr>
        <w:t>97%</w:t>
      </w:r>
      <w:r>
        <w:rPr>
          <w:rFonts w:hint="eastAsia"/>
          <w:color w:val="000000" w:themeColor="text1"/>
          <w:sz w:val="24"/>
          <w14:textFill>
            <w14:solidFill>
              <w14:schemeClr w14:val="tx1"/>
            </w14:solidFill>
          </w14:textFill>
        </w:rPr>
        <w:t>，余款</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作为质保金，在竣工验收合格后满两年结清。</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14.4.2其它进度款</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其它进度款有：</w:t>
      </w:r>
      <w:r>
        <w:rPr>
          <w:rFonts w:hint="eastAsia"/>
          <w:color w:val="000000" w:themeColor="text1"/>
          <w:sz w:val="24"/>
          <w:u w:val="single"/>
          <w14:textFill>
            <w14:solidFill>
              <w14:schemeClr w14:val="tx1"/>
            </w14:solidFill>
          </w14:textFill>
        </w:rPr>
        <w:t xml:space="preserve">     /        </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14.5  缺陷责任保修金的暂扣与支付</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14.</w:t>
      </w:r>
      <w:r>
        <w:rPr>
          <w:rFonts w:hint="eastAsia"/>
          <w:color w:val="000000" w:themeColor="text1"/>
          <w:sz w:val="24"/>
          <w14:textFill>
            <w14:solidFill>
              <w14:schemeClr w14:val="tx1"/>
            </w14:solidFill>
          </w14:textFill>
        </w:rPr>
        <w:t>5.2</w:t>
      </w:r>
      <w:r>
        <w:rPr>
          <w:color w:val="000000" w:themeColor="text1"/>
          <w:sz w:val="24"/>
          <w14:textFill>
            <w14:solidFill>
              <w14:schemeClr w14:val="tx1"/>
            </w14:solidFill>
          </w14:textFill>
        </w:rPr>
        <w:t>缺陷责任保修金的支付</w:t>
      </w:r>
    </w:p>
    <w:p>
      <w:pPr>
        <w:wordWrap w:val="0"/>
        <w:spacing w:line="300" w:lineRule="auto"/>
        <w:ind w:firstLine="480" w:firstLineChars="200"/>
        <w:rPr>
          <w:b/>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（2）缺陷责任保修金保函的格式、金额和时间：</w:t>
      </w:r>
      <w:r>
        <w:rPr>
          <w:rFonts w:hint="eastAsia"/>
          <w:color w:val="000000" w:themeColor="text1"/>
          <w:sz w:val="24"/>
          <w:u w:val="single"/>
          <w14:textFill>
            <w14:solidFill>
              <w14:schemeClr w14:val="tx1"/>
            </w14:solidFill>
          </w14:textFill>
        </w:rPr>
        <w:t xml:space="preserve">  </w:t>
      </w:r>
      <w:r>
        <w:rPr>
          <w:rFonts w:hint="eastAsia"/>
          <w:b/>
          <w:color w:val="000000" w:themeColor="text1"/>
          <w:sz w:val="24"/>
          <w:u w:val="single"/>
          <w14:textFill>
            <w14:solidFill>
              <w14:schemeClr w14:val="tx1"/>
            </w14:solidFill>
          </w14:textFill>
        </w:rPr>
        <w:t xml:space="preserve">/    </w:t>
      </w:r>
      <w:r>
        <w:rPr>
          <w:rFonts w:hint="eastAsia"/>
          <w:b/>
          <w:color w:val="000000" w:themeColor="text1"/>
          <w:sz w:val="24"/>
          <w14:textFill>
            <w14:solidFill>
              <w14:schemeClr w14:val="tx1"/>
            </w14:solidFill>
          </w14:textFill>
        </w:rPr>
        <w:t xml:space="preserve"> </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14.</w:t>
      </w:r>
      <w:r>
        <w:rPr>
          <w:rFonts w:hint="eastAsia"/>
          <w:b/>
          <w:color w:val="000000" w:themeColor="text1"/>
          <w:sz w:val="24"/>
          <w14:textFill>
            <w14:solidFill>
              <w14:schemeClr w14:val="tx1"/>
            </w14:solidFill>
          </w14:textFill>
        </w:rPr>
        <w:t>6  按月工程进度申请付款</w:t>
      </w:r>
    </w:p>
    <w:p>
      <w:pPr>
        <w:wordWrap w:val="0"/>
        <w:spacing w:before="120" w:beforeLines="50" w:after="120" w:afterLines="50"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按月付款申请报告的格式、内容、份数和提交时间：</w:t>
      </w:r>
      <w:r>
        <w:rPr>
          <w:rFonts w:hint="eastAsia"/>
          <w:color w:val="000000" w:themeColor="text1"/>
          <w:sz w:val="24"/>
          <w:u w:val="single"/>
          <w14:textFill>
            <w14:solidFill>
              <w14:schemeClr w14:val="tx1"/>
            </w14:solidFill>
          </w14:textFill>
        </w:rPr>
        <w:t>至少包含每月实际完成的工程量（含设计、采购、施工、竣工试验和竣工后试验等）及相应的合同金额，份数按发包人要求，时间：每月底</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14.</w:t>
      </w:r>
      <w:r>
        <w:rPr>
          <w:rFonts w:hint="eastAsia"/>
          <w:b/>
          <w:color w:val="000000" w:themeColor="text1"/>
          <w:sz w:val="24"/>
          <w14:textFill>
            <w14:solidFill>
              <w14:schemeClr w14:val="tx1"/>
            </w14:solidFill>
          </w14:textFill>
        </w:rPr>
        <w:t>7  按付款计划表申请付款</w:t>
      </w:r>
    </w:p>
    <w:p>
      <w:pPr>
        <w:wordWrap w:val="0"/>
        <w:spacing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付款期数、每期付款金额、每期需达到的主要计划形象进度和主要计划工程量进度：</w:t>
      </w:r>
    </w:p>
    <w:p>
      <w:pPr>
        <w:wordWrap w:val="0"/>
        <w:spacing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付款申请报告的格式、内容、份数和提交时间：按发包人、工程监理要求提交</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14.12  竣工结算</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14.</w:t>
      </w:r>
      <w:r>
        <w:rPr>
          <w:rFonts w:hint="eastAsia"/>
          <w:color w:val="000000" w:themeColor="text1"/>
          <w:sz w:val="24"/>
          <w14:textFill>
            <w14:solidFill>
              <w14:schemeClr w14:val="tx1"/>
            </w14:solidFill>
          </w14:textFill>
        </w:rPr>
        <w:t>12.1提交竣工结算资料</w:t>
      </w:r>
    </w:p>
    <w:p>
      <w:pPr>
        <w:wordWrap w:val="0"/>
        <w:spacing w:before="120" w:beforeLines="50" w:after="120" w:afterLines="50"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竣工结算资料的格式、内容和份数：</w:t>
      </w:r>
      <w:r>
        <w:rPr>
          <w:rFonts w:hint="eastAsia"/>
          <w:color w:val="000000" w:themeColor="text1"/>
          <w:sz w:val="24"/>
          <w:u w:val="single"/>
          <w14:textFill>
            <w14:solidFill>
              <w14:schemeClr w14:val="tx1"/>
            </w14:solidFill>
          </w14:textFill>
        </w:rPr>
        <w:t>按发包人要求提交</w:t>
      </w:r>
      <w:r>
        <w:rPr>
          <w:rFonts w:hint="eastAsia"/>
          <w:color w:val="000000" w:themeColor="text1"/>
          <w:sz w:val="24"/>
          <w14:textFill>
            <w14:solidFill>
              <w14:schemeClr w14:val="tx1"/>
            </w14:solidFill>
          </w14:textFill>
        </w:rPr>
        <w:t xml:space="preserve"> </w:t>
      </w:r>
    </w:p>
    <w:p>
      <w:pPr>
        <w:wordWrap w:val="0"/>
        <w:spacing w:before="120" w:beforeLines="50" w:after="120" w:afterLines="50" w:line="300" w:lineRule="auto"/>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本工程须经审计，并以发包人委托的审计单位的审计结论作为双方工程款结算的唯一依据。</w:t>
      </w:r>
    </w:p>
    <w:p>
      <w:pPr>
        <w:wordWrap w:val="0"/>
        <w:spacing w:before="120" w:beforeLines="50" w:after="120" w:afterLines="50" w:line="300" w:lineRule="auto"/>
        <w:ind w:firstLine="562" w:firstLineChars="200"/>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第</w:t>
      </w:r>
      <w:r>
        <w:rPr>
          <w:b/>
          <w:color w:val="000000" w:themeColor="text1"/>
          <w:sz w:val="28"/>
          <w:szCs w:val="28"/>
          <w14:textFill>
            <w14:solidFill>
              <w14:schemeClr w14:val="tx1"/>
            </w14:solidFill>
          </w14:textFill>
        </w:rPr>
        <w:t>1</w:t>
      </w:r>
      <w:r>
        <w:rPr>
          <w:rFonts w:hint="eastAsia"/>
          <w:b/>
          <w:color w:val="000000" w:themeColor="text1"/>
          <w:sz w:val="28"/>
          <w:szCs w:val="28"/>
          <w14:textFill>
            <w14:solidFill>
              <w14:schemeClr w14:val="tx1"/>
            </w14:solidFill>
          </w14:textFill>
        </w:rPr>
        <w:t>5条保险</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15.1  承包人的投保</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15.1.</w:t>
      </w:r>
      <w:r>
        <w:rPr>
          <w:rFonts w:hint="eastAsia"/>
          <w:color w:val="000000" w:themeColor="text1"/>
          <w:sz w:val="24"/>
          <w14:textFill>
            <w14:solidFill>
              <w14:schemeClr w14:val="tx1"/>
            </w14:solidFill>
          </w14:textFill>
        </w:rPr>
        <w:t>1合同双方商定，由承包人负责投保的保险种类、</w:t>
      </w:r>
      <w:r>
        <w:rPr>
          <w:color w:val="000000" w:themeColor="text1"/>
          <w:sz w:val="24"/>
          <w14:textFill>
            <w14:solidFill>
              <w14:schemeClr w14:val="tx1"/>
            </w14:solidFill>
          </w14:textFill>
        </w:rPr>
        <w:t>保险范围、投保金额、保险期限和持续有效</w:t>
      </w:r>
      <w:r>
        <w:rPr>
          <w:rFonts w:hint="eastAsia"/>
          <w:color w:val="000000" w:themeColor="text1"/>
          <w:sz w:val="24"/>
          <w14:textFill>
            <w14:solidFill>
              <w14:schemeClr w14:val="tx1"/>
            </w14:solidFill>
          </w14:textFill>
        </w:rPr>
        <w:t>的时间：</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承包人投保内容（不限于）：工程一切险、第三者责任险、外来人员综合保险；为运至施工场地内用于工程的材料设备办理保险；为从事危险作业的职工办理意外伤害保险；为施工场地内己方人员生命财产和施工机械设备办理保险等及政府规定的必须由承包人投保的其他强制性工程保险内容，所需费用已经计入签约合同价</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15.2  一切险和第三方责任</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土建工程一切险的投保方及对投保的相关要求：投保方为承包人，相关要求详见通用条款</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安装工程及竣工试验一切险的投保方及对投保的相关要求：投保方为承包人，相关要求详见通用条款</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第三者责任险的应投保方及对投保的相关要求</w:t>
      </w:r>
      <w:r>
        <w:rPr>
          <w:rFonts w:hint="eastAsia"/>
          <w:color w:val="000000" w:themeColor="text1"/>
          <w:sz w:val="24"/>
          <w:u w:val="single"/>
          <w14:textFill>
            <w14:solidFill>
              <w14:schemeClr w14:val="tx1"/>
            </w14:solidFill>
          </w14:textFill>
        </w:rPr>
        <w:t>：</w:t>
      </w:r>
      <w:r>
        <w:rPr>
          <w:rFonts w:hint="eastAsia"/>
          <w:color w:val="000000" w:themeColor="text1"/>
          <w:sz w:val="24"/>
          <w14:textFill>
            <w14:solidFill>
              <w14:schemeClr w14:val="tx1"/>
            </w14:solidFill>
          </w14:textFill>
        </w:rPr>
        <w:t>投保方为承包人，相关要求详见通用条款</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所需费用已经计入签约合同价</w:t>
      </w:r>
    </w:p>
    <w:p>
      <w:pPr>
        <w:wordWrap w:val="0"/>
        <w:spacing w:before="120" w:beforeLines="50" w:after="120" w:afterLines="50" w:line="300" w:lineRule="auto"/>
        <w:ind w:firstLine="562" w:firstLineChars="200"/>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第</w:t>
      </w:r>
      <w:r>
        <w:rPr>
          <w:b/>
          <w:color w:val="000000" w:themeColor="text1"/>
          <w:sz w:val="28"/>
          <w:szCs w:val="28"/>
          <w14:textFill>
            <w14:solidFill>
              <w14:schemeClr w14:val="tx1"/>
            </w14:solidFill>
          </w14:textFill>
        </w:rPr>
        <w:t>16</w:t>
      </w:r>
      <w:r>
        <w:rPr>
          <w:rFonts w:hint="eastAsia"/>
          <w:b/>
          <w:color w:val="000000" w:themeColor="text1"/>
          <w:sz w:val="28"/>
          <w:szCs w:val="28"/>
          <w14:textFill>
            <w14:solidFill>
              <w14:schemeClr w14:val="tx1"/>
            </w14:solidFill>
          </w14:textFill>
        </w:rPr>
        <w:t>条违约、索赔和裁决</w:t>
      </w:r>
    </w:p>
    <w:p>
      <w:pPr>
        <w:wordWrap w:val="0"/>
        <w:spacing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16.</w:t>
      </w:r>
      <w:r>
        <w:rPr>
          <w:rFonts w:hint="eastAsia"/>
          <w:b/>
          <w:color w:val="000000" w:themeColor="text1"/>
          <w:sz w:val="24"/>
          <w14:textFill>
            <w14:solidFill>
              <w14:schemeClr w14:val="tx1"/>
            </w14:solidFill>
          </w14:textFill>
        </w:rPr>
        <w:t>3  争议和裁决</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16.</w:t>
      </w:r>
      <w:r>
        <w:rPr>
          <w:rFonts w:hint="eastAsia"/>
          <w:color w:val="000000" w:themeColor="text1"/>
          <w:sz w:val="24"/>
          <w14:textFill>
            <w14:solidFill>
              <w14:schemeClr w14:val="tx1"/>
            </w14:solidFill>
          </w14:textFill>
        </w:rPr>
        <w:t>3</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争议的解决程序</w:t>
      </w:r>
    </w:p>
    <w:p>
      <w:pPr>
        <w:wordWrap w:val="0"/>
        <w:spacing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在争议提交调解之日起30日内，双方仍存有争议时，或合同任何一方不同意调解的，在以下方式中选择其一，作为双方解决争议事项的约定。</w:t>
      </w:r>
    </w:p>
    <w:p>
      <w:pPr>
        <w:numPr>
          <w:ilvl w:val="0"/>
          <w:numId w:val="4"/>
        </w:numPr>
        <w:wordWrap w:val="0"/>
        <w:spacing w:line="300" w:lineRule="auto"/>
        <w:ind w:left="0"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提交仲裁委员会，按照申请仲裁时该会有效的仲裁规则进行仲裁。仲裁裁决是终局的，对双方均有约束力。</w:t>
      </w:r>
    </w:p>
    <w:p>
      <w:pPr>
        <w:wordWrap w:val="0"/>
        <w:spacing w:line="300" w:lineRule="auto"/>
        <w:ind w:left="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■向所在地有管辖权的人民法院提起诉讼。</w:t>
      </w:r>
    </w:p>
    <w:p>
      <w:pPr>
        <w:wordWrap w:val="0"/>
        <w:spacing w:before="120" w:beforeLines="50" w:after="120" w:afterLines="50" w:line="300" w:lineRule="auto"/>
        <w:ind w:firstLine="562" w:firstLineChars="200"/>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第1</w:t>
      </w:r>
      <w:r>
        <w:rPr>
          <w:rFonts w:hint="eastAsia"/>
          <w:b/>
          <w:color w:val="000000" w:themeColor="text1"/>
          <w:sz w:val="28"/>
          <w:szCs w:val="28"/>
          <w14:textFill>
            <w14:solidFill>
              <w14:schemeClr w14:val="tx1"/>
            </w14:solidFill>
          </w14:textFill>
        </w:rPr>
        <w:t>9</w:t>
      </w:r>
      <w:r>
        <w:rPr>
          <w:b/>
          <w:color w:val="000000" w:themeColor="text1"/>
          <w:sz w:val="28"/>
          <w:szCs w:val="28"/>
          <w14:textFill>
            <w14:solidFill>
              <w14:schemeClr w14:val="tx1"/>
            </w14:solidFill>
          </w14:textFill>
        </w:rPr>
        <w:t>条合同生效与</w:t>
      </w:r>
      <w:r>
        <w:rPr>
          <w:rFonts w:hint="eastAsia"/>
          <w:b/>
          <w:color w:val="000000" w:themeColor="text1"/>
          <w:sz w:val="28"/>
          <w:szCs w:val="28"/>
          <w14:textFill>
            <w14:solidFill>
              <w14:schemeClr w14:val="tx1"/>
            </w14:solidFill>
          </w14:textFill>
        </w:rPr>
        <w:t>合同</w:t>
      </w:r>
      <w:r>
        <w:rPr>
          <w:b/>
          <w:color w:val="000000" w:themeColor="text1"/>
          <w:sz w:val="28"/>
          <w:szCs w:val="28"/>
          <w14:textFill>
            <w14:solidFill>
              <w14:schemeClr w14:val="tx1"/>
            </w14:solidFill>
          </w14:textFill>
        </w:rPr>
        <w:t>终止</w:t>
      </w:r>
    </w:p>
    <w:p>
      <w:pPr>
        <w:wordWrap w:val="0"/>
        <w:spacing w:before="120" w:beforeLines="50" w:after="120" w:afterLines="50" w:line="30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w:t>
      </w:r>
      <w:r>
        <w:rPr>
          <w:rFonts w:hint="eastAsia"/>
          <w:b/>
          <w:color w:val="000000" w:themeColor="text1"/>
          <w:sz w:val="24"/>
          <w14:textFill>
            <w14:solidFill>
              <w14:schemeClr w14:val="tx1"/>
            </w14:solidFill>
          </w14:textFill>
        </w:rPr>
        <w:t>9</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 xml:space="preserve">2  </w:t>
      </w:r>
      <w:r>
        <w:rPr>
          <w:b/>
          <w:color w:val="000000" w:themeColor="text1"/>
          <w:sz w:val="24"/>
          <w14:textFill>
            <w14:solidFill>
              <w14:schemeClr w14:val="tx1"/>
            </w14:solidFill>
          </w14:textFill>
        </w:rPr>
        <w:t>合同</w:t>
      </w:r>
      <w:r>
        <w:rPr>
          <w:rFonts w:hint="eastAsia"/>
          <w:b/>
          <w:color w:val="000000" w:themeColor="text1"/>
          <w:sz w:val="24"/>
          <w14:textFill>
            <w14:solidFill>
              <w14:schemeClr w14:val="tx1"/>
            </w14:solidFill>
          </w14:textFill>
        </w:rPr>
        <w:t>份数</w:t>
      </w:r>
    </w:p>
    <w:p>
      <w:pPr>
        <w:wordWrap w:val="0"/>
        <w:spacing w:before="120" w:beforeLines="50" w:after="120" w:afterLines="50"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本合同正本一式：</w:t>
      </w:r>
      <w:r>
        <w:rPr>
          <w:rFonts w:hint="eastAsia"/>
          <w:color w:val="000000" w:themeColor="text1"/>
          <w:sz w:val="24"/>
          <w14:textFill>
            <w14:solidFill>
              <w14:schemeClr w14:val="tx1"/>
            </w14:solidFill>
          </w14:textFill>
        </w:rPr>
        <w:t>贰</w:t>
      </w:r>
      <w:r>
        <w:rPr>
          <w:color w:val="000000" w:themeColor="text1"/>
          <w:sz w:val="24"/>
          <w14:textFill>
            <w14:solidFill>
              <w14:schemeClr w14:val="tx1"/>
            </w14:solidFill>
          </w14:textFill>
        </w:rPr>
        <w:t>份，合同副本一式：</w:t>
      </w:r>
      <w:r>
        <w:rPr>
          <w:rFonts w:hint="eastAsia"/>
          <w:color w:val="000000" w:themeColor="text1"/>
          <w:sz w:val="24"/>
          <w14:textFill>
            <w14:solidFill>
              <w14:schemeClr w14:val="tx1"/>
            </w14:solidFill>
          </w14:textFill>
        </w:rPr>
        <w:t>陆</w:t>
      </w:r>
      <w:r>
        <w:rPr>
          <w:color w:val="000000" w:themeColor="text1"/>
          <w:sz w:val="24"/>
          <w14:textFill>
            <w14:solidFill>
              <w14:schemeClr w14:val="tx1"/>
            </w14:solidFill>
          </w14:textFill>
        </w:rPr>
        <w:t>份。</w:t>
      </w:r>
      <w:r>
        <w:rPr>
          <w:rFonts w:hint="eastAsia"/>
          <w:color w:val="000000" w:themeColor="text1"/>
          <w:sz w:val="24"/>
          <w14:textFill>
            <w14:solidFill>
              <w14:schemeClr w14:val="tx1"/>
            </w14:solidFill>
          </w14:textFill>
        </w:rPr>
        <w:t>合同双方应持的正本份数：壹份，副本份数：叁份。</w:t>
      </w:r>
    </w:p>
    <w:p>
      <w:pPr>
        <w:wordWrap w:val="0"/>
        <w:spacing w:before="120" w:beforeLines="50" w:after="120" w:afterLines="50" w:line="300" w:lineRule="auto"/>
        <w:ind w:firstLine="562" w:firstLineChars="200"/>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第</w:t>
      </w:r>
      <w:r>
        <w:rPr>
          <w:rFonts w:hint="eastAsia"/>
          <w:b/>
          <w:color w:val="000000" w:themeColor="text1"/>
          <w:sz w:val="28"/>
          <w:szCs w:val="28"/>
          <w14:textFill>
            <w14:solidFill>
              <w14:schemeClr w14:val="tx1"/>
            </w14:solidFill>
          </w14:textFill>
        </w:rPr>
        <w:t>20</w:t>
      </w:r>
      <w:r>
        <w:rPr>
          <w:b/>
          <w:color w:val="000000" w:themeColor="text1"/>
          <w:sz w:val="28"/>
          <w:szCs w:val="28"/>
          <w14:textFill>
            <w14:solidFill>
              <w14:schemeClr w14:val="tx1"/>
            </w14:solidFill>
          </w14:textFill>
        </w:rPr>
        <w:t>条</w:t>
      </w:r>
      <w:r>
        <w:rPr>
          <w:rFonts w:hint="eastAsia"/>
          <w:b/>
          <w:color w:val="000000" w:themeColor="text1"/>
          <w:sz w:val="28"/>
          <w:szCs w:val="28"/>
          <w14:textFill>
            <w14:solidFill>
              <w14:schemeClr w14:val="tx1"/>
            </w14:solidFill>
          </w14:textFill>
        </w:rPr>
        <w:t>补充条款</w:t>
      </w:r>
    </w:p>
    <w:p>
      <w:pPr>
        <w:wordWrap w:val="0"/>
        <w:spacing w:before="120" w:beforeLines="50" w:after="120" w:afterLines="50"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20.1承包人不得将本项工程转包或允许他人挂靠，一经发现，发包人有权终止合同，给发包人造成损失的，还应承担经济责任和法律责任；</w:t>
      </w:r>
    </w:p>
    <w:p>
      <w:pPr>
        <w:wordWrap w:val="0"/>
        <w:spacing w:before="120" w:beforeLines="50" w:after="120" w:afterLines="50"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20.2、本工程施工过程中遇到的地方矛盾及由此发生的费用由承包人自行负责；</w:t>
      </w:r>
    </w:p>
    <w:p>
      <w:pPr>
        <w:wordWrap w:val="0"/>
        <w:spacing w:before="120" w:beforeLines="50" w:after="120" w:afterLines="50"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20.3、承包人自行承担工程施工过程中的工程质量、任何状况下的安全责任，发生的一切问题和责任与发包人无关，相关一切费用或责任均由承包人处理。若承包人不能及时处理所发生的问题和责任，并且影响到工程进度时，发包人有权处理相关事务，所发生的费用在支付工程款时扣除；</w:t>
      </w:r>
    </w:p>
    <w:p>
      <w:pPr>
        <w:wordWrap w:val="0"/>
        <w:spacing w:before="120" w:beforeLines="50" w:after="120" w:afterLines="50"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20.4、承包人应根据建设工程文件归档要求进行归档管理，如涉及到相关费用，由承包人自行承担。</w:t>
      </w:r>
    </w:p>
    <w:p>
      <w:pPr>
        <w:wordWrap w:val="0"/>
        <w:spacing w:before="120" w:beforeLines="50" w:after="120" w:afterLines="50"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20.5、签订合同前，承包人须按规定缴纳农民工工资保证金。承包人必须保证农民工工资及时发放到位，不得截留和拖欠。若发包人发现一次承包人因农民工工资未及时发放而造成矛盾，发包人有权扣除承包人应得工程款而直接用于发放，并扣承包人拖欠发放额的30％作为违约金。</w:t>
      </w:r>
    </w:p>
    <w:p>
      <w:pPr>
        <w:wordWrap w:val="0"/>
        <w:spacing w:before="120" w:beforeLines="50" w:after="120" w:afterLines="50"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20.6承包人须按约定的工期完成全部工程内容，工程质量经评定达到约定质量标准，承包人还须按有关规定及时向发包人、工程监理提交各类资料，因承包人原因导致本工程延期竣工（交付），承包人除按本合同计算违约金外，给发包人造成损失的，发包人将依法追偿。</w:t>
      </w:r>
    </w:p>
    <w:p>
      <w:pPr>
        <w:wordWrap w:val="0"/>
        <w:spacing w:before="120" w:beforeLines="50" w:after="120" w:afterLines="50"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20.7若发生本合同约定的解除、终止事由或者双方经协商一致书面确认本合同解除、终止的，承包人应在合同解除或终止之日起15天内撤离现场，并做好相应的移交或清场工作。</w:t>
      </w:r>
    </w:p>
    <w:p>
      <w:pPr>
        <w:wordWrap w:val="0"/>
        <w:spacing w:before="120" w:beforeLines="50" w:after="120" w:afterLines="50" w:line="30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20.8工程竣工后,承包人应按照发包人要求清理所有的临时性工程场地和临时道路，将这些场地恢复到原有状况，至少达到施工开始前的标准</w:t>
      </w:r>
    </w:p>
    <w:p>
      <w:pPr>
        <w:wordWrap w:val="0"/>
        <w:spacing w:line="30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p>
    <w:p>
      <w:pPr>
        <w:wordWrap w:val="0"/>
        <w:spacing w:line="300" w:lineRule="auto"/>
        <w:ind w:firstLine="480" w:firstLineChars="200"/>
        <w:rPr>
          <w:color w:val="000000" w:themeColor="text1"/>
          <w:sz w:val="24"/>
          <w14:textFill>
            <w14:solidFill>
              <w14:schemeClr w14:val="tx1"/>
            </w14:solidFill>
          </w14:textFill>
        </w:rPr>
      </w:pPr>
    </w:p>
    <w:p>
      <w:pPr>
        <w:pStyle w:val="22"/>
        <w:wordWrap w:val="0"/>
        <w:jc w:val="center"/>
        <w:rPr>
          <w:rFonts w:ascii="Times New Roman" w:hAnsi="Times New Roman" w:eastAsia="华文中宋"/>
          <w:b/>
          <w:color w:val="000000" w:themeColor="text1"/>
          <w:sz w:val="52"/>
          <w:szCs w:val="52"/>
          <w14:textFill>
            <w14:solidFill>
              <w14:schemeClr w14:val="tx1"/>
            </w14:solidFill>
          </w14:textFill>
        </w:rPr>
      </w:pPr>
    </w:p>
    <w:bookmarkEnd w:id="1"/>
    <w:p>
      <w:pPr>
        <w:wordWrap w:val="0"/>
        <w:spacing w:line="360" w:lineRule="auto"/>
        <w:rPr>
          <w:rFonts w:ascii="宋体" w:hAnsi="宋体"/>
          <w:color w:val="000000" w:themeColor="text1"/>
          <w:szCs w:val="21"/>
          <w14:textFill>
            <w14:solidFill>
              <w14:schemeClr w14:val="tx1"/>
            </w14:solidFill>
          </w14:textFill>
        </w:rPr>
        <w:sectPr>
          <w:pgSz w:w="11907" w:h="16840"/>
          <w:pgMar w:top="1440" w:right="1559" w:bottom="1440" w:left="1560" w:header="851" w:footer="851" w:gutter="0"/>
          <w:pgBorders>
            <w:top w:val="none" w:sz="0" w:space="0"/>
            <w:left w:val="none" w:sz="0" w:space="0"/>
            <w:bottom w:val="none" w:sz="0" w:space="0"/>
            <w:right w:val="none" w:sz="0" w:space="0"/>
          </w:pgBorders>
          <w:pgNumType w:fmt="decimal"/>
          <w:cols w:space="720" w:num="1"/>
          <w:docGrid w:linePitch="312" w:charSpace="0"/>
        </w:sectPr>
      </w:pPr>
      <w:bookmarkStart w:id="153" w:name="_Toc358569763"/>
    </w:p>
    <w:p>
      <w:pPr>
        <w:wordWrap w:val="0"/>
        <w:spacing w:line="360" w:lineRule="auto"/>
        <w:rPr>
          <w:rFonts w:ascii="宋体" w:hAnsi="宋体"/>
          <w:color w:val="000000" w:themeColor="text1"/>
          <w:szCs w:val="21"/>
          <w14:textFill>
            <w14:solidFill>
              <w14:schemeClr w14:val="tx1"/>
            </w14:solidFill>
          </w14:textFill>
        </w:rPr>
      </w:pPr>
    </w:p>
    <w:p>
      <w:pPr>
        <w:pStyle w:val="3"/>
        <w:wordWrap w:val="0"/>
        <w:jc w:val="center"/>
        <w:rPr>
          <w:color w:val="000000" w:themeColor="text1"/>
          <w14:textFill>
            <w14:solidFill>
              <w14:schemeClr w14:val="tx1"/>
            </w14:solidFill>
          </w14:textFill>
        </w:rPr>
      </w:pPr>
      <w:bookmarkStart w:id="154" w:name="_Toc17171"/>
      <w:r>
        <w:rPr>
          <w:color w:val="000000" w:themeColor="text1"/>
          <w14:textFill>
            <w14:solidFill>
              <w14:schemeClr w14:val="tx1"/>
            </w14:solidFill>
          </w14:textFill>
        </w:rPr>
        <w:t>第五章</w:t>
      </w:r>
      <w:r>
        <w:rPr>
          <w:rFonts w:hint="eastAsia"/>
          <w:color w:val="000000" w:themeColor="text1"/>
          <w14:textFill>
            <w14:solidFill>
              <w14:schemeClr w14:val="tx1"/>
            </w14:solidFill>
          </w14:textFill>
        </w:rPr>
        <w:t xml:space="preserve">  报价</w:t>
      </w:r>
      <w:r>
        <w:rPr>
          <w:color w:val="000000" w:themeColor="text1"/>
          <w14:textFill>
            <w14:solidFill>
              <w14:schemeClr w14:val="tx1"/>
            </w14:solidFill>
          </w14:textFill>
        </w:rPr>
        <w:t>清单</w:t>
      </w:r>
      <w:bookmarkEnd w:id="154"/>
    </w:p>
    <w:p>
      <w:pPr>
        <w:kinsoku w:val="0"/>
        <w:wordWrap w:val="0"/>
        <w:overflowPunct w:val="0"/>
        <w:autoSpaceDE w:val="0"/>
        <w:autoSpaceDN w:val="0"/>
        <w:adjustRightInd w:val="0"/>
        <w:ind w:left="117"/>
        <w:jc w:val="left"/>
        <w:outlineLvl w:val="6"/>
        <w:rPr>
          <w:b/>
          <w:bCs/>
          <w:color w:val="000000" w:themeColor="text1"/>
          <w:spacing w:val="1"/>
          <w:kern w:val="0"/>
          <w:sz w:val="24"/>
          <w14:textFill>
            <w14:solidFill>
              <w14:schemeClr w14:val="tx1"/>
            </w14:solidFill>
          </w14:textFill>
        </w:rPr>
      </w:pPr>
    </w:p>
    <w:p>
      <w:pPr>
        <w:pStyle w:val="5"/>
        <w:wordWrap w:val="0"/>
        <w:rPr>
          <w:color w:val="000000" w:themeColor="text1"/>
          <w:kern w:val="0"/>
          <w14:textFill>
            <w14:solidFill>
              <w14:schemeClr w14:val="tx1"/>
            </w14:solidFill>
          </w14:textFill>
        </w:rPr>
      </w:pPr>
      <w:bookmarkStart w:id="155" w:name="_Toc505161878"/>
      <w:bookmarkStart w:id="156" w:name="_Toc8623"/>
      <w:r>
        <w:rPr>
          <w:rFonts w:hint="eastAsia"/>
          <w:color w:val="000000" w:themeColor="text1"/>
          <w:kern w:val="0"/>
          <w14:textFill>
            <w14:solidFill>
              <w14:schemeClr w14:val="tx1"/>
            </w14:solidFill>
          </w14:textFill>
        </w:rPr>
        <w:t>1.报价清单综合说明</w:t>
      </w:r>
      <w:bookmarkEnd w:id="155"/>
      <w:bookmarkEnd w:id="156"/>
    </w:p>
    <w:p>
      <w:pPr>
        <w:wordWrap w:val="0"/>
        <w:spacing w:line="360" w:lineRule="auto"/>
        <w:ind w:firstLine="359" w:firstLineChars="171"/>
        <w:rPr>
          <w:rFonts w:ascii="Calibri" w:hAnsi="Calibri"/>
          <w:color w:val="000000" w:themeColor="text1"/>
          <w:szCs w:val="22"/>
          <w14:textFill>
            <w14:solidFill>
              <w14:schemeClr w14:val="tx1"/>
            </w14:solidFill>
          </w14:textFill>
        </w:rPr>
      </w:pPr>
      <w:r>
        <w:rPr>
          <w:rFonts w:hint="eastAsia" w:ascii="Calibri" w:hAnsi="Calibri"/>
          <w:color w:val="000000" w:themeColor="text1"/>
          <w:szCs w:val="22"/>
          <w14:textFill>
            <w14:solidFill>
              <w14:schemeClr w14:val="tx1"/>
            </w14:solidFill>
          </w14:textFill>
        </w:rPr>
        <w:t>1</w:t>
      </w:r>
      <w:r>
        <w:rPr>
          <w:rFonts w:ascii="Calibri" w:hAnsi="Calibri"/>
          <w:color w:val="000000" w:themeColor="text1"/>
          <w:szCs w:val="22"/>
          <w14:textFill>
            <w14:solidFill>
              <w14:schemeClr w14:val="tx1"/>
            </w14:solidFill>
          </w14:textFill>
        </w:rPr>
        <w:t>.1</w:t>
      </w:r>
      <w:r>
        <w:rPr>
          <w:rFonts w:hint="eastAsia" w:ascii="Calibri" w:hAnsi="Calibri"/>
          <w:color w:val="000000" w:themeColor="text1"/>
          <w:szCs w:val="22"/>
          <w14:textFill>
            <w14:solidFill>
              <w14:schemeClr w14:val="tx1"/>
            </w14:solidFill>
          </w14:textFill>
        </w:rPr>
        <w:t>工程总承包报价范围包括建筑安装工程费、设备及工器具购置费、工程建设其他费及暂列金额等；投标人应充分了解施工场地的位置、周边环境、道路、装卸、保管、安装限制以及影响投标报价的其他要素。投标人根据投标设计，结合市场情况进行投标报价。投标报价应根据招标文件中的有关计价要求，并按照下列依据自主报价，但不得低于成本。</w:t>
      </w:r>
    </w:p>
    <w:p>
      <w:pPr>
        <w:wordWrap w:val="0"/>
        <w:spacing w:line="360" w:lineRule="auto"/>
        <w:ind w:firstLine="359" w:firstLineChars="171"/>
        <w:rPr>
          <w:rFonts w:ascii="Calibri" w:hAnsi="Calibri"/>
          <w:color w:val="000000" w:themeColor="text1"/>
          <w:szCs w:val="22"/>
          <w14:textFill>
            <w14:solidFill>
              <w14:schemeClr w14:val="tx1"/>
            </w14:solidFill>
          </w14:textFill>
        </w:rPr>
      </w:pPr>
      <w:r>
        <w:rPr>
          <w:rFonts w:ascii="Calibri" w:hAnsi="Calibri"/>
          <w:color w:val="000000" w:themeColor="text1"/>
          <w:szCs w:val="22"/>
          <w14:textFill>
            <w14:solidFill>
              <w14:schemeClr w14:val="tx1"/>
            </w14:solidFill>
          </w14:textFill>
        </w:rPr>
        <w:t xml:space="preserve">(1)  </w:t>
      </w:r>
      <w:r>
        <w:rPr>
          <w:rFonts w:hint="eastAsia" w:ascii="Calibri" w:hAnsi="Calibri"/>
          <w:color w:val="000000" w:themeColor="text1"/>
          <w:szCs w:val="22"/>
          <w14:textFill>
            <w14:solidFill>
              <w14:schemeClr w14:val="tx1"/>
            </w14:solidFill>
          </w14:textFill>
        </w:rPr>
        <w:t>本</w:t>
      </w:r>
      <w:r>
        <w:rPr>
          <w:rFonts w:hint="eastAsia" w:ascii="仿宋_GB2312" w:hAnsi="Calibri"/>
          <w:color w:val="000000" w:themeColor="text1"/>
          <w:szCs w:val="28"/>
          <w14:textFill>
            <w14:solidFill>
              <w14:schemeClr w14:val="tx1"/>
            </w14:solidFill>
          </w14:textFill>
        </w:rPr>
        <w:t>招标文件及其补充通知、答疑纪要</w:t>
      </w:r>
      <w:r>
        <w:rPr>
          <w:rFonts w:hint="eastAsia" w:ascii="Calibri" w:hAnsi="Calibri"/>
          <w:color w:val="000000" w:themeColor="text1"/>
          <w:szCs w:val="22"/>
          <w14:textFill>
            <w14:solidFill>
              <w14:schemeClr w14:val="tx1"/>
            </w14:solidFill>
          </w14:textFill>
        </w:rPr>
        <w:t>；</w:t>
      </w:r>
    </w:p>
    <w:p>
      <w:pPr>
        <w:wordWrap w:val="0"/>
        <w:spacing w:line="360" w:lineRule="auto"/>
        <w:ind w:firstLine="359" w:firstLineChars="171"/>
        <w:rPr>
          <w:rFonts w:ascii="Calibri" w:hAnsi="Calibri"/>
          <w:color w:val="000000" w:themeColor="text1"/>
          <w:szCs w:val="22"/>
          <w14:textFill>
            <w14:solidFill>
              <w14:schemeClr w14:val="tx1"/>
            </w14:solidFill>
          </w14:textFill>
        </w:rPr>
      </w:pPr>
      <w:r>
        <w:rPr>
          <w:rFonts w:ascii="Calibri" w:hAnsi="Calibri"/>
          <w:color w:val="000000" w:themeColor="text1"/>
          <w:szCs w:val="22"/>
          <w14:textFill>
            <w14:solidFill>
              <w14:schemeClr w14:val="tx1"/>
            </w14:solidFill>
          </w14:textFill>
        </w:rPr>
        <w:t xml:space="preserve">(2)  </w:t>
      </w:r>
      <w:r>
        <w:rPr>
          <w:rFonts w:hint="eastAsia" w:ascii="Calibri" w:hAnsi="Calibri"/>
          <w:color w:val="000000" w:themeColor="text1"/>
          <w:szCs w:val="22"/>
          <w14:textFill>
            <w14:solidFill>
              <w14:schemeClr w14:val="tx1"/>
            </w14:solidFill>
          </w14:textFill>
        </w:rPr>
        <w:t>国家或省级、行业建设主管部门颁发的计价办法；</w:t>
      </w:r>
    </w:p>
    <w:p>
      <w:pPr>
        <w:wordWrap w:val="0"/>
        <w:spacing w:line="360" w:lineRule="auto"/>
        <w:ind w:firstLine="359" w:firstLineChars="171"/>
        <w:rPr>
          <w:rFonts w:ascii="Calibri" w:hAnsi="Calibri"/>
          <w:color w:val="000000" w:themeColor="text1"/>
          <w:szCs w:val="22"/>
          <w14:textFill>
            <w14:solidFill>
              <w14:schemeClr w14:val="tx1"/>
            </w14:solidFill>
          </w14:textFill>
        </w:rPr>
      </w:pPr>
      <w:r>
        <w:rPr>
          <w:rFonts w:ascii="Calibri" w:hAnsi="Calibri"/>
          <w:color w:val="000000" w:themeColor="text1"/>
          <w:szCs w:val="22"/>
          <w14:textFill>
            <w14:solidFill>
              <w14:schemeClr w14:val="tx1"/>
            </w14:solidFill>
          </w14:textFill>
        </w:rPr>
        <w:t>(</w:t>
      </w:r>
      <w:r>
        <w:rPr>
          <w:rFonts w:hint="eastAsia" w:ascii="Calibri" w:hAnsi="Calibri"/>
          <w:color w:val="000000" w:themeColor="text1"/>
          <w:szCs w:val="22"/>
          <w14:textFill>
            <w14:solidFill>
              <w14:schemeClr w14:val="tx1"/>
            </w14:solidFill>
          </w14:textFill>
        </w:rPr>
        <w:t>3</w:t>
      </w:r>
      <w:r>
        <w:rPr>
          <w:rFonts w:ascii="Calibri" w:hAnsi="Calibri"/>
          <w:color w:val="000000" w:themeColor="text1"/>
          <w:szCs w:val="22"/>
          <w14:textFill>
            <w14:solidFill>
              <w14:schemeClr w14:val="tx1"/>
            </w14:solidFill>
          </w14:textFill>
        </w:rPr>
        <w:t xml:space="preserve">)  </w:t>
      </w:r>
      <w:r>
        <w:rPr>
          <w:rFonts w:hint="eastAsia" w:ascii="Calibri" w:hAnsi="Calibri"/>
          <w:color w:val="000000" w:themeColor="text1"/>
          <w:szCs w:val="22"/>
          <w14:textFill>
            <w14:solidFill>
              <w14:schemeClr w14:val="tx1"/>
            </w14:solidFill>
          </w14:textFill>
        </w:rPr>
        <w:t>企业定额，国家或省级、行业建设主管部门颁发的计价定额；</w:t>
      </w:r>
    </w:p>
    <w:p>
      <w:pPr>
        <w:wordWrap w:val="0"/>
        <w:spacing w:line="360" w:lineRule="auto"/>
        <w:ind w:firstLine="359" w:firstLineChars="171"/>
        <w:rPr>
          <w:rFonts w:ascii="Calibri" w:hAnsi="Calibri"/>
          <w:color w:val="000000" w:themeColor="text1"/>
          <w:szCs w:val="22"/>
          <w14:textFill>
            <w14:solidFill>
              <w14:schemeClr w14:val="tx1"/>
            </w14:solidFill>
          </w14:textFill>
        </w:rPr>
      </w:pPr>
      <w:r>
        <w:rPr>
          <w:rFonts w:ascii="Calibri" w:hAnsi="Calibri"/>
          <w:color w:val="000000" w:themeColor="text1"/>
          <w:szCs w:val="22"/>
          <w14:textFill>
            <w14:solidFill>
              <w14:schemeClr w14:val="tx1"/>
            </w14:solidFill>
          </w14:textFill>
        </w:rPr>
        <w:t>(</w:t>
      </w:r>
      <w:r>
        <w:rPr>
          <w:rFonts w:hint="eastAsia" w:ascii="Calibri" w:hAnsi="Calibri"/>
          <w:color w:val="000000" w:themeColor="text1"/>
          <w:szCs w:val="22"/>
          <w14:textFill>
            <w14:solidFill>
              <w14:schemeClr w14:val="tx1"/>
            </w14:solidFill>
          </w14:textFill>
        </w:rPr>
        <w:t>4</w:t>
      </w:r>
      <w:r>
        <w:rPr>
          <w:rFonts w:ascii="Calibri" w:hAnsi="Calibri"/>
          <w:color w:val="000000" w:themeColor="text1"/>
          <w:szCs w:val="22"/>
          <w14:textFill>
            <w14:solidFill>
              <w14:schemeClr w14:val="tx1"/>
            </w14:solidFill>
          </w14:textFill>
        </w:rPr>
        <w:t xml:space="preserve">)  </w:t>
      </w:r>
      <w:r>
        <w:rPr>
          <w:rFonts w:hint="eastAsia" w:ascii="Calibri" w:hAnsi="Calibri"/>
          <w:color w:val="000000" w:themeColor="text1"/>
          <w:szCs w:val="22"/>
          <w14:textFill>
            <w14:solidFill>
              <w14:schemeClr w14:val="tx1"/>
            </w14:solidFill>
          </w14:textFill>
        </w:rPr>
        <w:t>投标设计文件及相关资料；</w:t>
      </w:r>
    </w:p>
    <w:p>
      <w:pPr>
        <w:wordWrap w:val="0"/>
        <w:spacing w:line="360" w:lineRule="auto"/>
        <w:ind w:firstLine="359" w:firstLineChars="171"/>
        <w:rPr>
          <w:rFonts w:ascii="Calibri" w:hAnsi="Calibri"/>
          <w:color w:val="000000" w:themeColor="text1"/>
          <w:szCs w:val="22"/>
          <w14:textFill>
            <w14:solidFill>
              <w14:schemeClr w14:val="tx1"/>
            </w14:solidFill>
          </w14:textFill>
        </w:rPr>
      </w:pPr>
      <w:r>
        <w:rPr>
          <w:rFonts w:ascii="Calibri" w:hAnsi="Calibri"/>
          <w:color w:val="000000" w:themeColor="text1"/>
          <w:szCs w:val="22"/>
          <w14:textFill>
            <w14:solidFill>
              <w14:schemeClr w14:val="tx1"/>
            </w14:solidFill>
          </w14:textFill>
        </w:rPr>
        <w:t>(</w:t>
      </w:r>
      <w:r>
        <w:rPr>
          <w:rFonts w:hint="eastAsia" w:ascii="Calibri" w:hAnsi="Calibri"/>
          <w:color w:val="000000" w:themeColor="text1"/>
          <w:szCs w:val="22"/>
          <w14:textFill>
            <w14:solidFill>
              <w14:schemeClr w14:val="tx1"/>
            </w14:solidFill>
          </w14:textFill>
        </w:rPr>
        <w:t>5</w:t>
      </w:r>
      <w:r>
        <w:rPr>
          <w:rFonts w:ascii="Calibri" w:hAnsi="Calibri"/>
          <w:color w:val="000000" w:themeColor="text1"/>
          <w:szCs w:val="22"/>
          <w14:textFill>
            <w14:solidFill>
              <w14:schemeClr w14:val="tx1"/>
            </w14:solidFill>
          </w14:textFill>
        </w:rPr>
        <w:t xml:space="preserve">)  </w:t>
      </w:r>
      <w:r>
        <w:rPr>
          <w:rFonts w:hint="eastAsia" w:ascii="Calibri" w:hAnsi="Calibri"/>
          <w:color w:val="000000" w:themeColor="text1"/>
          <w:szCs w:val="22"/>
          <w14:textFill>
            <w14:solidFill>
              <w14:schemeClr w14:val="tx1"/>
            </w14:solidFill>
          </w14:textFill>
        </w:rPr>
        <w:t>施工现场情况、工程特点及拟定的投标施工组织设计或施工方案；</w:t>
      </w:r>
    </w:p>
    <w:p>
      <w:pPr>
        <w:wordWrap w:val="0"/>
        <w:spacing w:line="360" w:lineRule="auto"/>
        <w:ind w:firstLine="359" w:firstLineChars="171"/>
        <w:rPr>
          <w:rFonts w:ascii="Calibri" w:hAnsi="Calibri"/>
          <w:color w:val="000000" w:themeColor="text1"/>
          <w:szCs w:val="22"/>
          <w14:textFill>
            <w14:solidFill>
              <w14:schemeClr w14:val="tx1"/>
            </w14:solidFill>
          </w14:textFill>
        </w:rPr>
      </w:pPr>
      <w:r>
        <w:rPr>
          <w:rFonts w:ascii="Calibri" w:hAnsi="Calibri"/>
          <w:color w:val="000000" w:themeColor="text1"/>
          <w:szCs w:val="22"/>
          <w14:textFill>
            <w14:solidFill>
              <w14:schemeClr w14:val="tx1"/>
            </w14:solidFill>
          </w14:textFill>
        </w:rPr>
        <w:t>(</w:t>
      </w:r>
      <w:r>
        <w:rPr>
          <w:rFonts w:hint="eastAsia" w:ascii="Calibri" w:hAnsi="Calibri"/>
          <w:color w:val="000000" w:themeColor="text1"/>
          <w:szCs w:val="22"/>
          <w14:textFill>
            <w14:solidFill>
              <w14:schemeClr w14:val="tx1"/>
            </w14:solidFill>
          </w14:textFill>
        </w:rPr>
        <w:t>6</w:t>
      </w:r>
      <w:r>
        <w:rPr>
          <w:rFonts w:ascii="Calibri" w:hAnsi="Calibri"/>
          <w:color w:val="000000" w:themeColor="text1"/>
          <w:szCs w:val="22"/>
          <w14:textFill>
            <w14:solidFill>
              <w14:schemeClr w14:val="tx1"/>
            </w14:solidFill>
          </w14:textFill>
        </w:rPr>
        <w:t xml:space="preserve">) </w:t>
      </w:r>
      <w:r>
        <w:rPr>
          <w:rFonts w:hint="eastAsia" w:ascii="Calibri" w:hAnsi="Calibri"/>
          <w:color w:val="000000" w:themeColor="text1"/>
          <w:szCs w:val="22"/>
          <w14:textFill>
            <w14:solidFill>
              <w14:schemeClr w14:val="tx1"/>
            </w14:solidFill>
          </w14:textFill>
        </w:rPr>
        <w:t>与建设项目相关的标准、规范、规程等技术资料；</w:t>
      </w:r>
    </w:p>
    <w:p>
      <w:pPr>
        <w:wordWrap w:val="0"/>
        <w:spacing w:line="360" w:lineRule="auto"/>
        <w:ind w:firstLine="359" w:firstLineChars="171"/>
        <w:rPr>
          <w:rFonts w:ascii="Calibri" w:hAnsi="Calibri"/>
          <w:color w:val="000000" w:themeColor="text1"/>
          <w:szCs w:val="22"/>
          <w14:textFill>
            <w14:solidFill>
              <w14:schemeClr w14:val="tx1"/>
            </w14:solidFill>
          </w14:textFill>
        </w:rPr>
      </w:pPr>
      <w:r>
        <w:rPr>
          <w:rFonts w:ascii="Calibri" w:hAnsi="Calibri"/>
          <w:color w:val="000000" w:themeColor="text1"/>
          <w:szCs w:val="22"/>
          <w14:textFill>
            <w14:solidFill>
              <w14:schemeClr w14:val="tx1"/>
            </w14:solidFill>
          </w14:textFill>
        </w:rPr>
        <w:t>(</w:t>
      </w:r>
      <w:r>
        <w:rPr>
          <w:rFonts w:hint="eastAsia" w:ascii="Calibri" w:hAnsi="Calibri"/>
          <w:color w:val="000000" w:themeColor="text1"/>
          <w:szCs w:val="22"/>
          <w14:textFill>
            <w14:solidFill>
              <w14:schemeClr w14:val="tx1"/>
            </w14:solidFill>
          </w14:textFill>
        </w:rPr>
        <w:t>7</w:t>
      </w:r>
      <w:r>
        <w:rPr>
          <w:rFonts w:ascii="Calibri" w:hAnsi="Calibri"/>
          <w:color w:val="000000" w:themeColor="text1"/>
          <w:szCs w:val="22"/>
          <w14:textFill>
            <w14:solidFill>
              <w14:schemeClr w14:val="tx1"/>
            </w14:solidFill>
          </w14:textFill>
        </w:rPr>
        <w:t xml:space="preserve">)  </w:t>
      </w:r>
      <w:r>
        <w:rPr>
          <w:rFonts w:hint="eastAsia" w:ascii="Calibri" w:hAnsi="Calibri"/>
          <w:color w:val="000000" w:themeColor="text1"/>
          <w:szCs w:val="22"/>
          <w14:textFill>
            <w14:solidFill>
              <w14:schemeClr w14:val="tx1"/>
            </w14:solidFill>
          </w14:textFill>
        </w:rPr>
        <w:t>市场价格信息或工程造价管理机构发布的工程造价信息；</w:t>
      </w:r>
    </w:p>
    <w:p>
      <w:pPr>
        <w:wordWrap w:val="0"/>
        <w:spacing w:line="360" w:lineRule="auto"/>
        <w:ind w:firstLine="359" w:firstLineChars="171"/>
        <w:rPr>
          <w:rFonts w:ascii="Calibri" w:hAnsi="Calibri"/>
          <w:color w:val="000000" w:themeColor="text1"/>
          <w:szCs w:val="22"/>
          <w14:textFill>
            <w14:solidFill>
              <w14:schemeClr w14:val="tx1"/>
            </w14:solidFill>
          </w14:textFill>
        </w:rPr>
      </w:pPr>
      <w:r>
        <w:rPr>
          <w:rFonts w:ascii="Calibri" w:hAnsi="Calibri"/>
          <w:color w:val="000000" w:themeColor="text1"/>
          <w:szCs w:val="22"/>
          <w14:textFill>
            <w14:solidFill>
              <w14:schemeClr w14:val="tx1"/>
            </w14:solidFill>
          </w14:textFill>
        </w:rPr>
        <w:t>(</w:t>
      </w:r>
      <w:r>
        <w:rPr>
          <w:rFonts w:hint="eastAsia" w:ascii="Calibri" w:hAnsi="Calibri"/>
          <w:color w:val="000000" w:themeColor="text1"/>
          <w:szCs w:val="22"/>
          <w14:textFill>
            <w14:solidFill>
              <w14:schemeClr w14:val="tx1"/>
            </w14:solidFill>
          </w14:textFill>
        </w:rPr>
        <w:t>8</w:t>
      </w:r>
      <w:r>
        <w:rPr>
          <w:rFonts w:ascii="Calibri" w:hAnsi="Calibri"/>
          <w:color w:val="000000" w:themeColor="text1"/>
          <w:szCs w:val="22"/>
          <w14:textFill>
            <w14:solidFill>
              <w14:schemeClr w14:val="tx1"/>
            </w14:solidFill>
          </w14:textFill>
        </w:rPr>
        <w:t xml:space="preserve">)  </w:t>
      </w:r>
      <w:r>
        <w:rPr>
          <w:rFonts w:hint="eastAsia" w:ascii="Calibri" w:hAnsi="Calibri"/>
          <w:color w:val="000000" w:themeColor="text1"/>
          <w:szCs w:val="22"/>
          <w14:textFill>
            <w14:solidFill>
              <w14:schemeClr w14:val="tx1"/>
            </w14:solidFill>
          </w14:textFill>
        </w:rPr>
        <w:t>其他的相关资料。</w:t>
      </w:r>
    </w:p>
    <w:p>
      <w:pPr>
        <w:wordWrap w:val="0"/>
        <w:spacing w:line="360" w:lineRule="auto"/>
        <w:ind w:firstLine="359" w:firstLineChars="171"/>
        <w:rPr>
          <w:rFonts w:ascii="Calibri" w:hAnsi="Calibri"/>
          <w:color w:val="000000" w:themeColor="text1"/>
          <w:szCs w:val="22"/>
          <w14:textFill>
            <w14:solidFill>
              <w14:schemeClr w14:val="tx1"/>
            </w14:solidFill>
          </w14:textFill>
        </w:rPr>
      </w:pPr>
      <w:r>
        <w:rPr>
          <w:rFonts w:hint="eastAsia" w:ascii="Calibri" w:hAnsi="Calibri"/>
          <w:color w:val="000000" w:themeColor="text1"/>
          <w:szCs w:val="22"/>
          <w14:textFill>
            <w14:solidFill>
              <w14:schemeClr w14:val="tx1"/>
            </w14:solidFill>
          </w14:textFill>
        </w:rPr>
        <w:t>1</w:t>
      </w:r>
      <w:r>
        <w:rPr>
          <w:rFonts w:ascii="Calibri" w:hAnsi="Calibri"/>
          <w:color w:val="000000" w:themeColor="text1"/>
          <w:szCs w:val="22"/>
          <w14:textFill>
            <w14:solidFill>
              <w14:schemeClr w14:val="tx1"/>
            </w14:solidFill>
          </w14:textFill>
        </w:rPr>
        <w:t>.</w:t>
      </w:r>
      <w:r>
        <w:rPr>
          <w:rFonts w:hint="eastAsia" w:ascii="Calibri" w:hAnsi="Calibri"/>
          <w:color w:val="000000" w:themeColor="text1"/>
          <w:szCs w:val="22"/>
          <w14:textFill>
            <w14:solidFill>
              <w14:schemeClr w14:val="tx1"/>
            </w14:solidFill>
          </w14:textFill>
        </w:rPr>
        <w:t>2投标报价中应考虑招标文件中要求投标人承担的风险范围以及相关的费用。</w:t>
      </w:r>
    </w:p>
    <w:p>
      <w:pPr>
        <w:wordWrap w:val="0"/>
        <w:spacing w:line="360" w:lineRule="auto"/>
        <w:ind w:left="4" w:leftChars="2" w:firstLine="359" w:firstLineChars="171"/>
        <w:rPr>
          <w:rFonts w:ascii="Calibri" w:hAnsi="Calibri"/>
          <w:color w:val="000000" w:themeColor="text1"/>
          <w:szCs w:val="22"/>
          <w14:textFill>
            <w14:solidFill>
              <w14:schemeClr w14:val="tx1"/>
            </w14:solidFill>
          </w14:textFill>
        </w:rPr>
      </w:pPr>
      <w:r>
        <w:rPr>
          <w:rFonts w:hint="eastAsia" w:ascii="Calibri" w:hAnsi="Calibri"/>
          <w:color w:val="000000" w:themeColor="text1"/>
          <w:szCs w:val="22"/>
          <w14:textFill>
            <w14:solidFill>
              <w14:schemeClr w14:val="tx1"/>
            </w14:solidFill>
          </w14:textFill>
        </w:rPr>
        <w:t>1</w:t>
      </w:r>
      <w:r>
        <w:rPr>
          <w:rFonts w:ascii="Calibri" w:hAnsi="Calibri"/>
          <w:color w:val="000000" w:themeColor="text1"/>
          <w:szCs w:val="22"/>
          <w14:textFill>
            <w14:solidFill>
              <w14:schemeClr w14:val="tx1"/>
            </w14:solidFill>
          </w14:textFill>
        </w:rPr>
        <w:t>.</w:t>
      </w:r>
      <w:r>
        <w:rPr>
          <w:rFonts w:hint="eastAsia" w:ascii="Calibri" w:hAnsi="Calibri"/>
          <w:color w:val="000000" w:themeColor="text1"/>
          <w:szCs w:val="22"/>
          <w14:textFill>
            <w14:solidFill>
              <w14:schemeClr w14:val="tx1"/>
            </w14:solidFill>
          </w14:textFill>
        </w:rPr>
        <w:t>3投标总价为投标人在投标文件中提出的各项支付金额的总和，为实施、完成招标工程并修补缺陷以及履行招标文件中约定的风险范围内的所有责任和义务所发生的全部费用。</w:t>
      </w:r>
    </w:p>
    <w:p>
      <w:pPr>
        <w:wordWrap w:val="0"/>
        <w:spacing w:line="360" w:lineRule="auto"/>
        <w:ind w:firstLine="359" w:firstLineChars="171"/>
        <w:rPr>
          <w:rFonts w:ascii="Calibri" w:hAnsi="Calibri"/>
          <w:color w:val="000000" w:themeColor="text1"/>
          <w:szCs w:val="22"/>
          <w14:textFill>
            <w14:solidFill>
              <w14:schemeClr w14:val="tx1"/>
            </w14:solidFill>
          </w14:textFill>
        </w:rPr>
      </w:pPr>
      <w:r>
        <w:rPr>
          <w:rFonts w:hint="eastAsia" w:ascii="Calibri" w:hAnsi="Calibri"/>
          <w:color w:val="000000" w:themeColor="text1"/>
          <w:szCs w:val="22"/>
          <w14:textFill>
            <w14:solidFill>
              <w14:schemeClr w14:val="tx1"/>
            </w14:solidFill>
          </w14:textFill>
        </w:rPr>
        <w:t>1</w:t>
      </w:r>
      <w:r>
        <w:rPr>
          <w:rFonts w:ascii="Calibri" w:hAnsi="Calibri"/>
          <w:color w:val="000000" w:themeColor="text1"/>
          <w:szCs w:val="22"/>
          <w14:textFill>
            <w14:solidFill>
              <w14:schemeClr w14:val="tx1"/>
            </w14:solidFill>
          </w14:textFill>
        </w:rPr>
        <w:t xml:space="preserve">.4 </w:t>
      </w:r>
      <w:r>
        <w:rPr>
          <w:rFonts w:hint="eastAsia" w:ascii="Calibri" w:hAnsi="Calibri"/>
          <w:color w:val="000000" w:themeColor="text1"/>
          <w:szCs w:val="22"/>
          <w14:textFill>
            <w14:solidFill>
              <w14:schemeClr w14:val="tx1"/>
            </w14:solidFill>
          </w14:textFill>
        </w:rPr>
        <w:t>有关投标报价的其他要求：详见第6章</w:t>
      </w:r>
    </w:p>
    <w:p>
      <w:pPr>
        <w:wordWrap w:val="0"/>
        <w:rPr>
          <w:rFonts w:eastAsia="黑体"/>
          <w:b/>
          <w:bCs/>
          <w:color w:val="000000" w:themeColor="text1"/>
          <w:kern w:val="0"/>
          <w:szCs w:val="32"/>
          <w14:textFill>
            <w14:solidFill>
              <w14:schemeClr w14:val="tx1"/>
            </w14:solidFill>
          </w14:textFill>
        </w:rPr>
      </w:pPr>
      <w:r>
        <w:rPr>
          <w:rFonts w:hint="eastAsia" w:eastAsia="黑体"/>
          <w:b/>
          <w:bCs/>
          <w:color w:val="000000" w:themeColor="text1"/>
          <w:kern w:val="0"/>
          <w:szCs w:val="32"/>
          <w14:textFill>
            <w14:solidFill>
              <w14:schemeClr w14:val="tx1"/>
            </w14:solidFill>
          </w14:textFill>
        </w:rPr>
        <w:t>2．其他说明：</w:t>
      </w:r>
      <w:r>
        <w:rPr>
          <w:rFonts w:hint="eastAsia" w:ascii="Calibri" w:hAnsi="Calibri"/>
          <w:color w:val="000000" w:themeColor="text1"/>
          <w:szCs w:val="22"/>
          <w14:textFill>
            <w14:solidFill>
              <w14:schemeClr w14:val="tx1"/>
            </w14:solidFill>
          </w14:textFill>
        </w:rPr>
        <w:t>详见第6章</w:t>
      </w:r>
    </w:p>
    <w:p>
      <w:pPr>
        <w:wordWrap w:val="0"/>
        <w:spacing w:line="360" w:lineRule="auto"/>
        <w:jc w:val="left"/>
        <w:rPr>
          <w:b/>
          <w:bCs/>
          <w:color w:val="000000" w:themeColor="text1"/>
          <w:kern w:val="44"/>
          <w:sz w:val="32"/>
          <w:szCs w:val="32"/>
          <w14:textFill>
            <w14:solidFill>
              <w14:schemeClr w14:val="tx1"/>
            </w14:solidFill>
          </w14:textFill>
        </w:rPr>
      </w:pPr>
    </w:p>
    <w:p>
      <w:pPr>
        <w:wordWrap w:val="0"/>
        <w:spacing w:line="360" w:lineRule="auto"/>
        <w:jc w:val="center"/>
        <w:rPr>
          <w:b/>
          <w:bCs/>
          <w:color w:val="000000" w:themeColor="text1"/>
          <w:kern w:val="44"/>
          <w:sz w:val="32"/>
          <w:szCs w:val="32"/>
          <w14:textFill>
            <w14:solidFill>
              <w14:schemeClr w14:val="tx1"/>
            </w14:solidFill>
          </w14:textFill>
        </w:rPr>
      </w:pPr>
    </w:p>
    <w:p>
      <w:pPr>
        <w:wordWrap w:val="0"/>
        <w:spacing w:line="360" w:lineRule="auto"/>
        <w:jc w:val="center"/>
        <w:rPr>
          <w:b/>
          <w:bCs/>
          <w:color w:val="000000" w:themeColor="text1"/>
          <w:kern w:val="44"/>
          <w:sz w:val="32"/>
          <w:szCs w:val="32"/>
          <w14:textFill>
            <w14:solidFill>
              <w14:schemeClr w14:val="tx1"/>
            </w14:solidFill>
          </w14:textFill>
        </w:rPr>
      </w:pPr>
    </w:p>
    <w:p>
      <w:pPr>
        <w:wordWrap w:val="0"/>
        <w:rPr>
          <w:color w:val="000000" w:themeColor="text1"/>
          <w14:textFill>
            <w14:solidFill>
              <w14:schemeClr w14:val="tx1"/>
            </w14:solidFill>
          </w14:textFill>
        </w:rPr>
      </w:pPr>
    </w:p>
    <w:p>
      <w:pPr>
        <w:wordWrap w:val="0"/>
        <w:rPr>
          <w:color w:val="000000" w:themeColor="text1"/>
          <w14:textFill>
            <w14:solidFill>
              <w14:schemeClr w14:val="tx1"/>
            </w14:solidFill>
          </w14:textFill>
        </w:rPr>
      </w:pPr>
    </w:p>
    <w:p>
      <w:pPr>
        <w:widowControl/>
        <w:wordWrap w:val="0"/>
        <w:jc w:val="left"/>
        <w:rPr>
          <w:rFonts w:eastAsia="黑体"/>
          <w:b/>
          <w:bCs/>
          <w:color w:val="000000" w:themeColor="text1"/>
          <w:kern w:val="44"/>
          <w:sz w:val="32"/>
          <w:szCs w:val="44"/>
          <w14:textFill>
            <w14:solidFill>
              <w14:schemeClr w14:val="tx1"/>
            </w14:solidFill>
          </w14:textFill>
        </w:rPr>
      </w:pPr>
      <w:r>
        <w:rPr>
          <w:color w:val="000000" w:themeColor="text1"/>
          <w14:textFill>
            <w14:solidFill>
              <w14:schemeClr w14:val="tx1"/>
            </w14:solidFill>
          </w14:textFill>
        </w:rPr>
        <w:br w:type="page"/>
      </w:r>
    </w:p>
    <w:p>
      <w:pPr>
        <w:pStyle w:val="3"/>
        <w:wordWrap w:val="0"/>
        <w:jc w:val="center"/>
        <w:rPr>
          <w:color w:val="000000" w:themeColor="text1"/>
          <w14:textFill>
            <w14:solidFill>
              <w14:schemeClr w14:val="tx1"/>
            </w14:solidFill>
          </w14:textFill>
        </w:rPr>
      </w:pPr>
      <w:bookmarkStart w:id="157" w:name="_Toc27092"/>
      <w:r>
        <w:rPr>
          <w:color w:val="000000" w:themeColor="text1"/>
          <w14:textFill>
            <w14:solidFill>
              <w14:schemeClr w14:val="tx1"/>
            </w14:solidFill>
          </w14:textFill>
        </w:rPr>
        <w:t>第六章</w:t>
      </w:r>
      <w:r>
        <w:rPr>
          <w:rFonts w:hint="eastAsia"/>
          <w:color w:val="000000" w:themeColor="text1"/>
          <w14:textFill>
            <w14:solidFill>
              <w14:schemeClr w14:val="tx1"/>
            </w14:solidFill>
          </w14:textFill>
        </w:rPr>
        <w:t xml:space="preserve">  发包人要求</w:t>
      </w:r>
      <w:bookmarkEnd w:id="157"/>
    </w:p>
    <w:p>
      <w:pPr>
        <w:wordWrap w:val="0"/>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详见附件《</w:t>
      </w:r>
      <w:r>
        <w:rPr>
          <w:rFonts w:hint="eastAsia"/>
          <w:color w:val="000000" w:themeColor="text1"/>
          <w14:textFill>
            <w14:solidFill>
              <w14:schemeClr w14:val="tx1"/>
            </w14:solidFill>
          </w14:textFill>
        </w:rPr>
        <w:t>技术标准、规范及要求</w:t>
      </w:r>
      <w:r>
        <w:rPr>
          <w:color w:val="000000" w:themeColor="text1"/>
          <w14:textFill>
            <w14:solidFill>
              <w14:schemeClr w14:val="tx1"/>
            </w14:solidFill>
          </w14:textFill>
        </w:rPr>
        <w:t>》</w:t>
      </w:r>
    </w:p>
    <w:p>
      <w:pPr>
        <w:wordWrap w:val="0"/>
        <w:rPr>
          <w:color w:val="000000" w:themeColor="text1"/>
          <w14:textFill>
            <w14:solidFill>
              <w14:schemeClr w14:val="tx1"/>
            </w14:solidFill>
          </w14:textFill>
        </w:rPr>
      </w:pPr>
    </w:p>
    <w:p>
      <w:pPr>
        <w:wordWrap w:val="0"/>
        <w:rPr>
          <w:color w:val="000000" w:themeColor="text1"/>
          <w14:textFill>
            <w14:solidFill>
              <w14:schemeClr w14:val="tx1"/>
            </w14:solidFill>
          </w14:textFill>
        </w:rPr>
      </w:pPr>
    </w:p>
    <w:p>
      <w:pPr>
        <w:pStyle w:val="3"/>
        <w:wordWrap w:val="0"/>
        <w:jc w:val="center"/>
        <w:rPr>
          <w:color w:val="000000" w:themeColor="text1"/>
          <w14:textFill>
            <w14:solidFill>
              <w14:schemeClr w14:val="tx1"/>
            </w14:solidFill>
          </w14:textFill>
        </w:rPr>
      </w:pPr>
      <w:bookmarkStart w:id="158" w:name="_Toc19816"/>
      <w:r>
        <w:rPr>
          <w:color w:val="000000" w:themeColor="text1"/>
          <w14:textFill>
            <w14:solidFill>
              <w14:schemeClr w14:val="tx1"/>
            </w14:solidFill>
          </w14:textFill>
        </w:rPr>
        <w:t>第七章</w:t>
      </w:r>
      <w:r>
        <w:rPr>
          <w:rFonts w:hint="eastAsia"/>
          <w:color w:val="000000" w:themeColor="text1"/>
          <w14:textFill>
            <w14:solidFill>
              <w14:schemeClr w14:val="tx1"/>
            </w14:solidFill>
          </w14:textFill>
        </w:rPr>
        <w:t xml:space="preserve">  发包人提供的资料</w:t>
      </w:r>
      <w:bookmarkEnd w:id="158"/>
    </w:p>
    <w:p>
      <w:pPr>
        <w:wordWrap w:val="0"/>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详见附件《技术标准、规范及要求》</w:t>
      </w:r>
      <w:r>
        <w:rPr>
          <w:color w:val="000000" w:themeColor="text1"/>
          <w14:textFill>
            <w14:solidFill>
              <w14:schemeClr w14:val="tx1"/>
            </w14:solidFill>
          </w14:textFill>
        </w:rPr>
        <w:br w:type="page"/>
      </w:r>
    </w:p>
    <w:p>
      <w:pPr>
        <w:wordWrap w:val="0"/>
        <w:jc w:val="center"/>
        <w:rPr>
          <w:b/>
          <w:bCs/>
          <w:color w:val="000000" w:themeColor="text1"/>
          <w:kern w:val="44"/>
          <w:sz w:val="32"/>
          <w:szCs w:val="32"/>
          <w14:textFill>
            <w14:solidFill>
              <w14:schemeClr w14:val="tx1"/>
            </w14:solidFill>
          </w14:textFill>
        </w:rPr>
      </w:pPr>
    </w:p>
    <w:p>
      <w:pPr>
        <w:wordWrap w:val="0"/>
        <w:rPr>
          <w:color w:val="000000" w:themeColor="text1"/>
          <w14:textFill>
            <w14:solidFill>
              <w14:schemeClr w14:val="tx1"/>
            </w14:solidFill>
          </w14:textFill>
        </w:rPr>
      </w:pPr>
    </w:p>
    <w:p>
      <w:pPr>
        <w:pStyle w:val="3"/>
        <w:wordWrap w:val="0"/>
        <w:jc w:val="center"/>
        <w:rPr>
          <w:color w:val="000000" w:themeColor="text1"/>
          <w14:textFill>
            <w14:solidFill>
              <w14:schemeClr w14:val="tx1"/>
            </w14:solidFill>
          </w14:textFill>
        </w:rPr>
      </w:pPr>
      <w:bookmarkStart w:id="159" w:name="_Toc30417"/>
      <w:r>
        <w:rPr>
          <w:color w:val="000000" w:themeColor="text1"/>
          <w14:textFill>
            <w14:solidFill>
              <w14:schemeClr w14:val="tx1"/>
            </w14:solidFill>
          </w14:textFill>
        </w:rPr>
        <w:t>第八章投标文件格式</w:t>
      </w:r>
      <w:bookmarkEnd w:id="159"/>
    </w:p>
    <w:p>
      <w:pPr>
        <w:pStyle w:val="4"/>
        <w:wordWrap w:val="0"/>
        <w:rPr>
          <w:color w:val="000000" w:themeColor="text1"/>
          <w:sz w:val="32"/>
          <w14:textFill>
            <w14:solidFill>
              <w14:schemeClr w14:val="tx1"/>
            </w14:solidFill>
          </w14:textFill>
        </w:rPr>
      </w:pPr>
      <w:r>
        <w:rPr>
          <w:color w:val="000000" w:themeColor="text1"/>
          <w:sz w:val="32"/>
          <w14:textFill>
            <w14:solidFill>
              <w14:schemeClr w14:val="tx1"/>
            </w14:solidFill>
          </w14:textFill>
        </w:rPr>
        <w:br w:type="page"/>
      </w:r>
      <w:bookmarkStart w:id="160" w:name="_Toc505161882"/>
      <w:bookmarkStart w:id="161" w:name="_Toc9627"/>
      <w:r>
        <w:rPr>
          <w:rFonts w:hint="eastAsia"/>
          <w:color w:val="000000" w:themeColor="text1"/>
          <w14:textFill>
            <w14:solidFill>
              <w14:schemeClr w14:val="tx1"/>
            </w14:solidFill>
          </w14:textFill>
        </w:rPr>
        <w:t>封面</w:t>
      </w:r>
      <w:bookmarkEnd w:id="160"/>
      <w:bookmarkEnd w:id="161"/>
    </w:p>
    <w:p>
      <w:pPr>
        <w:wordWrap w:val="0"/>
        <w:jc w:val="center"/>
        <w:rPr>
          <w:rFonts w:ascii="宋体" w:hAnsi="宋体" w:cs="宋体"/>
          <w:color w:val="000000" w:themeColor="text1"/>
          <w:sz w:val="44"/>
          <w:szCs w:val="44"/>
          <w:u w:val="single"/>
          <w14:textFill>
            <w14:solidFill>
              <w14:schemeClr w14:val="tx1"/>
            </w14:solidFill>
          </w14:textFill>
        </w:rPr>
      </w:pPr>
    </w:p>
    <w:p>
      <w:pPr>
        <w:wordWrap w:val="0"/>
        <w:jc w:val="center"/>
        <w:rPr>
          <w:rFonts w:ascii="宋体" w:hAnsi="宋体" w:cs="宋体"/>
          <w:color w:val="000000" w:themeColor="text1"/>
          <w:sz w:val="44"/>
          <w:szCs w:val="44"/>
          <w:u w:val="single"/>
          <w14:textFill>
            <w14:solidFill>
              <w14:schemeClr w14:val="tx1"/>
            </w14:solidFill>
          </w14:textFill>
        </w:rPr>
      </w:pPr>
    </w:p>
    <w:p>
      <w:pPr>
        <w:wordWrap w:val="0"/>
        <w:jc w:val="center"/>
        <w:rPr>
          <w:rFonts w:ascii="宋体" w:hAnsi="宋体" w:cs="宋体"/>
          <w:color w:val="000000" w:themeColor="text1"/>
          <w:sz w:val="44"/>
          <w:szCs w:val="44"/>
          <w:u w:val="single"/>
          <w14:textFill>
            <w14:solidFill>
              <w14:schemeClr w14:val="tx1"/>
            </w14:solidFill>
          </w14:textFill>
        </w:rPr>
      </w:pPr>
    </w:p>
    <w:p>
      <w:pPr>
        <w:wordWrap w:val="0"/>
        <w:jc w:val="center"/>
        <w:rPr>
          <w:rFonts w:ascii="宋体" w:hAnsi="宋体" w:cs="宋体"/>
          <w:color w:val="000000" w:themeColor="text1"/>
          <w:sz w:val="44"/>
          <w:szCs w:val="44"/>
          <w:u w:val="single"/>
          <w14:textFill>
            <w14:solidFill>
              <w14:schemeClr w14:val="tx1"/>
            </w14:solidFill>
          </w14:textFill>
        </w:rPr>
      </w:pPr>
    </w:p>
    <w:p>
      <w:pPr>
        <w:wordWrap w:val="0"/>
        <w:jc w:val="center"/>
        <w:rPr>
          <w:rFonts w:ascii="宋体" w:hAnsi="宋体" w:cs="宋体"/>
          <w:color w:val="000000" w:themeColor="text1"/>
          <w:sz w:val="36"/>
          <w:szCs w:val="44"/>
          <w14:textFill>
            <w14:solidFill>
              <w14:schemeClr w14:val="tx1"/>
            </w14:solidFill>
          </w14:textFill>
        </w:rPr>
      </w:pPr>
      <w:r>
        <w:rPr>
          <w:rFonts w:hint="eastAsia" w:ascii="宋体" w:hAnsi="宋体" w:cs="宋体"/>
          <w:color w:val="000000" w:themeColor="text1"/>
          <w:sz w:val="36"/>
          <w:szCs w:val="44"/>
          <w14:textFill>
            <w14:solidFill>
              <w14:schemeClr w14:val="tx1"/>
            </w14:solidFill>
          </w14:textFill>
        </w:rPr>
        <w:t>（项目名称）工程总承包招标</w:t>
      </w:r>
    </w:p>
    <w:p>
      <w:pPr>
        <w:wordWrap w:val="0"/>
        <w:jc w:val="center"/>
        <w:rPr>
          <w:rFonts w:ascii="宋体" w:hAnsi="宋体" w:cs="宋体"/>
          <w:color w:val="000000" w:themeColor="text1"/>
          <w:sz w:val="22"/>
          <w:szCs w:val="28"/>
          <w14:textFill>
            <w14:solidFill>
              <w14:schemeClr w14:val="tx1"/>
            </w14:solidFill>
          </w14:textFill>
        </w:rPr>
      </w:pPr>
    </w:p>
    <w:p>
      <w:pPr>
        <w:wordWrap w:val="0"/>
        <w:jc w:val="center"/>
        <w:rPr>
          <w:color w:val="000000" w:themeColor="text1"/>
          <w:sz w:val="22"/>
          <w:szCs w:val="28"/>
          <w14:textFill>
            <w14:solidFill>
              <w14:schemeClr w14:val="tx1"/>
            </w14:solidFill>
          </w14:textFill>
        </w:rPr>
      </w:pPr>
    </w:p>
    <w:p>
      <w:pPr>
        <w:wordWrap w:val="0"/>
        <w:jc w:val="center"/>
        <w:rPr>
          <w:color w:val="000000" w:themeColor="text1"/>
          <w:sz w:val="22"/>
          <w:szCs w:val="28"/>
          <w14:textFill>
            <w14:solidFill>
              <w14:schemeClr w14:val="tx1"/>
            </w14:solidFill>
          </w14:textFill>
        </w:rPr>
      </w:pPr>
    </w:p>
    <w:p>
      <w:pPr>
        <w:wordWrap w:val="0"/>
        <w:spacing w:before="240" w:beforeLines="100"/>
        <w:jc w:val="center"/>
        <w:rPr>
          <w:color w:val="000000" w:themeColor="text1"/>
          <w:sz w:val="44"/>
          <w:szCs w:val="52"/>
          <w14:textFill>
            <w14:solidFill>
              <w14:schemeClr w14:val="tx1"/>
            </w14:solidFill>
          </w14:textFill>
        </w:rPr>
      </w:pPr>
      <w:r>
        <w:rPr>
          <w:color w:val="000000" w:themeColor="text1"/>
          <w:sz w:val="44"/>
          <w:szCs w:val="52"/>
          <w14:textFill>
            <w14:solidFill>
              <w14:schemeClr w14:val="tx1"/>
            </w14:solidFill>
          </w14:textFill>
        </w:rPr>
        <w:t>投标文件</w:t>
      </w:r>
    </w:p>
    <w:p>
      <w:pPr>
        <w:wordWrap w:val="0"/>
        <w:jc w:val="center"/>
        <w:rPr>
          <w:color w:val="000000" w:themeColor="text1"/>
          <w:sz w:val="24"/>
          <w:szCs w:val="32"/>
          <w14:textFill>
            <w14:solidFill>
              <w14:schemeClr w14:val="tx1"/>
            </w14:solidFill>
          </w14:textFill>
        </w:rPr>
      </w:pPr>
    </w:p>
    <w:p>
      <w:pPr>
        <w:wordWrap w:val="0"/>
        <w:jc w:val="center"/>
        <w:rPr>
          <w:color w:val="000000" w:themeColor="text1"/>
          <w:sz w:val="24"/>
          <w:szCs w:val="32"/>
          <w14:textFill>
            <w14:solidFill>
              <w14:schemeClr w14:val="tx1"/>
            </w14:solidFill>
          </w14:textFill>
        </w:rPr>
      </w:pPr>
    </w:p>
    <w:p>
      <w:pPr>
        <w:wordWrap w:val="0"/>
        <w:jc w:val="center"/>
        <w:rPr>
          <w:color w:val="000000" w:themeColor="text1"/>
          <w:sz w:val="24"/>
          <w:szCs w:val="32"/>
          <w14:textFill>
            <w14:solidFill>
              <w14:schemeClr w14:val="tx1"/>
            </w14:solidFill>
          </w14:textFill>
        </w:rPr>
      </w:pPr>
    </w:p>
    <w:p>
      <w:pPr>
        <w:wordWrap w:val="0"/>
        <w:jc w:val="center"/>
        <w:rPr>
          <w:color w:val="000000" w:themeColor="text1"/>
          <w:sz w:val="32"/>
          <w:szCs w:val="32"/>
          <w14:textFill>
            <w14:solidFill>
              <w14:schemeClr w14:val="tx1"/>
            </w14:solidFill>
          </w14:textFill>
        </w:rPr>
      </w:pPr>
    </w:p>
    <w:p>
      <w:pPr>
        <w:wordWrap w:val="0"/>
        <w:spacing w:line="360" w:lineRule="auto"/>
        <w:ind w:firstLine="2380" w:firstLineChars="850"/>
        <w:rPr>
          <w:color w:val="000000" w:themeColor="text1"/>
          <w:sz w:val="28"/>
          <w:szCs w:val="28"/>
          <w:u w:val="single"/>
          <w14:textFill>
            <w14:solidFill>
              <w14:schemeClr w14:val="tx1"/>
            </w14:solidFill>
          </w14:textFill>
        </w:rPr>
      </w:pPr>
      <w:r>
        <w:rPr>
          <w:rFonts w:hint="eastAsia"/>
          <w:color w:val="000000" w:themeColor="text1"/>
          <w:sz w:val="28"/>
          <w:szCs w:val="28"/>
          <w14:textFill>
            <w14:solidFill>
              <w14:schemeClr w14:val="tx1"/>
            </w14:solidFill>
          </w14:textFill>
        </w:rPr>
        <w:t>招标</w:t>
      </w:r>
      <w:r>
        <w:rPr>
          <w:color w:val="000000" w:themeColor="text1"/>
          <w:sz w:val="28"/>
          <w:szCs w:val="28"/>
          <w14:textFill>
            <w14:solidFill>
              <w14:schemeClr w14:val="tx1"/>
            </w14:solidFill>
          </w14:textFill>
        </w:rPr>
        <w:t>编号：</w:t>
      </w:r>
    </w:p>
    <w:p>
      <w:pPr>
        <w:wordWrap w:val="0"/>
        <w:jc w:val="center"/>
        <w:rPr>
          <w:color w:val="000000" w:themeColor="text1"/>
          <w:sz w:val="32"/>
          <w:szCs w:val="32"/>
          <w14:textFill>
            <w14:solidFill>
              <w14:schemeClr w14:val="tx1"/>
            </w14:solidFill>
          </w14:textFill>
        </w:rPr>
      </w:pPr>
    </w:p>
    <w:p>
      <w:pPr>
        <w:wordWrap w:val="0"/>
        <w:jc w:val="center"/>
        <w:rPr>
          <w:color w:val="000000" w:themeColor="text1"/>
          <w:sz w:val="32"/>
          <w:szCs w:val="32"/>
          <w14:textFill>
            <w14:solidFill>
              <w14:schemeClr w14:val="tx1"/>
            </w14:solidFill>
          </w14:textFill>
        </w:rPr>
      </w:pPr>
    </w:p>
    <w:p>
      <w:pPr>
        <w:wordWrap w:val="0"/>
        <w:jc w:val="center"/>
        <w:rPr>
          <w:color w:val="000000" w:themeColor="text1"/>
          <w:sz w:val="32"/>
          <w:szCs w:val="32"/>
          <w14:textFill>
            <w14:solidFill>
              <w14:schemeClr w14:val="tx1"/>
            </w14:solidFill>
          </w14:textFill>
        </w:rPr>
      </w:pPr>
    </w:p>
    <w:p>
      <w:pPr>
        <w:wordWrap w:val="0"/>
        <w:jc w:val="center"/>
        <w:rPr>
          <w:color w:val="000000" w:themeColor="text1"/>
          <w:sz w:val="32"/>
          <w:szCs w:val="32"/>
          <w14:textFill>
            <w14:solidFill>
              <w14:schemeClr w14:val="tx1"/>
            </w14:solidFill>
          </w14:textFill>
        </w:rPr>
      </w:pPr>
    </w:p>
    <w:p>
      <w:pPr>
        <w:wordWrap w:val="0"/>
        <w:spacing w:line="360" w:lineRule="auto"/>
        <w:ind w:firstLine="1400" w:firstLineChars="500"/>
        <w:rPr>
          <w:color w:val="000000" w:themeColor="text1"/>
          <w:sz w:val="28"/>
          <w:szCs w:val="28"/>
          <w14:textFill>
            <w14:solidFill>
              <w14:schemeClr w14:val="tx1"/>
            </w14:solidFill>
          </w14:textFill>
        </w:rPr>
      </w:pPr>
    </w:p>
    <w:p>
      <w:pPr>
        <w:wordWrap w:val="0"/>
        <w:spacing w:line="360" w:lineRule="auto"/>
        <w:ind w:firstLine="1200" w:firstLineChars="500"/>
        <w:rPr>
          <w:color w:val="000000" w:themeColor="text1"/>
          <w:sz w:val="24"/>
          <w:szCs w:val="28"/>
          <w14:textFill>
            <w14:solidFill>
              <w14:schemeClr w14:val="tx1"/>
            </w14:solidFill>
          </w14:textFill>
        </w:rPr>
      </w:pPr>
      <w:r>
        <w:rPr>
          <w:color w:val="000000" w:themeColor="text1"/>
          <w:sz w:val="24"/>
          <w:szCs w:val="28"/>
          <w14:textFill>
            <w14:solidFill>
              <w14:schemeClr w14:val="tx1"/>
            </w14:solidFill>
          </w14:textFill>
        </w:rPr>
        <w:t>投标人：（盖单位章）</w:t>
      </w:r>
    </w:p>
    <w:p>
      <w:pPr>
        <w:wordWrap w:val="0"/>
        <w:spacing w:line="360" w:lineRule="auto"/>
        <w:ind w:firstLine="1200" w:firstLineChars="500"/>
        <w:rPr>
          <w:color w:val="000000" w:themeColor="text1"/>
          <w:sz w:val="24"/>
          <w:szCs w:val="28"/>
          <w14:textFill>
            <w14:solidFill>
              <w14:schemeClr w14:val="tx1"/>
            </w14:solidFill>
          </w14:textFill>
        </w:rPr>
      </w:pPr>
      <w:r>
        <w:rPr>
          <w:color w:val="000000" w:themeColor="text1"/>
          <w:sz w:val="24"/>
          <w:szCs w:val="28"/>
          <w14:textFill>
            <w14:solidFill>
              <w14:schemeClr w14:val="tx1"/>
            </w14:solidFill>
          </w14:textFill>
        </w:rPr>
        <w:t>法定代表人或其委托代理人：（签字</w:t>
      </w:r>
      <w:r>
        <w:rPr>
          <w:rFonts w:hint="eastAsia"/>
          <w:color w:val="000000" w:themeColor="text1"/>
          <w:sz w:val="24"/>
          <w:szCs w:val="28"/>
          <w14:textFill>
            <w14:solidFill>
              <w14:schemeClr w14:val="tx1"/>
            </w14:solidFill>
          </w14:textFill>
        </w:rPr>
        <w:t>或盖章</w:t>
      </w:r>
      <w:r>
        <w:rPr>
          <w:color w:val="000000" w:themeColor="text1"/>
          <w:sz w:val="24"/>
          <w:szCs w:val="28"/>
          <w14:textFill>
            <w14:solidFill>
              <w14:schemeClr w14:val="tx1"/>
            </w14:solidFill>
          </w14:textFill>
        </w:rPr>
        <w:t>）</w:t>
      </w:r>
    </w:p>
    <w:p>
      <w:pPr>
        <w:wordWrap w:val="0"/>
        <w:jc w:val="center"/>
        <w:rPr>
          <w:color w:val="000000" w:themeColor="text1"/>
          <w:sz w:val="24"/>
          <w:szCs w:val="28"/>
          <w14:textFill>
            <w14:solidFill>
              <w14:schemeClr w14:val="tx1"/>
            </w14:solidFill>
          </w14:textFill>
        </w:rPr>
      </w:pPr>
    </w:p>
    <w:p>
      <w:pPr>
        <w:wordWrap w:val="0"/>
        <w:jc w:val="center"/>
        <w:rPr>
          <w:color w:val="000000" w:themeColor="text1"/>
          <w:sz w:val="24"/>
          <w:szCs w:val="28"/>
          <w14:textFill>
            <w14:solidFill>
              <w14:schemeClr w14:val="tx1"/>
            </w14:solidFill>
          </w14:textFill>
        </w:rPr>
      </w:pPr>
    </w:p>
    <w:p>
      <w:pPr>
        <w:wordWrap w:val="0"/>
        <w:jc w:val="center"/>
        <w:rPr>
          <w:color w:val="000000" w:themeColor="text1"/>
          <w:sz w:val="24"/>
          <w:szCs w:val="28"/>
          <w14:textFill>
            <w14:solidFill>
              <w14:schemeClr w14:val="tx1"/>
            </w14:solidFill>
          </w14:textFill>
        </w:rPr>
      </w:pPr>
      <w:r>
        <w:rPr>
          <w:color w:val="000000" w:themeColor="text1"/>
          <w:sz w:val="24"/>
          <w:szCs w:val="28"/>
          <w14:textFill>
            <w14:solidFill>
              <w14:schemeClr w14:val="tx1"/>
            </w14:solidFill>
          </w14:textFill>
        </w:rPr>
        <w:t>年月日</w:t>
      </w:r>
    </w:p>
    <w:p>
      <w:pPr>
        <w:wordWrap w:val="0"/>
        <w:spacing w:before="240" w:beforeLines="100" w:after="240" w:afterLines="100"/>
        <w:rPr>
          <w:rFonts w:eastAsia="楷体_GB2312"/>
          <w:color w:val="000000" w:themeColor="text1"/>
          <w14:textFill>
            <w14:solidFill>
              <w14:schemeClr w14:val="tx1"/>
            </w14:solidFill>
          </w14:textFill>
        </w:rPr>
      </w:pPr>
    </w:p>
    <w:p>
      <w:pPr>
        <w:keepNext/>
        <w:keepLines/>
        <w:wordWrap w:val="0"/>
        <w:spacing w:before="100" w:line="400" w:lineRule="exact"/>
        <w:jc w:val="center"/>
        <w:outlineLvl w:val="1"/>
        <w:rPr>
          <w:b/>
          <w:color w:val="000000" w:themeColor="text1"/>
          <w:sz w:val="24"/>
          <w14:textFill>
            <w14:solidFill>
              <w14:schemeClr w14:val="tx1"/>
            </w14:solidFill>
          </w14:textFill>
        </w:rPr>
      </w:pPr>
      <w:r>
        <w:rPr>
          <w:b/>
          <w:color w:val="000000" w:themeColor="text1"/>
          <w:sz w:val="24"/>
          <w14:textFill>
            <w14:solidFill>
              <w14:schemeClr w14:val="tx1"/>
            </w14:solidFill>
          </w14:textFill>
        </w:rPr>
        <w:br w:type="page"/>
      </w:r>
      <w:r>
        <w:rPr>
          <w:rFonts w:eastAsia="黑体" w:cs="宋体"/>
          <w:color w:val="000000" w:themeColor="text1"/>
          <w:sz w:val="28"/>
          <w:szCs w:val="20"/>
          <w14:textFill>
            <w14:solidFill>
              <w14:schemeClr w14:val="tx1"/>
            </w14:solidFill>
          </w14:textFill>
        </w:rPr>
        <w:t>投标函</w:t>
      </w:r>
    </w:p>
    <w:p>
      <w:pPr>
        <w:pStyle w:val="145"/>
        <w:wordWrap w:val="0"/>
        <w:jc w:val="center"/>
        <w:rPr>
          <w:color w:val="000000" w:themeColor="text1"/>
          <w14:textFill>
            <w14:solidFill>
              <w14:schemeClr w14:val="tx1"/>
            </w14:solidFill>
          </w14:textFill>
        </w:rPr>
      </w:pPr>
    </w:p>
    <w:p>
      <w:pPr>
        <w:wordWrap w:val="0"/>
        <w:adjustRightInd w:val="0"/>
        <w:snapToGrid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1、根据你方项目编号为</w:t>
      </w:r>
      <w:r>
        <w:rPr>
          <w:color w:val="000000" w:themeColor="text1"/>
          <w:szCs w:val="21"/>
          <w:u w:val="single"/>
          <w14:textFill>
            <w14:solidFill>
              <w14:schemeClr w14:val="tx1"/>
            </w14:solidFill>
          </w14:textFill>
        </w:rPr>
        <w:t>（</w:t>
      </w:r>
      <w:r>
        <w:rPr>
          <w:rFonts w:hint="eastAsia"/>
          <w:color w:val="000000" w:themeColor="text1"/>
          <w:szCs w:val="21"/>
          <w:u w:val="single"/>
          <w14:textFill>
            <w14:solidFill>
              <w14:schemeClr w14:val="tx1"/>
            </w14:solidFill>
          </w14:textFill>
        </w:rPr>
        <w:t>招标</w:t>
      </w:r>
      <w:r>
        <w:rPr>
          <w:color w:val="000000" w:themeColor="text1"/>
          <w:szCs w:val="21"/>
          <w:u w:val="single"/>
          <w14:textFill>
            <w14:solidFill>
              <w14:schemeClr w14:val="tx1"/>
            </w14:solidFill>
          </w14:textFill>
        </w:rPr>
        <w:t>编号）</w:t>
      </w:r>
      <w:r>
        <w:rPr>
          <w:color w:val="000000" w:themeColor="text1"/>
          <w:szCs w:val="21"/>
          <w14:textFill>
            <w14:solidFill>
              <w14:schemeClr w14:val="tx1"/>
            </w14:solidFill>
          </w14:textFill>
        </w:rPr>
        <w:t>的</w:t>
      </w:r>
      <w:r>
        <w:rPr>
          <w:color w:val="000000" w:themeColor="text1"/>
          <w:szCs w:val="21"/>
          <w:u w:val="single"/>
          <w14:textFill>
            <w14:solidFill>
              <w14:schemeClr w14:val="tx1"/>
            </w14:solidFill>
          </w14:textFill>
        </w:rPr>
        <w:t>（工程名称）</w:t>
      </w:r>
      <w:r>
        <w:rPr>
          <w:rFonts w:hint="eastAsia"/>
          <w:color w:val="000000" w:themeColor="text1"/>
          <w:szCs w:val="21"/>
          <w14:textFill>
            <w14:solidFill>
              <w14:schemeClr w14:val="tx1"/>
            </w14:solidFill>
          </w14:textFill>
        </w:rPr>
        <w:t>工程总承包招标文件</w:t>
      </w:r>
      <w:r>
        <w:rPr>
          <w:color w:val="000000" w:themeColor="text1"/>
          <w:szCs w:val="21"/>
          <w14:textFill>
            <w14:solidFill>
              <w14:schemeClr w14:val="tx1"/>
            </w14:solidFill>
          </w14:textFill>
        </w:rPr>
        <w:t>，遵照《中华人民共和国招标投标法》等有关规定，经踏勘项目现场和研究上述招标文件的投标须知、合同条款、</w:t>
      </w:r>
      <w:r>
        <w:rPr>
          <w:rFonts w:hint="eastAsia"/>
          <w:color w:val="000000" w:themeColor="text1"/>
          <w:szCs w:val="21"/>
          <w14:textFill>
            <w14:solidFill>
              <w14:schemeClr w14:val="tx1"/>
            </w14:solidFill>
          </w14:textFill>
        </w:rPr>
        <w:t>工程建设标准、发包人要求</w:t>
      </w:r>
      <w:r>
        <w:rPr>
          <w:color w:val="000000" w:themeColor="text1"/>
          <w:szCs w:val="21"/>
          <w14:textFill>
            <w14:solidFill>
              <w14:schemeClr w14:val="tx1"/>
            </w14:solidFill>
          </w14:textFill>
        </w:rPr>
        <w:t>及其他有关文件后，我方愿以人民币（大写）</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元（RMB￥</w:t>
      </w:r>
      <w:r>
        <w:rPr>
          <w:rFonts w:hint="eastAsia"/>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元）的</w:t>
      </w:r>
      <w:r>
        <w:rPr>
          <w:rFonts w:hint="eastAsia"/>
          <w:color w:val="000000" w:themeColor="text1"/>
          <w:szCs w:val="21"/>
          <w14:textFill>
            <w14:solidFill>
              <w14:schemeClr w14:val="tx1"/>
            </w14:solidFill>
          </w14:textFill>
        </w:rPr>
        <w:t>工程总承包</w:t>
      </w:r>
      <w:r>
        <w:rPr>
          <w:color w:val="000000" w:themeColor="text1"/>
          <w:szCs w:val="21"/>
          <w14:textFill>
            <w14:solidFill>
              <w14:schemeClr w14:val="tx1"/>
            </w14:solidFill>
          </w14:textFill>
        </w:rPr>
        <w:t>报价</w:t>
      </w:r>
      <w:r>
        <w:rPr>
          <w:rFonts w:hint="eastAsia"/>
          <w:color w:val="000000" w:themeColor="text1"/>
          <w:szCs w:val="21"/>
          <w14:textFill>
            <w14:solidFill>
              <w14:schemeClr w14:val="tx1"/>
            </w14:solidFill>
          </w14:textFill>
        </w:rPr>
        <w:t>，总工期</w:t>
      </w:r>
      <w:r>
        <w:rPr>
          <w:rFonts w:ascii="宋体" w:hAnsi="宋体" w:cs="宋体"/>
          <w:color w:val="000000" w:themeColor="text1"/>
          <w:u w:val="single"/>
          <w14:textFill>
            <w14:solidFill>
              <w14:schemeClr w14:val="tx1"/>
            </w14:solidFill>
          </w14:textFill>
        </w:rPr>
        <w:t>2020年</w:t>
      </w:r>
      <w:r>
        <w:rPr>
          <w:rFonts w:hint="eastAsia" w:ascii="宋体" w:hAnsi="宋体" w:cs="宋体"/>
          <w:color w:val="000000" w:themeColor="text1"/>
          <w:u w:val="single"/>
          <w:lang w:val="en-US" w:eastAsia="zh-CN"/>
          <w14:textFill>
            <w14:solidFill>
              <w14:schemeClr w14:val="tx1"/>
            </w14:solidFill>
          </w14:textFill>
        </w:rPr>
        <w:t xml:space="preserve">  </w:t>
      </w:r>
      <w:r>
        <w:rPr>
          <w:rFonts w:ascii="宋体" w:hAnsi="宋体" w:cs="宋体"/>
          <w:color w:val="000000" w:themeColor="text1"/>
          <w:u w:val="single"/>
          <w14:textFill>
            <w14:solidFill>
              <w14:schemeClr w14:val="tx1"/>
            </w14:solidFill>
          </w14:textFill>
        </w:rPr>
        <w:t>月</w:t>
      </w:r>
      <w:r>
        <w:rPr>
          <w:rFonts w:hint="eastAsia" w:ascii="宋体" w:hAnsi="宋体" w:cs="宋体"/>
          <w:color w:val="000000" w:themeColor="text1"/>
          <w:u w:val="single"/>
          <w:lang w:val="en-US" w:eastAsia="zh-CN"/>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日前完成</w:t>
      </w:r>
      <w:r>
        <w:rPr>
          <w:rFonts w:hint="eastAsia" w:ascii="宋体" w:hAnsi="宋体" w:cs="宋体"/>
          <w:color w:val="000000" w:themeColor="text1"/>
          <w14:textFill>
            <w14:solidFill>
              <w14:schemeClr w14:val="tx1"/>
            </w14:solidFill>
          </w14:textFill>
        </w:rPr>
        <w:t>全部工作内容并通过竣工验收</w:t>
      </w:r>
      <w:r>
        <w:rPr>
          <w:rFonts w:hint="eastAsia" w:ascii="宋体" w:hAnsi="宋体" w:cs="宋体"/>
          <w:color w:val="000000" w:themeColor="text1"/>
          <w:lang w:eastAsia="zh-CN"/>
          <w14:textFill>
            <w14:solidFill>
              <w14:schemeClr w14:val="tx1"/>
            </w14:solidFill>
          </w14:textFill>
        </w:rPr>
        <w:t>，</w:t>
      </w:r>
      <w:r>
        <w:rPr>
          <w:rFonts w:hint="eastAsia" w:ascii="宋体" w:hAnsi="宋体" w:cs="宋体"/>
          <w:color w:val="000000" w:themeColor="text1"/>
          <w14:textFill>
            <w14:solidFill>
              <w14:schemeClr w14:val="tx1"/>
            </w14:solidFill>
          </w14:textFill>
        </w:rPr>
        <w:t>其中设计周期：</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u w:val="single"/>
          <w:lang w:val="en-US" w:eastAsia="zh-CN"/>
          <w14:textFill>
            <w14:solidFill>
              <w14:schemeClr w14:val="tx1"/>
            </w14:solidFill>
          </w14:textFill>
        </w:rPr>
        <w:t xml:space="preserve"> </w:t>
      </w:r>
      <w:r>
        <w:rPr>
          <w:rFonts w:hint="eastAsia" w:ascii="宋体" w:hAnsi="宋体" w:cs="宋体"/>
          <w:color w:val="000000" w:themeColor="text1"/>
          <w:u w:val="single"/>
          <w14:textFill>
            <w14:solidFill>
              <w14:schemeClr w14:val="tx1"/>
            </w14:solidFill>
          </w14:textFill>
        </w:rPr>
        <w:t>日</w:t>
      </w:r>
      <w:r>
        <w:rPr>
          <w:rFonts w:hint="eastAsia" w:ascii="宋体" w:hAnsi="宋体" w:cs="宋体"/>
          <w:color w:val="000000" w:themeColor="text1"/>
          <w14:textFill>
            <w14:solidFill>
              <w14:schemeClr w14:val="tx1"/>
            </w14:solidFill>
          </w14:textFill>
        </w:rPr>
        <w:t>历天</w:t>
      </w:r>
      <w:r>
        <w:rPr>
          <w:rFonts w:hint="eastAsia" w:ascii="宋体" w:hAnsi="宋体" w:cs="宋体"/>
          <w:color w:val="000000" w:themeColor="text1"/>
          <w:lang w:eastAsia="zh-CN"/>
          <w14:textFill>
            <w14:solidFill>
              <w14:schemeClr w14:val="tx1"/>
            </w14:solidFill>
          </w14:textFill>
        </w:rPr>
        <w:t>。</w:t>
      </w:r>
      <w:r>
        <w:rPr>
          <w:color w:val="000000" w:themeColor="text1"/>
          <w:szCs w:val="21"/>
          <w14:textFill>
            <w14:solidFill>
              <w14:schemeClr w14:val="tx1"/>
            </w14:solidFill>
          </w14:textFill>
        </w:rPr>
        <w:t>按</w:t>
      </w:r>
      <w:r>
        <w:rPr>
          <w:rFonts w:hint="eastAsia"/>
          <w:color w:val="000000" w:themeColor="text1"/>
          <w:szCs w:val="21"/>
          <w14:textFill>
            <w14:solidFill>
              <w14:schemeClr w14:val="tx1"/>
            </w14:solidFill>
          </w14:textFill>
        </w:rPr>
        <w:t>合同约定实施本项目的</w:t>
      </w:r>
      <w:r>
        <w:rPr>
          <w:rFonts w:hint="eastAsia"/>
          <w:color w:val="000000" w:themeColor="text1"/>
          <w:szCs w:val="21"/>
          <w:u w:val="single"/>
          <w14:textFill>
            <w14:solidFill>
              <w14:schemeClr w14:val="tx1"/>
            </w14:solidFill>
          </w14:textFill>
        </w:rPr>
        <w:t>设计-采购-施工</w:t>
      </w:r>
      <w:r>
        <w:rPr>
          <w:rFonts w:hint="eastAsia"/>
          <w:color w:val="000000" w:themeColor="text1"/>
          <w:szCs w:val="21"/>
          <w14:textFill>
            <w14:solidFill>
              <w14:schemeClr w14:val="tx1"/>
            </w14:solidFill>
          </w14:textFill>
        </w:rPr>
        <w:t>工程总承包</w:t>
      </w:r>
      <w:r>
        <w:rPr>
          <w:color w:val="000000" w:themeColor="text1"/>
          <w:szCs w:val="21"/>
          <w14:textFill>
            <w14:solidFill>
              <w14:schemeClr w14:val="tx1"/>
            </w14:solidFill>
          </w14:textFill>
        </w:rPr>
        <w:t>，并承担任何质量缺陷保修责任。我方保证工程质量达到</w:t>
      </w:r>
      <w:r>
        <w:rPr>
          <w:rFonts w:hint="eastAsia"/>
          <w:color w:val="000000" w:themeColor="text1"/>
          <w:szCs w:val="21"/>
          <w14:textFill>
            <w14:solidFill>
              <w14:schemeClr w14:val="tx1"/>
            </w14:solidFill>
          </w14:textFill>
        </w:rPr>
        <w:t>标准</w:t>
      </w:r>
      <w:r>
        <w:rPr>
          <w:color w:val="000000" w:themeColor="text1"/>
          <w:szCs w:val="21"/>
          <w14:textFill>
            <w14:solidFill>
              <w14:schemeClr w14:val="tx1"/>
            </w14:solidFill>
          </w14:textFill>
        </w:rPr>
        <w:t>。</w:t>
      </w:r>
    </w:p>
    <w:p>
      <w:pPr>
        <w:wordWrap w:val="0"/>
        <w:spacing w:line="360" w:lineRule="auto"/>
        <w:ind w:firstLine="424" w:firstLineChars="202"/>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我方承诺不存在第二章“投标人须知”第1.4.3项和第1.4.4项规定的任何一种情形。</w:t>
      </w:r>
    </w:p>
    <w:p>
      <w:pPr>
        <w:wordWrap w:val="0"/>
        <w:spacing w:line="360" w:lineRule="auto"/>
        <w:ind w:firstLine="424" w:firstLineChars="202"/>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3、我方承诺在本次投标过程中无弄虚作假和串通投标等违法、违规行为，并</w:t>
      </w:r>
      <w:r>
        <w:rPr>
          <w:rFonts w:hint="eastAsia" w:ascii="宋体" w:hAnsi="宋体"/>
          <w:color w:val="000000" w:themeColor="text1"/>
          <w:szCs w:val="21"/>
          <w14:textFill>
            <w14:solidFill>
              <w14:schemeClr w14:val="tx1"/>
            </w14:solidFill>
          </w14:textFill>
        </w:rPr>
        <w:t>愿意承担因</w:t>
      </w:r>
      <w:r>
        <w:rPr>
          <w:rFonts w:hint="eastAsia"/>
          <w:color w:val="000000" w:themeColor="text1"/>
          <w:szCs w:val="21"/>
          <w14:textFill>
            <w14:solidFill>
              <w14:schemeClr w14:val="tx1"/>
            </w14:solidFill>
          </w14:textFill>
        </w:rPr>
        <w:t>弄虚作假和串通投标</w:t>
      </w:r>
      <w:r>
        <w:rPr>
          <w:rFonts w:hint="eastAsia" w:ascii="宋体" w:hAnsi="宋体"/>
          <w:color w:val="000000" w:themeColor="text1"/>
          <w:szCs w:val="21"/>
          <w14:textFill>
            <w14:solidFill>
              <w14:schemeClr w14:val="tx1"/>
            </w14:solidFill>
          </w14:textFill>
        </w:rPr>
        <w:t>所引起的一切法律责任。</w:t>
      </w:r>
    </w:p>
    <w:p>
      <w:pPr>
        <w:wordWrap w:val="0"/>
        <w:spacing w:line="360" w:lineRule="auto"/>
        <w:ind w:firstLine="424" w:firstLineChars="202"/>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r>
        <w:rPr>
          <w:color w:val="000000" w:themeColor="text1"/>
          <w:szCs w:val="21"/>
          <w14:textFill>
            <w14:solidFill>
              <w14:schemeClr w14:val="tx1"/>
            </w14:solidFill>
          </w14:textFill>
        </w:rPr>
        <w:t>、我方承诺在投标有效期内不修改、撤销投标文件。</w:t>
      </w:r>
    </w:p>
    <w:p>
      <w:pPr>
        <w:wordWrap w:val="0"/>
        <w:spacing w:line="360" w:lineRule="auto"/>
        <w:ind w:firstLine="424" w:firstLineChars="202"/>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、如我方中标：</w:t>
      </w:r>
    </w:p>
    <w:p>
      <w:pPr>
        <w:wordWrap w:val="0"/>
        <w:spacing w:line="360" w:lineRule="auto"/>
        <w:ind w:firstLine="424" w:firstLineChars="202"/>
        <w:rPr>
          <w:color w:val="000000" w:themeColor="text1"/>
          <w:szCs w:val="21"/>
          <w14:textFill>
            <w14:solidFill>
              <w14:schemeClr w14:val="tx1"/>
            </w14:solidFill>
          </w14:textFill>
        </w:rPr>
      </w:pPr>
      <w:r>
        <w:rPr>
          <w:color w:val="000000" w:themeColor="text1"/>
          <w:szCs w:val="21"/>
          <w14:textFill>
            <w14:solidFill>
              <w14:schemeClr w14:val="tx1"/>
            </w14:solidFill>
          </w14:textFill>
        </w:rPr>
        <w:t>（1）我方承诺在收到中标通知书后，在中标通知书规定的期限内与你方签订合同。</w:t>
      </w:r>
    </w:p>
    <w:p>
      <w:pPr>
        <w:wordWrap w:val="0"/>
        <w:spacing w:line="360" w:lineRule="auto"/>
        <w:ind w:firstLine="424" w:firstLineChars="202"/>
        <w:rPr>
          <w:color w:val="000000" w:themeColor="text1"/>
          <w:szCs w:val="21"/>
          <w14:textFill>
            <w14:solidFill>
              <w14:schemeClr w14:val="tx1"/>
            </w14:solidFill>
          </w14:textFill>
        </w:rPr>
      </w:pPr>
      <w:r>
        <w:rPr>
          <w:color w:val="000000" w:themeColor="text1"/>
          <w:szCs w:val="21"/>
          <w14:textFill>
            <w14:solidFill>
              <w14:schemeClr w14:val="tx1"/>
            </w14:solidFill>
          </w14:textFill>
        </w:rPr>
        <w:t>（2）我方承诺按照招标文件规定向你方递交履约担保。</w:t>
      </w:r>
    </w:p>
    <w:p>
      <w:pPr>
        <w:wordWrap w:val="0"/>
        <w:spacing w:line="360" w:lineRule="auto"/>
        <w:ind w:firstLine="424" w:firstLineChars="202"/>
        <w:rPr>
          <w:color w:val="000000" w:themeColor="text1"/>
          <w:szCs w:val="21"/>
          <w14:textFill>
            <w14:solidFill>
              <w14:schemeClr w14:val="tx1"/>
            </w14:solidFill>
          </w14:textFill>
        </w:rPr>
      </w:pPr>
      <w:r>
        <w:rPr>
          <w:color w:val="000000" w:themeColor="text1"/>
          <w:szCs w:val="21"/>
          <w14:textFill>
            <w14:solidFill>
              <w14:schemeClr w14:val="tx1"/>
            </w14:solidFill>
          </w14:textFill>
        </w:rPr>
        <w:t>（3）我方承诺在合同约定的期限内完成并移交全部合同工程。</w:t>
      </w:r>
    </w:p>
    <w:p>
      <w:pPr>
        <w:wordWrap w:val="0"/>
        <w:spacing w:line="360" w:lineRule="auto"/>
        <w:ind w:firstLine="424" w:firstLineChars="202"/>
        <w:rPr>
          <w:color w:val="000000" w:themeColor="text1"/>
          <w14:textFill>
            <w14:solidFill>
              <w14:schemeClr w14:val="tx1"/>
            </w14:solidFill>
          </w14:textFill>
        </w:rPr>
      </w:pPr>
    </w:p>
    <w:p>
      <w:pPr>
        <w:wordWrap w:val="0"/>
        <w:spacing w:line="360" w:lineRule="auto"/>
        <w:ind w:firstLine="424" w:firstLineChars="202"/>
        <w:rPr>
          <w:color w:val="000000" w:themeColor="text1"/>
          <w14:textFill>
            <w14:solidFill>
              <w14:schemeClr w14:val="tx1"/>
            </w14:solidFill>
          </w14:textFill>
        </w:rPr>
      </w:pPr>
    </w:p>
    <w:p>
      <w:pPr>
        <w:wordWrap w:val="0"/>
        <w:spacing w:line="360" w:lineRule="auto"/>
        <w:ind w:firstLine="424" w:firstLineChars="202"/>
        <w:rPr>
          <w:color w:val="000000" w:themeColor="text1"/>
          <w14:textFill>
            <w14:solidFill>
              <w14:schemeClr w14:val="tx1"/>
            </w14:solidFill>
          </w14:textFill>
        </w:rPr>
      </w:pPr>
    </w:p>
    <w:p>
      <w:pPr>
        <w:wordWrap w:val="0"/>
        <w:spacing w:line="360" w:lineRule="auto"/>
        <w:ind w:left="1000" w:leftChars="476" w:firstLine="258" w:firstLineChars="123"/>
        <w:rPr>
          <w:color w:val="000000" w:themeColor="text1"/>
          <w:u w:val="single"/>
          <w14:textFill>
            <w14:solidFill>
              <w14:schemeClr w14:val="tx1"/>
            </w14:solidFill>
          </w14:textFill>
        </w:rPr>
      </w:pPr>
      <w:r>
        <w:rPr>
          <w:color w:val="000000" w:themeColor="text1"/>
          <w14:textFill>
            <w14:solidFill>
              <w14:schemeClr w14:val="tx1"/>
            </w14:solidFill>
          </w14:textFill>
        </w:rPr>
        <w:t>投标人：</w:t>
      </w:r>
      <w:r>
        <w:rPr>
          <w:color w:val="000000" w:themeColor="text1"/>
          <w:u w:val="single"/>
          <w14:textFill>
            <w14:solidFill>
              <w14:schemeClr w14:val="tx1"/>
            </w14:solidFill>
          </w14:textFill>
        </w:rPr>
        <w:t>（盖</w:t>
      </w:r>
      <w:r>
        <w:rPr>
          <w:rFonts w:hint="eastAsia"/>
          <w:color w:val="000000" w:themeColor="text1"/>
          <w:u w:val="single"/>
          <w14:textFill>
            <w14:solidFill>
              <w14:schemeClr w14:val="tx1"/>
            </w14:solidFill>
          </w14:textFill>
        </w:rPr>
        <w:t>单位公</w:t>
      </w:r>
      <w:r>
        <w:rPr>
          <w:color w:val="000000" w:themeColor="text1"/>
          <w:u w:val="single"/>
          <w14:textFill>
            <w14:solidFill>
              <w14:schemeClr w14:val="tx1"/>
            </w14:solidFill>
          </w14:textFill>
        </w:rPr>
        <w:t>章）</w:t>
      </w:r>
    </w:p>
    <w:p>
      <w:pPr>
        <w:wordWrap w:val="0"/>
        <w:spacing w:line="360" w:lineRule="auto"/>
        <w:ind w:left="1000" w:leftChars="476" w:firstLine="258" w:firstLineChars="123"/>
        <w:rPr>
          <w:color w:val="000000" w:themeColor="text1"/>
          <w:u w:val="single"/>
          <w14:textFill>
            <w14:solidFill>
              <w14:schemeClr w14:val="tx1"/>
            </w14:solidFill>
          </w14:textFill>
        </w:rPr>
      </w:pPr>
      <w:r>
        <w:rPr>
          <w:color w:val="000000" w:themeColor="text1"/>
          <w14:textFill>
            <w14:solidFill>
              <w14:schemeClr w14:val="tx1"/>
            </w14:solidFill>
          </w14:textFill>
        </w:rPr>
        <w:t>单位地址：</w:t>
      </w:r>
    </w:p>
    <w:p>
      <w:pPr>
        <w:wordWrap w:val="0"/>
        <w:spacing w:line="360" w:lineRule="auto"/>
        <w:ind w:left="1000" w:leftChars="476" w:firstLine="258" w:firstLineChars="123"/>
        <w:rPr>
          <w:color w:val="000000" w:themeColor="text1"/>
          <w:u w:val="single"/>
          <w14:textFill>
            <w14:solidFill>
              <w14:schemeClr w14:val="tx1"/>
            </w14:solidFill>
          </w14:textFill>
        </w:rPr>
      </w:pPr>
      <w:r>
        <w:rPr>
          <w:color w:val="000000" w:themeColor="text1"/>
          <w14:textFill>
            <w14:solidFill>
              <w14:schemeClr w14:val="tx1"/>
            </w14:solidFill>
          </w14:textFill>
        </w:rPr>
        <w:t>法定代表人或其委托代理人：</w:t>
      </w:r>
      <w:r>
        <w:rPr>
          <w:color w:val="000000" w:themeColor="text1"/>
          <w:u w:val="single"/>
          <w14:textFill>
            <w14:solidFill>
              <w14:schemeClr w14:val="tx1"/>
            </w14:solidFill>
          </w14:textFill>
        </w:rPr>
        <w:t>（签字或盖章）</w:t>
      </w:r>
    </w:p>
    <w:p>
      <w:pPr>
        <w:wordWrap w:val="0"/>
        <w:spacing w:line="360" w:lineRule="auto"/>
        <w:ind w:left="1000" w:leftChars="476" w:firstLine="258" w:firstLineChars="123"/>
        <w:rPr>
          <w:color w:val="000000" w:themeColor="text1"/>
          <w:u w:val="single"/>
          <w14:textFill>
            <w14:solidFill>
              <w14:schemeClr w14:val="tx1"/>
            </w14:solidFill>
          </w14:textFill>
        </w:rPr>
      </w:pPr>
      <w:r>
        <w:rPr>
          <w:color w:val="000000" w:themeColor="text1"/>
          <w14:textFill>
            <w14:solidFill>
              <w14:schemeClr w14:val="tx1"/>
            </w14:solidFill>
          </w14:textFill>
        </w:rPr>
        <w:t>邮政编码：</w:t>
      </w:r>
    </w:p>
    <w:p>
      <w:pPr>
        <w:wordWrap w:val="0"/>
        <w:spacing w:line="360" w:lineRule="auto"/>
        <w:ind w:left="1000" w:leftChars="476" w:firstLine="258" w:firstLineChars="123"/>
        <w:rPr>
          <w:color w:val="000000" w:themeColor="text1"/>
          <w:u w:val="single"/>
          <w14:textFill>
            <w14:solidFill>
              <w14:schemeClr w14:val="tx1"/>
            </w14:solidFill>
          </w14:textFill>
        </w:rPr>
      </w:pPr>
      <w:r>
        <w:rPr>
          <w:color w:val="000000" w:themeColor="text1"/>
          <w14:textFill>
            <w14:solidFill>
              <w14:schemeClr w14:val="tx1"/>
            </w14:solidFill>
          </w14:textFill>
        </w:rPr>
        <w:t>电话：</w:t>
      </w:r>
    </w:p>
    <w:p>
      <w:pPr>
        <w:wordWrap w:val="0"/>
        <w:spacing w:line="360" w:lineRule="auto"/>
        <w:ind w:left="1000" w:leftChars="476" w:firstLine="258" w:firstLineChars="123"/>
        <w:rPr>
          <w:color w:val="000000" w:themeColor="text1"/>
          <w14:textFill>
            <w14:solidFill>
              <w14:schemeClr w14:val="tx1"/>
            </w14:solidFill>
          </w14:textFill>
        </w:rPr>
      </w:pPr>
      <w:r>
        <w:rPr>
          <w:color w:val="000000" w:themeColor="text1"/>
          <w14:textFill>
            <w14:solidFill>
              <w14:schemeClr w14:val="tx1"/>
            </w14:solidFill>
          </w14:textFill>
        </w:rPr>
        <w:t>传真：</w:t>
      </w:r>
    </w:p>
    <w:p>
      <w:pPr>
        <w:wordWrap w:val="0"/>
        <w:spacing w:line="360" w:lineRule="auto"/>
        <w:ind w:firstLine="424" w:firstLineChars="202"/>
        <w:rPr>
          <w:color w:val="000000" w:themeColor="text1"/>
          <w14:textFill>
            <w14:solidFill>
              <w14:schemeClr w14:val="tx1"/>
            </w14:solidFill>
          </w14:textFill>
        </w:rPr>
      </w:pPr>
    </w:p>
    <w:p>
      <w:pPr>
        <w:wordWrap w:val="0"/>
        <w:spacing w:line="360" w:lineRule="auto"/>
        <w:ind w:right="420" w:firstLine="424" w:firstLineChars="202"/>
        <w:jc w:val="right"/>
        <w:rPr>
          <w:color w:val="000000" w:themeColor="text1"/>
          <w14:textFill>
            <w14:solidFill>
              <w14:schemeClr w14:val="tx1"/>
            </w14:solidFill>
          </w14:textFill>
        </w:rPr>
      </w:pPr>
      <w:r>
        <w:rPr>
          <w:color w:val="000000" w:themeColor="text1"/>
          <w14:textFill>
            <w14:solidFill>
              <w14:schemeClr w14:val="tx1"/>
            </w14:solidFill>
          </w14:textFill>
        </w:rPr>
        <w:t>日期：</w:t>
      </w:r>
      <w:r>
        <w:rPr>
          <w:color w:val="000000" w:themeColor="text1"/>
          <w:szCs w:val="21"/>
          <w14:textFill>
            <w14:solidFill>
              <w14:schemeClr w14:val="tx1"/>
            </w14:solidFill>
          </w14:textFill>
        </w:rPr>
        <w:t>年月日</w:t>
      </w:r>
    </w:p>
    <w:p>
      <w:pPr>
        <w:wordWrap w:val="0"/>
        <w:spacing w:before="240" w:beforeLines="100" w:after="120" w:afterLines="50" w:line="510" w:lineRule="exact"/>
        <w:rPr>
          <w:color w:val="000000" w:themeColor="text1"/>
          <w:szCs w:val="21"/>
          <w14:textFill>
            <w14:solidFill>
              <w14:schemeClr w14:val="tx1"/>
            </w14:solidFill>
          </w14:textFill>
        </w:rPr>
      </w:pPr>
    </w:p>
    <w:p>
      <w:pPr>
        <w:wordWrap w:val="0"/>
        <w:spacing w:line="480" w:lineRule="auto"/>
        <w:jc w:val="center"/>
        <w:rPr>
          <w:color w:val="000000" w:themeColor="text1"/>
          <w:szCs w:val="21"/>
          <w14:textFill>
            <w14:solidFill>
              <w14:schemeClr w14:val="tx1"/>
            </w14:solidFill>
          </w14:textFill>
        </w:rPr>
      </w:pPr>
    </w:p>
    <w:p>
      <w:pPr>
        <w:wordWrap w:val="0"/>
        <w:spacing w:line="480" w:lineRule="auto"/>
        <w:jc w:val="center"/>
        <w:rPr>
          <w:color w:val="000000" w:themeColor="text1"/>
          <w:szCs w:val="21"/>
          <w14:textFill>
            <w14:solidFill>
              <w14:schemeClr w14:val="tx1"/>
            </w14:solidFill>
          </w14:textFill>
        </w:rPr>
      </w:pPr>
    </w:p>
    <w:p>
      <w:pPr>
        <w:keepNext/>
        <w:keepLines/>
        <w:wordWrap w:val="0"/>
        <w:spacing w:line="360" w:lineRule="auto"/>
        <w:ind w:left="359" w:leftChars="171"/>
        <w:jc w:val="center"/>
        <w:outlineLvl w:val="3"/>
        <w:rPr>
          <w:rFonts w:ascii="黑体" w:hAnsi="黑体" w:eastAsia="黑体"/>
          <w:bCs/>
          <w:color w:val="000000" w:themeColor="text1"/>
          <w:sz w:val="28"/>
          <w:szCs w:val="28"/>
          <w14:textFill>
            <w14:solidFill>
              <w14:schemeClr w14:val="tx1"/>
            </w14:solidFill>
          </w14:textFill>
        </w:rPr>
      </w:pPr>
      <w:bookmarkStart w:id="162" w:name="_Toc300835212"/>
      <w:bookmarkStart w:id="163" w:name="_Toc144974859"/>
      <w:bookmarkStart w:id="164" w:name="_Toc247514249"/>
      <w:bookmarkStart w:id="165" w:name="_Toc152042579"/>
      <w:bookmarkStart w:id="166" w:name="_Toc247527830"/>
      <w:bookmarkStart w:id="167" w:name="_Toc152045790"/>
    </w:p>
    <w:p>
      <w:pPr>
        <w:keepNext/>
        <w:keepLines/>
        <w:wordWrap w:val="0"/>
        <w:spacing w:line="360" w:lineRule="auto"/>
        <w:ind w:left="359" w:leftChars="171"/>
        <w:jc w:val="center"/>
        <w:outlineLvl w:val="3"/>
        <w:rPr>
          <w:rFonts w:ascii="黑体" w:hAnsi="黑体" w:eastAsia="黑体"/>
          <w:bCs/>
          <w:color w:val="000000" w:themeColor="text1"/>
          <w:sz w:val="28"/>
          <w:szCs w:val="28"/>
          <w14:textFill>
            <w14:solidFill>
              <w14:schemeClr w14:val="tx1"/>
            </w14:solidFill>
          </w14:textFill>
        </w:rPr>
      </w:pPr>
    </w:p>
    <w:p>
      <w:pPr>
        <w:keepNext/>
        <w:keepLines/>
        <w:wordWrap w:val="0"/>
        <w:spacing w:line="360" w:lineRule="auto"/>
        <w:ind w:left="359" w:leftChars="171"/>
        <w:jc w:val="center"/>
        <w:outlineLvl w:val="3"/>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投标函附录</w:t>
      </w:r>
    </w:p>
    <w:tbl>
      <w:tblPr>
        <w:tblStyle w:val="43"/>
        <w:tblW w:w="85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75"/>
        <w:gridCol w:w="3747"/>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275"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条款名称</w:t>
            </w:r>
          </w:p>
        </w:tc>
        <w:tc>
          <w:tcPr>
            <w:tcW w:w="3747"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约定内容</w:t>
            </w:r>
          </w:p>
        </w:tc>
        <w:tc>
          <w:tcPr>
            <w:tcW w:w="1558"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3275"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工程总承包项目经理</w:t>
            </w:r>
          </w:p>
        </w:tc>
        <w:tc>
          <w:tcPr>
            <w:tcW w:w="3747"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姓名：</w:t>
            </w:r>
          </w:p>
          <w:p>
            <w:pPr>
              <w:wordWrap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职业资格证书（职称证书）名称及等级：          </w:t>
            </w:r>
          </w:p>
        </w:tc>
        <w:tc>
          <w:tcPr>
            <w:tcW w:w="1558"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275" w:type="dxa"/>
            <w:tcBorders>
              <w:top w:val="single" w:color="auto" w:sz="4" w:space="0"/>
              <w:left w:val="single" w:color="auto" w:sz="4" w:space="0"/>
              <w:bottom w:val="single" w:color="auto" w:sz="4" w:space="0"/>
              <w:right w:val="single" w:color="auto" w:sz="4" w:space="0"/>
            </w:tcBorders>
            <w:vAlign w:val="center"/>
          </w:tcPr>
          <w:p>
            <w:pPr>
              <w:wordWrap w:val="0"/>
              <w:autoSpaceDE w:val="0"/>
              <w:autoSpaceDN w:val="0"/>
              <w:adjustRightInd w:val="0"/>
              <w:ind w:right="-20"/>
              <w:jc w:val="center"/>
              <w:rPr>
                <w:rFonts w:ascii="宋体" w:hAnsi="宋体" w:cs="MingLiU"/>
                <w:color w:val="000000" w:themeColor="text1"/>
                <w:kern w:val="0"/>
                <w:szCs w:val="21"/>
                <w14:textFill>
                  <w14:solidFill>
                    <w14:schemeClr w14:val="tx1"/>
                  </w14:solidFill>
                </w14:textFill>
              </w:rPr>
            </w:pPr>
            <w:r>
              <w:rPr>
                <w:rFonts w:hint="eastAsia" w:ascii="宋体" w:hAnsi="宋体" w:cs="MingLiU"/>
                <w:color w:val="000000" w:themeColor="text1"/>
                <w:kern w:val="0"/>
                <w:szCs w:val="21"/>
                <w14:textFill>
                  <w14:solidFill>
                    <w14:schemeClr w14:val="tx1"/>
                  </w14:solidFill>
                </w14:textFill>
              </w:rPr>
              <w:t>投标有效期</w:t>
            </w:r>
          </w:p>
        </w:tc>
        <w:tc>
          <w:tcPr>
            <w:tcW w:w="3747" w:type="dxa"/>
            <w:tcBorders>
              <w:top w:val="single" w:color="auto" w:sz="4" w:space="0"/>
              <w:left w:val="single" w:color="auto" w:sz="4" w:space="0"/>
              <w:bottom w:val="single" w:color="auto" w:sz="4" w:space="0"/>
              <w:right w:val="single" w:color="auto" w:sz="4" w:space="0"/>
            </w:tcBorders>
            <w:vAlign w:val="center"/>
          </w:tcPr>
          <w:p>
            <w:pPr>
              <w:wordWrap w:val="0"/>
              <w:autoSpaceDE w:val="0"/>
              <w:autoSpaceDN w:val="0"/>
              <w:adjustRightInd w:val="0"/>
              <w:rPr>
                <w:rFonts w:ascii="宋体" w:hAnsi="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天数:</w:t>
            </w:r>
            <w:r>
              <w:rPr>
                <w:rFonts w:hint="eastAsia" w:ascii="宋体" w:hAnsi="宋体"/>
                <w:color w:val="000000" w:themeColor="text1"/>
                <w:szCs w:val="21"/>
                <w:u w:val="single"/>
                <w:lang w:val="en-US" w:eastAsia="zh-CN"/>
                <w14:textFill>
                  <w14:solidFill>
                    <w14:schemeClr w14:val="tx1"/>
                  </w14:solidFill>
                </w14:textFill>
              </w:rPr>
              <w:t>60</w:t>
            </w:r>
            <w:r>
              <w:rPr>
                <w:rFonts w:hint="eastAsia" w:ascii="宋体" w:hAnsi="宋体"/>
                <w:color w:val="000000" w:themeColor="text1"/>
                <w:szCs w:val="21"/>
                <w14:textFill>
                  <w14:solidFill>
                    <w14:schemeClr w14:val="tx1"/>
                  </w14:solidFill>
                </w14:textFill>
              </w:rPr>
              <w:t>日历天（从投标截止之日算起）</w:t>
            </w:r>
          </w:p>
        </w:tc>
        <w:tc>
          <w:tcPr>
            <w:tcW w:w="1558"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275"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s="MingLiU"/>
                <w:color w:val="000000" w:themeColor="text1"/>
                <w:kern w:val="0"/>
                <w:szCs w:val="21"/>
                <w14:textFill>
                  <w14:solidFill>
                    <w14:schemeClr w14:val="tx1"/>
                  </w14:solidFill>
                </w14:textFill>
              </w:rPr>
              <w:t>是否接受招标文件中的合同条款</w:t>
            </w:r>
          </w:p>
        </w:tc>
        <w:tc>
          <w:tcPr>
            <w:tcW w:w="3747"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是</w:t>
            </w:r>
          </w:p>
        </w:tc>
        <w:tc>
          <w:tcPr>
            <w:tcW w:w="1558"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275" w:type="dxa"/>
            <w:tcBorders>
              <w:top w:val="single" w:color="auto" w:sz="4" w:space="0"/>
              <w:left w:val="single" w:color="auto" w:sz="4" w:space="0"/>
              <w:bottom w:val="single" w:color="auto" w:sz="4" w:space="0"/>
              <w:right w:val="single" w:color="auto" w:sz="4" w:space="0"/>
            </w:tcBorders>
            <w:vAlign w:val="center"/>
          </w:tcPr>
          <w:p>
            <w:pPr>
              <w:wordWrap w:val="0"/>
              <w:autoSpaceDE w:val="0"/>
              <w:autoSpaceDN w:val="0"/>
              <w:adjustRightInd w:val="0"/>
              <w:ind w:right="-20"/>
              <w:jc w:val="center"/>
              <w:rPr>
                <w:rFonts w:ascii="宋体" w:hAnsi="宋体"/>
                <w:color w:val="000000" w:themeColor="text1"/>
                <w:kern w:val="0"/>
                <w:szCs w:val="21"/>
                <w14:textFill>
                  <w14:solidFill>
                    <w14:schemeClr w14:val="tx1"/>
                  </w14:solidFill>
                </w14:textFill>
              </w:rPr>
            </w:pPr>
            <w:r>
              <w:rPr>
                <w:rFonts w:hint="eastAsia" w:ascii="宋体" w:hAnsi="宋体" w:cs="MingLiU"/>
                <w:color w:val="000000" w:themeColor="text1"/>
                <w:kern w:val="0"/>
                <w:szCs w:val="21"/>
                <w14:textFill>
                  <w14:solidFill>
                    <w14:schemeClr w14:val="tx1"/>
                  </w14:solidFill>
                </w14:textFill>
              </w:rPr>
              <w:t>是否响应招标文件中的技术标准及要求</w:t>
            </w:r>
          </w:p>
        </w:tc>
        <w:tc>
          <w:tcPr>
            <w:tcW w:w="3747" w:type="dxa"/>
            <w:tcBorders>
              <w:top w:val="single" w:color="auto" w:sz="4" w:space="0"/>
              <w:left w:val="single" w:color="auto" w:sz="4" w:space="0"/>
              <w:bottom w:val="single" w:color="auto" w:sz="4" w:space="0"/>
              <w:right w:val="single" w:color="auto" w:sz="4" w:space="0"/>
            </w:tcBorders>
            <w:vAlign w:val="center"/>
          </w:tcPr>
          <w:p>
            <w:pPr>
              <w:wordWrap w:val="0"/>
              <w:autoSpaceDE w:val="0"/>
              <w:autoSpaceDN w:val="0"/>
              <w:adjustRightInd w:val="0"/>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是</w:t>
            </w:r>
          </w:p>
        </w:tc>
        <w:tc>
          <w:tcPr>
            <w:tcW w:w="1558"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rPr>
        <w:tc>
          <w:tcPr>
            <w:tcW w:w="3275" w:type="dxa"/>
            <w:tcBorders>
              <w:top w:val="single" w:color="auto" w:sz="4" w:space="0"/>
              <w:left w:val="single" w:color="auto" w:sz="4" w:space="0"/>
              <w:bottom w:val="single" w:color="auto" w:sz="4" w:space="0"/>
              <w:right w:val="single" w:color="auto" w:sz="4" w:space="0"/>
            </w:tcBorders>
            <w:vAlign w:val="center"/>
          </w:tcPr>
          <w:p>
            <w:pPr>
              <w:wordWrap w:val="0"/>
              <w:autoSpaceDE w:val="0"/>
              <w:autoSpaceDN w:val="0"/>
              <w:adjustRightInd w:val="0"/>
              <w:ind w:right="-20"/>
              <w:jc w:val="center"/>
              <w:rPr>
                <w:rFonts w:ascii="宋体" w:hAnsi="宋体" w:cs="MingLiU"/>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工程质量</w:t>
            </w:r>
          </w:p>
        </w:tc>
        <w:tc>
          <w:tcPr>
            <w:tcW w:w="3747"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w:t>
            </w:r>
            <w:r>
              <w:rPr>
                <w:rFonts w:hint="eastAsia" w:ascii="宋体" w:hAnsi="宋体"/>
                <w:color w:val="000000" w:themeColor="text1"/>
                <w:szCs w:val="21"/>
                <w14:textFill>
                  <w14:solidFill>
                    <w14:schemeClr w14:val="tx1"/>
                  </w14:solidFill>
                </w14:textFill>
              </w:rPr>
              <w:t>设计：</w:t>
            </w:r>
          </w:p>
          <w:p>
            <w:pPr>
              <w:wordWrap w:val="0"/>
              <w:spacing w:line="360"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□采购：</w:t>
            </w:r>
          </w:p>
          <w:p>
            <w:pPr>
              <w:wordWrap w:val="0"/>
              <w:spacing w:line="360"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□施工：</w:t>
            </w:r>
          </w:p>
          <w:p>
            <w:pPr>
              <w:wordWrap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□其他：</w:t>
            </w:r>
          </w:p>
        </w:tc>
        <w:tc>
          <w:tcPr>
            <w:tcW w:w="1558"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275" w:type="dxa"/>
            <w:tcBorders>
              <w:top w:val="single" w:color="auto" w:sz="4" w:space="0"/>
              <w:left w:val="single" w:color="auto" w:sz="4" w:space="0"/>
              <w:bottom w:val="single" w:color="auto" w:sz="4" w:space="0"/>
              <w:right w:val="single" w:color="auto" w:sz="4" w:space="0"/>
            </w:tcBorders>
            <w:vAlign w:val="center"/>
          </w:tcPr>
          <w:p>
            <w:pPr>
              <w:wordWrap w:val="0"/>
              <w:autoSpaceDE w:val="0"/>
              <w:autoSpaceDN w:val="0"/>
              <w:adjustRightInd w:val="0"/>
              <w:ind w:right="-20"/>
              <w:jc w:val="center"/>
              <w:rPr>
                <w:rFonts w:ascii="宋体" w:hAnsi="宋体" w:cs="MingLiU"/>
                <w:color w:val="000000" w:themeColor="text1"/>
                <w:kern w:val="0"/>
                <w:szCs w:val="21"/>
                <w14:textFill>
                  <w14:solidFill>
                    <w14:schemeClr w14:val="tx1"/>
                  </w14:solidFill>
                </w14:textFill>
              </w:rPr>
            </w:pPr>
            <w:r>
              <w:rPr>
                <w:rFonts w:hint="eastAsia" w:ascii="宋体" w:hAnsi="宋体" w:cs="MingLiU"/>
                <w:color w:val="000000" w:themeColor="text1"/>
                <w:kern w:val="0"/>
                <w:szCs w:val="21"/>
                <w14:textFill>
                  <w14:solidFill>
                    <w14:schemeClr w14:val="tx1"/>
                  </w14:solidFill>
                </w14:textFill>
              </w:rPr>
              <w:t>再发包工程</w:t>
            </w:r>
          </w:p>
        </w:tc>
        <w:tc>
          <w:tcPr>
            <w:tcW w:w="3747"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宋体" w:hAnsi="宋体"/>
                <w:color w:val="000000" w:themeColor="text1"/>
                <w:szCs w:val="21"/>
                <w14:textFill>
                  <w14:solidFill>
                    <w14:schemeClr w14:val="tx1"/>
                  </w14:solidFill>
                </w14:textFill>
              </w:rPr>
            </w:pPr>
          </w:p>
        </w:tc>
        <w:tc>
          <w:tcPr>
            <w:tcW w:w="1558"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275" w:type="dxa"/>
            <w:tcBorders>
              <w:top w:val="single" w:color="auto" w:sz="4" w:space="0"/>
              <w:left w:val="single" w:color="auto" w:sz="4" w:space="0"/>
              <w:bottom w:val="single" w:color="auto" w:sz="4" w:space="0"/>
              <w:right w:val="single" w:color="auto" w:sz="4" w:space="0"/>
            </w:tcBorders>
            <w:vAlign w:val="center"/>
          </w:tcPr>
          <w:p>
            <w:pPr>
              <w:wordWrap w:val="0"/>
              <w:autoSpaceDE w:val="0"/>
              <w:autoSpaceDN w:val="0"/>
              <w:adjustRightInd w:val="0"/>
              <w:ind w:right="-20"/>
              <w:jc w:val="center"/>
              <w:rPr>
                <w:rFonts w:ascii="宋体" w:hAnsi="宋体" w:cs="MingLiU"/>
                <w:color w:val="000000" w:themeColor="text1"/>
                <w:kern w:val="0"/>
                <w:szCs w:val="21"/>
                <w14:textFill>
                  <w14:solidFill>
                    <w14:schemeClr w14:val="tx1"/>
                  </w14:solidFill>
                </w14:textFill>
              </w:rPr>
            </w:pPr>
            <w:r>
              <w:rPr>
                <w:rFonts w:hint="eastAsia" w:ascii="宋体" w:hAnsi="宋体" w:cs="MingLiU"/>
                <w:color w:val="000000" w:themeColor="text1"/>
                <w:kern w:val="0"/>
                <w:szCs w:val="21"/>
                <w14:textFill>
                  <w14:solidFill>
                    <w14:schemeClr w14:val="tx1"/>
                  </w14:solidFill>
                </w14:textFill>
              </w:rPr>
              <w:t>分包工程</w:t>
            </w:r>
          </w:p>
        </w:tc>
        <w:tc>
          <w:tcPr>
            <w:tcW w:w="3747"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宋体" w:hAnsi="宋体"/>
                <w:color w:val="000000" w:themeColor="text1"/>
                <w:szCs w:val="21"/>
                <w14:textFill>
                  <w14:solidFill>
                    <w14:schemeClr w14:val="tx1"/>
                  </w14:solidFill>
                </w14:textFill>
              </w:rPr>
            </w:pPr>
          </w:p>
        </w:tc>
        <w:tc>
          <w:tcPr>
            <w:tcW w:w="1558"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275"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s="MingLiU"/>
                <w:color w:val="000000" w:themeColor="text1"/>
                <w:kern w:val="0"/>
                <w:szCs w:val="21"/>
                <w14:textFill>
                  <w14:solidFill>
                    <w14:schemeClr w14:val="tx1"/>
                  </w14:solidFill>
                </w14:textFill>
              </w:rPr>
              <w:t>是否响应招标文件中的招标范围</w:t>
            </w:r>
          </w:p>
        </w:tc>
        <w:tc>
          <w:tcPr>
            <w:tcW w:w="3747"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是</w:t>
            </w:r>
          </w:p>
        </w:tc>
        <w:tc>
          <w:tcPr>
            <w:tcW w:w="1558"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3275" w:type="dxa"/>
            <w:tcBorders>
              <w:top w:val="single" w:color="auto" w:sz="4" w:space="0"/>
              <w:left w:val="single" w:color="auto" w:sz="4" w:space="0"/>
              <w:bottom w:val="single" w:color="auto" w:sz="4" w:space="0"/>
              <w:right w:val="single" w:color="auto" w:sz="4" w:space="0"/>
            </w:tcBorders>
            <w:vAlign w:val="center"/>
          </w:tcPr>
          <w:p>
            <w:pPr>
              <w:wordWrap w:val="0"/>
              <w:autoSpaceDE w:val="0"/>
              <w:autoSpaceDN w:val="0"/>
              <w:adjustRightInd w:val="0"/>
              <w:ind w:right="-20"/>
              <w:jc w:val="center"/>
              <w:rPr>
                <w:rFonts w:ascii="宋体" w:hAnsi="宋体" w:cs="MingLiU"/>
                <w:color w:val="000000" w:themeColor="text1"/>
                <w:kern w:val="0"/>
                <w:szCs w:val="21"/>
                <w14:textFill>
                  <w14:solidFill>
                    <w14:schemeClr w14:val="tx1"/>
                  </w14:solidFill>
                </w14:textFill>
              </w:rPr>
            </w:pPr>
            <w:r>
              <w:rPr>
                <w:rFonts w:ascii="宋体" w:hAnsi="宋体" w:cs="MingLiU"/>
                <w:color w:val="000000" w:themeColor="text1"/>
                <w:kern w:val="0"/>
                <w:szCs w:val="21"/>
                <w14:textFill>
                  <w14:solidFill>
                    <w14:schemeClr w14:val="tx1"/>
                  </w14:solidFill>
                </w14:textFill>
              </w:rPr>
              <w:t>……</w:t>
            </w:r>
          </w:p>
        </w:tc>
        <w:tc>
          <w:tcPr>
            <w:tcW w:w="3747" w:type="dxa"/>
            <w:tcBorders>
              <w:top w:val="single" w:color="auto" w:sz="4" w:space="0"/>
              <w:left w:val="single" w:color="auto" w:sz="4" w:space="0"/>
              <w:bottom w:val="single" w:color="auto" w:sz="4" w:space="0"/>
              <w:right w:val="single" w:color="auto" w:sz="4" w:space="0"/>
            </w:tcBorders>
            <w:vAlign w:val="center"/>
          </w:tcPr>
          <w:p>
            <w:pPr>
              <w:wordWrap w:val="0"/>
              <w:autoSpaceDE w:val="0"/>
              <w:autoSpaceDN w:val="0"/>
              <w:adjustRightInd w:val="0"/>
              <w:ind w:left="359" w:leftChars="171"/>
              <w:rPr>
                <w:rFonts w:ascii="宋体" w:hAnsi="宋体"/>
                <w:color w:val="000000" w:themeColor="text1"/>
                <w:kern w:val="0"/>
                <w:szCs w:val="21"/>
                <w14:textFill>
                  <w14:solidFill>
                    <w14:schemeClr w14:val="tx1"/>
                  </w14:solidFill>
                </w14:textFill>
              </w:rPr>
            </w:pPr>
          </w:p>
        </w:tc>
        <w:tc>
          <w:tcPr>
            <w:tcW w:w="1558"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宋体" w:hAnsi="宋体"/>
                <w:color w:val="000000" w:themeColor="text1"/>
                <w:szCs w:val="21"/>
                <w14:textFill>
                  <w14:solidFill>
                    <w14:schemeClr w14:val="tx1"/>
                  </w14:solidFill>
                </w14:textFill>
              </w:rPr>
            </w:pPr>
          </w:p>
        </w:tc>
      </w:tr>
    </w:tbl>
    <w:p>
      <w:pPr>
        <w:keepNext/>
        <w:keepLines/>
        <w:wordWrap w:val="0"/>
        <w:spacing w:before="260" w:after="260" w:line="360" w:lineRule="auto"/>
        <w:jc w:val="center"/>
        <w:outlineLvl w:val="2"/>
        <w:rPr>
          <w:rFonts w:ascii="宋体" w:hAnsi="宋体"/>
          <w:b/>
          <w:bCs/>
          <w:color w:val="000000" w:themeColor="text1"/>
          <w:sz w:val="24"/>
          <w:szCs w:val="32"/>
          <w14:textFill>
            <w14:solidFill>
              <w14:schemeClr w14:val="tx1"/>
            </w14:solidFill>
          </w14:textFill>
        </w:rPr>
      </w:pPr>
    </w:p>
    <w:p>
      <w:pPr>
        <w:keepNext/>
        <w:keepLines/>
        <w:wordWrap w:val="0"/>
        <w:spacing w:line="360" w:lineRule="auto"/>
        <w:ind w:left="359" w:leftChars="171"/>
        <w:jc w:val="center"/>
        <w:outlineLvl w:val="3"/>
        <w:rPr>
          <w:rFonts w:ascii="黑体" w:hAnsi="黑体" w:eastAsia="黑体"/>
          <w:bCs/>
          <w:color w:val="000000" w:themeColor="text1"/>
          <w:sz w:val="28"/>
          <w:szCs w:val="28"/>
          <w14:textFill>
            <w14:solidFill>
              <w14:schemeClr w14:val="tx1"/>
            </w14:solidFill>
          </w14:textFill>
        </w:rPr>
      </w:pPr>
      <w:r>
        <w:rPr>
          <w:rFonts w:ascii="Arial" w:hAnsi="Arial"/>
          <w:b/>
          <w:bCs/>
          <w:color w:val="000000" w:themeColor="text1"/>
          <w:szCs w:val="28"/>
          <w14:textFill>
            <w14:solidFill>
              <w14:schemeClr w14:val="tx1"/>
            </w14:solidFill>
          </w14:textFill>
        </w:rPr>
        <w:br w:type="page"/>
      </w:r>
      <w:r>
        <w:rPr>
          <w:rFonts w:hint="eastAsia" w:ascii="黑体" w:hAnsi="黑体" w:eastAsia="黑体"/>
          <w:bCs/>
          <w:color w:val="000000" w:themeColor="text1"/>
          <w:sz w:val="28"/>
          <w:szCs w:val="28"/>
          <w14:textFill>
            <w14:solidFill>
              <w14:schemeClr w14:val="tx1"/>
            </w14:solidFill>
          </w14:textFill>
        </w:rPr>
        <w:t>工程总承包报价附表</w:t>
      </w:r>
    </w:p>
    <w:p>
      <w:pPr>
        <w:wordWrap w:val="0"/>
        <w:spacing w:line="360" w:lineRule="auto"/>
        <w:jc w:val="center"/>
        <w:rPr>
          <w:rFonts w:ascii="宋体" w:hAnsi="宋体"/>
          <w:b/>
          <w:color w:val="000000" w:themeColor="text1"/>
          <w:szCs w:val="21"/>
          <w14:textFill>
            <w14:solidFill>
              <w14:schemeClr w14:val="tx1"/>
            </w14:solidFill>
          </w14:textFill>
        </w:rPr>
      </w:pPr>
    </w:p>
    <w:tbl>
      <w:tblPr>
        <w:tblStyle w:val="43"/>
        <w:tblW w:w="8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514"/>
        <w:gridCol w:w="1711"/>
        <w:gridCol w:w="1712"/>
        <w:gridCol w:w="1556"/>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58" w:type="dxa"/>
            <w:vAlign w:val="center"/>
          </w:tcPr>
          <w:p>
            <w:pPr>
              <w:wordWrap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序号</w:t>
            </w:r>
          </w:p>
        </w:tc>
        <w:tc>
          <w:tcPr>
            <w:tcW w:w="1514" w:type="dxa"/>
            <w:vAlign w:val="center"/>
          </w:tcPr>
          <w:p>
            <w:pPr>
              <w:wordWrap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分项名称</w:t>
            </w:r>
          </w:p>
        </w:tc>
        <w:tc>
          <w:tcPr>
            <w:tcW w:w="1711" w:type="dxa"/>
            <w:vAlign w:val="center"/>
          </w:tcPr>
          <w:p>
            <w:pPr>
              <w:wordWrap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范围、规模</w:t>
            </w:r>
          </w:p>
        </w:tc>
        <w:tc>
          <w:tcPr>
            <w:tcW w:w="1712" w:type="dxa"/>
            <w:vAlign w:val="center"/>
          </w:tcPr>
          <w:p>
            <w:pPr>
              <w:wordWrap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工作内容</w:t>
            </w:r>
          </w:p>
        </w:tc>
        <w:tc>
          <w:tcPr>
            <w:tcW w:w="1556" w:type="dxa"/>
            <w:vAlign w:val="center"/>
          </w:tcPr>
          <w:p>
            <w:pPr>
              <w:wordWrap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投标报价</w:t>
            </w:r>
          </w:p>
        </w:tc>
        <w:tc>
          <w:tcPr>
            <w:tcW w:w="1449" w:type="dxa"/>
            <w:vAlign w:val="center"/>
          </w:tcPr>
          <w:p>
            <w:pPr>
              <w:wordWrap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58" w:type="dxa"/>
            <w:vAlign w:val="center"/>
          </w:tcPr>
          <w:p>
            <w:pPr>
              <w:wordWrap w:val="0"/>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6493" w:type="dxa"/>
            <w:gridSpan w:val="4"/>
            <w:vAlign w:val="center"/>
          </w:tcPr>
          <w:p>
            <w:pPr>
              <w:wordWrap w:val="0"/>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工程设计费</w:t>
            </w:r>
          </w:p>
        </w:tc>
        <w:tc>
          <w:tcPr>
            <w:tcW w:w="1449" w:type="dxa"/>
            <w:vAlign w:val="center"/>
          </w:tcPr>
          <w:p>
            <w:pPr>
              <w:wordWrap w:val="0"/>
              <w:spacing w:line="360" w:lineRule="auto"/>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58" w:type="dxa"/>
            <w:vAlign w:val="center"/>
          </w:tcPr>
          <w:p>
            <w:pPr>
              <w:wordWrap w:val="0"/>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w:t>
            </w:r>
          </w:p>
        </w:tc>
        <w:tc>
          <w:tcPr>
            <w:tcW w:w="1514" w:type="dxa"/>
            <w:vAlign w:val="center"/>
          </w:tcPr>
          <w:p>
            <w:pPr>
              <w:wordWrap w:val="0"/>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工程设计</w:t>
            </w:r>
          </w:p>
        </w:tc>
        <w:tc>
          <w:tcPr>
            <w:tcW w:w="1711" w:type="dxa"/>
            <w:vAlign w:val="center"/>
          </w:tcPr>
          <w:p>
            <w:pPr>
              <w:wordWrap w:val="0"/>
              <w:spacing w:line="360" w:lineRule="auto"/>
              <w:jc w:val="center"/>
              <w:rPr>
                <w:color w:val="000000" w:themeColor="text1"/>
                <w:szCs w:val="21"/>
                <w:u w:val="single"/>
                <w14:textFill>
                  <w14:solidFill>
                    <w14:schemeClr w14:val="tx1"/>
                  </w14:solidFill>
                </w14:textFill>
              </w:rPr>
            </w:pPr>
          </w:p>
        </w:tc>
        <w:tc>
          <w:tcPr>
            <w:tcW w:w="1712" w:type="dxa"/>
            <w:vAlign w:val="center"/>
          </w:tcPr>
          <w:p>
            <w:pPr>
              <w:wordWrap w:val="0"/>
              <w:spacing w:line="360" w:lineRule="auto"/>
              <w:jc w:val="center"/>
              <w:rPr>
                <w:color w:val="000000" w:themeColor="text1"/>
                <w:szCs w:val="21"/>
                <w:u w:val="single"/>
                <w14:textFill>
                  <w14:solidFill>
                    <w14:schemeClr w14:val="tx1"/>
                  </w14:solidFill>
                </w14:textFill>
              </w:rPr>
            </w:pPr>
          </w:p>
        </w:tc>
        <w:tc>
          <w:tcPr>
            <w:tcW w:w="1556" w:type="dxa"/>
            <w:vAlign w:val="center"/>
          </w:tcPr>
          <w:p>
            <w:pPr>
              <w:wordWrap w:val="0"/>
              <w:spacing w:line="360" w:lineRule="auto"/>
              <w:jc w:val="center"/>
              <w:rPr>
                <w:color w:val="000000" w:themeColor="text1"/>
                <w:szCs w:val="21"/>
                <w:u w:val="single"/>
                <w14:textFill>
                  <w14:solidFill>
                    <w14:schemeClr w14:val="tx1"/>
                  </w14:solidFill>
                </w14:textFill>
              </w:rPr>
            </w:pPr>
          </w:p>
        </w:tc>
        <w:tc>
          <w:tcPr>
            <w:tcW w:w="1449" w:type="dxa"/>
            <w:vAlign w:val="center"/>
          </w:tcPr>
          <w:p>
            <w:pPr>
              <w:wordWrap w:val="0"/>
              <w:spacing w:line="360" w:lineRule="auto"/>
              <w:jc w:val="center"/>
              <w:rPr>
                <w:color w:val="000000" w:themeColor="text1"/>
                <w:szCs w:val="21"/>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58" w:type="dxa"/>
            <w:vAlign w:val="center"/>
          </w:tcPr>
          <w:p>
            <w:pPr>
              <w:wordWrap w:val="0"/>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1.2</w:t>
            </w:r>
          </w:p>
        </w:tc>
        <w:tc>
          <w:tcPr>
            <w:tcW w:w="1514" w:type="dxa"/>
            <w:vAlign w:val="center"/>
          </w:tcPr>
          <w:p>
            <w:pPr>
              <w:wordWrap w:val="0"/>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711" w:type="dxa"/>
            <w:vAlign w:val="center"/>
          </w:tcPr>
          <w:p>
            <w:pPr>
              <w:wordWrap w:val="0"/>
              <w:spacing w:line="360" w:lineRule="auto"/>
              <w:jc w:val="center"/>
              <w:rPr>
                <w:color w:val="000000" w:themeColor="text1"/>
                <w:szCs w:val="21"/>
                <w:u w:val="single"/>
                <w14:textFill>
                  <w14:solidFill>
                    <w14:schemeClr w14:val="tx1"/>
                  </w14:solidFill>
                </w14:textFill>
              </w:rPr>
            </w:pPr>
          </w:p>
        </w:tc>
        <w:tc>
          <w:tcPr>
            <w:tcW w:w="1712" w:type="dxa"/>
            <w:vAlign w:val="center"/>
          </w:tcPr>
          <w:p>
            <w:pPr>
              <w:wordWrap w:val="0"/>
              <w:spacing w:line="360" w:lineRule="auto"/>
              <w:jc w:val="center"/>
              <w:rPr>
                <w:color w:val="000000" w:themeColor="text1"/>
                <w:szCs w:val="21"/>
                <w:u w:val="single"/>
                <w14:textFill>
                  <w14:solidFill>
                    <w14:schemeClr w14:val="tx1"/>
                  </w14:solidFill>
                </w14:textFill>
              </w:rPr>
            </w:pPr>
          </w:p>
        </w:tc>
        <w:tc>
          <w:tcPr>
            <w:tcW w:w="1556" w:type="dxa"/>
            <w:vAlign w:val="center"/>
          </w:tcPr>
          <w:p>
            <w:pPr>
              <w:wordWrap w:val="0"/>
              <w:spacing w:line="360" w:lineRule="auto"/>
              <w:jc w:val="center"/>
              <w:rPr>
                <w:color w:val="000000" w:themeColor="text1"/>
                <w:szCs w:val="21"/>
                <w:u w:val="single"/>
                <w14:textFill>
                  <w14:solidFill>
                    <w14:schemeClr w14:val="tx1"/>
                  </w14:solidFill>
                </w14:textFill>
              </w:rPr>
            </w:pPr>
          </w:p>
        </w:tc>
        <w:tc>
          <w:tcPr>
            <w:tcW w:w="1449" w:type="dxa"/>
            <w:vAlign w:val="center"/>
          </w:tcPr>
          <w:p>
            <w:pPr>
              <w:wordWrap w:val="0"/>
              <w:spacing w:line="360" w:lineRule="auto"/>
              <w:jc w:val="center"/>
              <w:rPr>
                <w:color w:val="000000" w:themeColor="text1"/>
                <w:szCs w:val="21"/>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58" w:type="dxa"/>
            <w:vAlign w:val="center"/>
          </w:tcPr>
          <w:p>
            <w:pPr>
              <w:wordWrap w:val="0"/>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6493" w:type="dxa"/>
            <w:gridSpan w:val="4"/>
            <w:vAlign w:val="center"/>
          </w:tcPr>
          <w:p>
            <w:pPr>
              <w:wordWrap w:val="0"/>
              <w:spacing w:line="360" w:lineRule="auto"/>
              <w:jc w:val="center"/>
              <w:rPr>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工程采购费（如有）</w:t>
            </w:r>
          </w:p>
        </w:tc>
        <w:tc>
          <w:tcPr>
            <w:tcW w:w="1449" w:type="dxa"/>
            <w:vAlign w:val="center"/>
          </w:tcPr>
          <w:p>
            <w:pPr>
              <w:wordWrap w:val="0"/>
              <w:spacing w:line="360" w:lineRule="auto"/>
              <w:jc w:val="center"/>
              <w:rPr>
                <w:color w:val="000000" w:themeColor="text1"/>
                <w:szCs w:val="21"/>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58" w:type="dxa"/>
            <w:vAlign w:val="center"/>
          </w:tcPr>
          <w:p>
            <w:pPr>
              <w:wordWrap w:val="0"/>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2.1</w:t>
            </w:r>
          </w:p>
        </w:tc>
        <w:tc>
          <w:tcPr>
            <w:tcW w:w="1514" w:type="dxa"/>
            <w:vAlign w:val="center"/>
          </w:tcPr>
          <w:p>
            <w:pPr>
              <w:wordWrap w:val="0"/>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工程采购</w:t>
            </w:r>
          </w:p>
        </w:tc>
        <w:tc>
          <w:tcPr>
            <w:tcW w:w="1711" w:type="dxa"/>
            <w:vAlign w:val="center"/>
          </w:tcPr>
          <w:p>
            <w:pPr>
              <w:wordWrap w:val="0"/>
              <w:spacing w:line="360" w:lineRule="auto"/>
              <w:jc w:val="center"/>
              <w:rPr>
                <w:color w:val="000000" w:themeColor="text1"/>
                <w:szCs w:val="21"/>
                <w:u w:val="single"/>
                <w14:textFill>
                  <w14:solidFill>
                    <w14:schemeClr w14:val="tx1"/>
                  </w14:solidFill>
                </w14:textFill>
              </w:rPr>
            </w:pPr>
          </w:p>
        </w:tc>
        <w:tc>
          <w:tcPr>
            <w:tcW w:w="1712" w:type="dxa"/>
            <w:vAlign w:val="center"/>
          </w:tcPr>
          <w:p>
            <w:pPr>
              <w:wordWrap w:val="0"/>
              <w:spacing w:line="360" w:lineRule="auto"/>
              <w:jc w:val="center"/>
              <w:rPr>
                <w:color w:val="000000" w:themeColor="text1"/>
                <w:szCs w:val="21"/>
                <w:u w:val="single"/>
                <w14:textFill>
                  <w14:solidFill>
                    <w14:schemeClr w14:val="tx1"/>
                  </w14:solidFill>
                </w14:textFill>
              </w:rPr>
            </w:pPr>
          </w:p>
        </w:tc>
        <w:tc>
          <w:tcPr>
            <w:tcW w:w="1556" w:type="dxa"/>
            <w:vAlign w:val="center"/>
          </w:tcPr>
          <w:p>
            <w:pPr>
              <w:wordWrap w:val="0"/>
              <w:spacing w:line="360" w:lineRule="auto"/>
              <w:jc w:val="center"/>
              <w:rPr>
                <w:color w:val="000000" w:themeColor="text1"/>
                <w:szCs w:val="21"/>
                <w:u w:val="single"/>
                <w14:textFill>
                  <w14:solidFill>
                    <w14:schemeClr w14:val="tx1"/>
                  </w14:solidFill>
                </w14:textFill>
              </w:rPr>
            </w:pPr>
          </w:p>
        </w:tc>
        <w:tc>
          <w:tcPr>
            <w:tcW w:w="1449" w:type="dxa"/>
            <w:vAlign w:val="center"/>
          </w:tcPr>
          <w:p>
            <w:pPr>
              <w:wordWrap w:val="0"/>
              <w:spacing w:line="360" w:lineRule="auto"/>
              <w:jc w:val="center"/>
              <w:rPr>
                <w:color w:val="000000" w:themeColor="text1"/>
                <w:szCs w:val="21"/>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58" w:type="dxa"/>
            <w:vAlign w:val="center"/>
          </w:tcPr>
          <w:p>
            <w:pPr>
              <w:wordWrap w:val="0"/>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2.2</w:t>
            </w:r>
          </w:p>
        </w:tc>
        <w:tc>
          <w:tcPr>
            <w:tcW w:w="1514" w:type="dxa"/>
            <w:vAlign w:val="center"/>
          </w:tcPr>
          <w:p>
            <w:pPr>
              <w:wordWrap w:val="0"/>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711" w:type="dxa"/>
            <w:vAlign w:val="center"/>
          </w:tcPr>
          <w:p>
            <w:pPr>
              <w:wordWrap w:val="0"/>
              <w:spacing w:line="360" w:lineRule="auto"/>
              <w:jc w:val="center"/>
              <w:rPr>
                <w:color w:val="000000" w:themeColor="text1"/>
                <w:szCs w:val="21"/>
                <w:u w:val="single"/>
                <w14:textFill>
                  <w14:solidFill>
                    <w14:schemeClr w14:val="tx1"/>
                  </w14:solidFill>
                </w14:textFill>
              </w:rPr>
            </w:pPr>
          </w:p>
        </w:tc>
        <w:tc>
          <w:tcPr>
            <w:tcW w:w="1712" w:type="dxa"/>
            <w:vAlign w:val="center"/>
          </w:tcPr>
          <w:p>
            <w:pPr>
              <w:wordWrap w:val="0"/>
              <w:spacing w:line="360" w:lineRule="auto"/>
              <w:jc w:val="center"/>
              <w:rPr>
                <w:color w:val="000000" w:themeColor="text1"/>
                <w:szCs w:val="21"/>
                <w:u w:val="single"/>
                <w14:textFill>
                  <w14:solidFill>
                    <w14:schemeClr w14:val="tx1"/>
                  </w14:solidFill>
                </w14:textFill>
              </w:rPr>
            </w:pPr>
          </w:p>
        </w:tc>
        <w:tc>
          <w:tcPr>
            <w:tcW w:w="1556" w:type="dxa"/>
            <w:vAlign w:val="center"/>
          </w:tcPr>
          <w:p>
            <w:pPr>
              <w:wordWrap w:val="0"/>
              <w:spacing w:line="360" w:lineRule="auto"/>
              <w:jc w:val="center"/>
              <w:rPr>
                <w:color w:val="000000" w:themeColor="text1"/>
                <w:szCs w:val="21"/>
                <w:u w:val="single"/>
                <w14:textFill>
                  <w14:solidFill>
                    <w14:schemeClr w14:val="tx1"/>
                  </w14:solidFill>
                </w14:textFill>
              </w:rPr>
            </w:pPr>
          </w:p>
        </w:tc>
        <w:tc>
          <w:tcPr>
            <w:tcW w:w="1449" w:type="dxa"/>
            <w:vAlign w:val="center"/>
          </w:tcPr>
          <w:p>
            <w:pPr>
              <w:wordWrap w:val="0"/>
              <w:spacing w:line="360" w:lineRule="auto"/>
              <w:jc w:val="center"/>
              <w:rPr>
                <w:color w:val="000000" w:themeColor="text1"/>
                <w:szCs w:val="21"/>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58" w:type="dxa"/>
            <w:vAlign w:val="center"/>
          </w:tcPr>
          <w:p>
            <w:pPr>
              <w:wordWrap w:val="0"/>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c>
          <w:tcPr>
            <w:tcW w:w="6493" w:type="dxa"/>
            <w:gridSpan w:val="4"/>
            <w:vAlign w:val="center"/>
          </w:tcPr>
          <w:p>
            <w:pPr>
              <w:wordWrap w:val="0"/>
              <w:spacing w:line="360" w:lineRule="auto"/>
              <w:jc w:val="center"/>
              <w:rPr>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工程施工费</w:t>
            </w:r>
          </w:p>
        </w:tc>
        <w:tc>
          <w:tcPr>
            <w:tcW w:w="1449" w:type="dxa"/>
            <w:vAlign w:val="center"/>
          </w:tcPr>
          <w:p>
            <w:pPr>
              <w:wordWrap w:val="0"/>
              <w:spacing w:line="360" w:lineRule="auto"/>
              <w:jc w:val="center"/>
              <w:rPr>
                <w:color w:val="000000" w:themeColor="text1"/>
                <w:szCs w:val="21"/>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58" w:type="dxa"/>
            <w:vAlign w:val="center"/>
          </w:tcPr>
          <w:p>
            <w:pPr>
              <w:wordWrap w:val="0"/>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3.1</w:t>
            </w:r>
          </w:p>
        </w:tc>
        <w:tc>
          <w:tcPr>
            <w:tcW w:w="1514" w:type="dxa"/>
            <w:vAlign w:val="center"/>
          </w:tcPr>
          <w:p>
            <w:pPr>
              <w:wordWrap w:val="0"/>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工程施工</w:t>
            </w:r>
          </w:p>
        </w:tc>
        <w:tc>
          <w:tcPr>
            <w:tcW w:w="1711" w:type="dxa"/>
            <w:vAlign w:val="center"/>
          </w:tcPr>
          <w:p>
            <w:pPr>
              <w:wordWrap w:val="0"/>
              <w:spacing w:line="360" w:lineRule="auto"/>
              <w:jc w:val="center"/>
              <w:rPr>
                <w:color w:val="000000" w:themeColor="text1"/>
                <w:szCs w:val="21"/>
                <w:u w:val="single"/>
                <w14:textFill>
                  <w14:solidFill>
                    <w14:schemeClr w14:val="tx1"/>
                  </w14:solidFill>
                </w14:textFill>
              </w:rPr>
            </w:pPr>
          </w:p>
        </w:tc>
        <w:tc>
          <w:tcPr>
            <w:tcW w:w="1712" w:type="dxa"/>
            <w:vAlign w:val="center"/>
          </w:tcPr>
          <w:p>
            <w:pPr>
              <w:wordWrap w:val="0"/>
              <w:spacing w:line="360" w:lineRule="auto"/>
              <w:jc w:val="center"/>
              <w:rPr>
                <w:color w:val="000000" w:themeColor="text1"/>
                <w:szCs w:val="21"/>
                <w:u w:val="single"/>
                <w14:textFill>
                  <w14:solidFill>
                    <w14:schemeClr w14:val="tx1"/>
                  </w14:solidFill>
                </w14:textFill>
              </w:rPr>
            </w:pPr>
          </w:p>
        </w:tc>
        <w:tc>
          <w:tcPr>
            <w:tcW w:w="1556" w:type="dxa"/>
            <w:vAlign w:val="center"/>
          </w:tcPr>
          <w:p>
            <w:pPr>
              <w:wordWrap w:val="0"/>
              <w:spacing w:line="360" w:lineRule="auto"/>
              <w:jc w:val="center"/>
              <w:rPr>
                <w:color w:val="000000" w:themeColor="text1"/>
                <w:szCs w:val="21"/>
                <w:u w:val="single"/>
                <w14:textFill>
                  <w14:solidFill>
                    <w14:schemeClr w14:val="tx1"/>
                  </w14:solidFill>
                </w14:textFill>
              </w:rPr>
            </w:pPr>
          </w:p>
        </w:tc>
        <w:tc>
          <w:tcPr>
            <w:tcW w:w="1449" w:type="dxa"/>
            <w:vAlign w:val="center"/>
          </w:tcPr>
          <w:p>
            <w:pPr>
              <w:wordWrap w:val="0"/>
              <w:spacing w:line="360" w:lineRule="auto"/>
              <w:jc w:val="center"/>
              <w:rPr>
                <w:color w:val="000000" w:themeColor="text1"/>
                <w:szCs w:val="21"/>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58" w:type="dxa"/>
            <w:vAlign w:val="center"/>
          </w:tcPr>
          <w:p>
            <w:pPr>
              <w:wordWrap w:val="0"/>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3.2</w:t>
            </w:r>
          </w:p>
        </w:tc>
        <w:tc>
          <w:tcPr>
            <w:tcW w:w="1514" w:type="dxa"/>
            <w:vAlign w:val="center"/>
          </w:tcPr>
          <w:p>
            <w:pPr>
              <w:wordWrap w:val="0"/>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711" w:type="dxa"/>
            <w:vAlign w:val="center"/>
          </w:tcPr>
          <w:p>
            <w:pPr>
              <w:wordWrap w:val="0"/>
              <w:spacing w:line="360" w:lineRule="auto"/>
              <w:jc w:val="center"/>
              <w:rPr>
                <w:color w:val="000000" w:themeColor="text1"/>
                <w:szCs w:val="21"/>
                <w:u w:val="single"/>
                <w14:textFill>
                  <w14:solidFill>
                    <w14:schemeClr w14:val="tx1"/>
                  </w14:solidFill>
                </w14:textFill>
              </w:rPr>
            </w:pPr>
          </w:p>
        </w:tc>
        <w:tc>
          <w:tcPr>
            <w:tcW w:w="1712" w:type="dxa"/>
            <w:vAlign w:val="center"/>
          </w:tcPr>
          <w:p>
            <w:pPr>
              <w:wordWrap w:val="0"/>
              <w:spacing w:line="360" w:lineRule="auto"/>
              <w:jc w:val="center"/>
              <w:rPr>
                <w:color w:val="000000" w:themeColor="text1"/>
                <w:szCs w:val="21"/>
                <w:u w:val="single"/>
                <w14:textFill>
                  <w14:solidFill>
                    <w14:schemeClr w14:val="tx1"/>
                  </w14:solidFill>
                </w14:textFill>
              </w:rPr>
            </w:pPr>
          </w:p>
        </w:tc>
        <w:tc>
          <w:tcPr>
            <w:tcW w:w="1556" w:type="dxa"/>
            <w:vAlign w:val="center"/>
          </w:tcPr>
          <w:p>
            <w:pPr>
              <w:wordWrap w:val="0"/>
              <w:spacing w:line="360" w:lineRule="auto"/>
              <w:jc w:val="center"/>
              <w:rPr>
                <w:color w:val="000000" w:themeColor="text1"/>
                <w:szCs w:val="21"/>
                <w:u w:val="single"/>
                <w14:textFill>
                  <w14:solidFill>
                    <w14:schemeClr w14:val="tx1"/>
                  </w14:solidFill>
                </w14:textFill>
              </w:rPr>
            </w:pPr>
          </w:p>
        </w:tc>
        <w:tc>
          <w:tcPr>
            <w:tcW w:w="1449" w:type="dxa"/>
            <w:vAlign w:val="center"/>
          </w:tcPr>
          <w:p>
            <w:pPr>
              <w:wordWrap w:val="0"/>
              <w:spacing w:line="360" w:lineRule="auto"/>
              <w:jc w:val="center"/>
              <w:rPr>
                <w:color w:val="000000" w:themeColor="text1"/>
                <w:szCs w:val="21"/>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7251" w:type="dxa"/>
            <w:gridSpan w:val="5"/>
            <w:vAlign w:val="center"/>
          </w:tcPr>
          <w:p>
            <w:pPr>
              <w:wordWrap w:val="0"/>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工程总承包报价</w:t>
            </w:r>
          </w:p>
        </w:tc>
        <w:tc>
          <w:tcPr>
            <w:tcW w:w="1449" w:type="dxa"/>
            <w:vAlign w:val="center"/>
          </w:tcPr>
          <w:p>
            <w:pPr>
              <w:wordWrap w:val="0"/>
              <w:spacing w:line="360" w:lineRule="auto"/>
              <w:jc w:val="center"/>
              <w:rPr>
                <w:color w:val="000000" w:themeColor="text1"/>
                <w:szCs w:val="21"/>
                <w14:textFill>
                  <w14:solidFill>
                    <w14:schemeClr w14:val="tx1"/>
                  </w14:solidFill>
                </w14:textFill>
              </w:rPr>
            </w:pPr>
          </w:p>
        </w:tc>
      </w:tr>
    </w:tbl>
    <w:p>
      <w:pPr>
        <w:wordWrap w:val="0"/>
        <w:jc w:val="center"/>
        <w:rPr>
          <w:color w:val="000000" w:themeColor="text1"/>
          <w:szCs w:val="21"/>
          <w14:textFill>
            <w14:solidFill>
              <w14:schemeClr w14:val="tx1"/>
            </w14:solidFill>
          </w14:textFill>
        </w:rPr>
      </w:pPr>
    </w:p>
    <w:p>
      <w:pPr>
        <w:wordWrap w:val="0"/>
        <w:spacing w:line="360" w:lineRule="auto"/>
        <w:rPr>
          <w:rFonts w:ascii="宋体" w:hAnsi="宋体" w:cs="Arial"/>
          <w:color w:val="000000" w:themeColor="text1"/>
          <w:szCs w:val="21"/>
          <w14:textFill>
            <w14:solidFill>
              <w14:schemeClr w14:val="tx1"/>
            </w14:solidFill>
          </w14:textFill>
        </w:rPr>
      </w:pPr>
    </w:p>
    <w:p>
      <w:pPr>
        <w:wordWrap w:val="0"/>
        <w:spacing w:line="360" w:lineRule="auto"/>
        <w:ind w:left="359" w:leftChars="171" w:firstLine="4410" w:firstLineChars="2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投标人：（盖单位章）</w:t>
      </w:r>
    </w:p>
    <w:p>
      <w:pPr>
        <w:wordWrap w:val="0"/>
        <w:spacing w:line="360" w:lineRule="auto"/>
        <w:ind w:left="359" w:leftChars="171" w:firstLine="3990" w:firstLineChars="19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法定代表人或其委托代理人：(签字或盖章)</w:t>
      </w:r>
    </w:p>
    <w:p>
      <w:pPr>
        <w:wordWrap w:val="0"/>
        <w:spacing w:line="300" w:lineRule="exact"/>
        <w:ind w:firstLine="4134" w:firstLineChars="1969"/>
        <w:jc w:val="left"/>
        <w:rPr>
          <w:rFonts w:ascii="仿宋" w:hAnsi="仿宋" w:eastAsia="仿宋"/>
          <w:b/>
          <w:color w:val="000000" w:themeColor="text1"/>
          <w:sz w:val="24"/>
          <w14:textFill>
            <w14:solidFill>
              <w14:schemeClr w14:val="tx1"/>
            </w14:solidFill>
          </w14:textFill>
        </w:rPr>
      </w:pPr>
      <w:r>
        <w:rPr>
          <w:rFonts w:hint="eastAsia" w:ascii="宋体" w:hAnsi="宋体"/>
          <w:color w:val="000000" w:themeColor="text1"/>
          <w14:textFill>
            <w14:solidFill>
              <w14:schemeClr w14:val="tx1"/>
            </w14:solidFill>
          </w14:textFill>
        </w:rPr>
        <w:t xml:space="preserve">      日期:年月日</w:t>
      </w:r>
    </w:p>
    <w:p>
      <w:pPr>
        <w:wordWrap w:val="0"/>
        <w:spacing w:line="300" w:lineRule="exact"/>
        <w:ind w:firstLine="4744" w:firstLineChars="1969"/>
        <w:jc w:val="left"/>
        <w:rPr>
          <w:rFonts w:ascii="宋体" w:hAnsi="宋体"/>
          <w:b/>
          <w:color w:val="000000" w:themeColor="text1"/>
          <w:sz w:val="24"/>
          <w14:textFill>
            <w14:solidFill>
              <w14:schemeClr w14:val="tx1"/>
            </w14:solidFill>
          </w14:textFill>
        </w:rPr>
      </w:pPr>
    </w:p>
    <w:p>
      <w:pPr>
        <w:wordWrap w:val="0"/>
        <w:spacing w:line="360" w:lineRule="auto"/>
        <w:rPr>
          <w:rFonts w:ascii="宋体" w:hAnsi="宋体"/>
          <w:color w:val="000000" w:themeColor="text1"/>
          <w:sz w:val="28"/>
          <w:szCs w:val="28"/>
          <w14:textFill>
            <w14:solidFill>
              <w14:schemeClr w14:val="tx1"/>
            </w14:solidFill>
          </w14:textFill>
        </w:rPr>
      </w:pPr>
    </w:p>
    <w:p>
      <w:pPr>
        <w:wordWrap w:val="0"/>
        <w:spacing w:line="360" w:lineRule="auto"/>
        <w:rPr>
          <w:rFonts w:ascii="宋体" w:hAnsi="宋体"/>
          <w:color w:val="000000" w:themeColor="text1"/>
          <w:sz w:val="28"/>
          <w:szCs w:val="28"/>
          <w14:textFill>
            <w14:solidFill>
              <w14:schemeClr w14:val="tx1"/>
            </w14:solidFill>
          </w14:textFill>
        </w:rPr>
      </w:pPr>
    </w:p>
    <w:p>
      <w:pPr>
        <w:keepNext/>
        <w:keepLines/>
        <w:wordWrap w:val="0"/>
        <w:spacing w:before="260" w:after="260" w:line="415" w:lineRule="auto"/>
        <w:ind w:firstLine="138" w:firstLineChars="49"/>
        <w:jc w:val="center"/>
        <w:outlineLvl w:val="2"/>
        <w:rPr>
          <w:color w:val="000000" w:themeColor="text1"/>
          <w:szCs w:val="21"/>
          <w14:textFill>
            <w14:solidFill>
              <w14:schemeClr w14:val="tx1"/>
            </w14:solidFill>
          </w14:textFill>
        </w:rPr>
      </w:pPr>
      <w:r>
        <w:rPr>
          <w:rFonts w:eastAsia="黑体"/>
          <w:b/>
          <w:color w:val="000000" w:themeColor="text1"/>
          <w:sz w:val="28"/>
          <w14:textFill>
            <w14:solidFill>
              <w14:schemeClr w14:val="tx1"/>
            </w14:solidFill>
          </w14:textFill>
        </w:rPr>
        <w:br w:type="page"/>
      </w:r>
      <w:bookmarkEnd w:id="162"/>
      <w:bookmarkEnd w:id="163"/>
      <w:bookmarkEnd w:id="164"/>
      <w:bookmarkEnd w:id="165"/>
      <w:bookmarkEnd w:id="166"/>
      <w:bookmarkEnd w:id="167"/>
    </w:p>
    <w:p>
      <w:pPr>
        <w:keepNext/>
        <w:keepLines/>
        <w:wordWrap w:val="0"/>
        <w:spacing w:before="100" w:line="400" w:lineRule="exact"/>
        <w:jc w:val="center"/>
        <w:outlineLvl w:val="1"/>
        <w:rPr>
          <w:rFonts w:eastAsia="黑体" w:cs="宋体"/>
          <w:color w:val="000000" w:themeColor="text1"/>
          <w:sz w:val="28"/>
          <w:szCs w:val="20"/>
          <w14:textFill>
            <w14:solidFill>
              <w14:schemeClr w14:val="tx1"/>
            </w14:solidFill>
          </w14:textFill>
        </w:rPr>
      </w:pPr>
      <w:r>
        <w:rPr>
          <w:rFonts w:eastAsia="黑体" w:cs="宋体"/>
          <w:color w:val="000000" w:themeColor="text1"/>
          <w:sz w:val="28"/>
          <w:szCs w:val="20"/>
          <w14:textFill>
            <w14:solidFill>
              <w14:schemeClr w14:val="tx1"/>
            </w14:solidFill>
          </w14:textFill>
        </w:rPr>
        <w:t>法定代表人身份证明</w:t>
      </w:r>
    </w:p>
    <w:p>
      <w:pPr>
        <w:wordWrap w:val="0"/>
        <w:spacing w:line="560" w:lineRule="exact"/>
        <w:ind w:firstLine="525" w:firstLineChars="250"/>
        <w:rPr>
          <w:color w:val="000000" w:themeColor="text1"/>
          <w:szCs w:val="21"/>
          <w14:textFill>
            <w14:solidFill>
              <w14:schemeClr w14:val="tx1"/>
            </w14:solidFill>
          </w14:textFill>
        </w:rPr>
      </w:pPr>
      <w:r>
        <w:rPr>
          <w:color w:val="000000" w:themeColor="text1"/>
          <w:szCs w:val="21"/>
          <w14:textFill>
            <w14:solidFill>
              <w14:schemeClr w14:val="tx1"/>
            </w14:solidFill>
          </w14:textFill>
        </w:rPr>
        <w:t>投标人：</w:t>
      </w:r>
    </w:p>
    <w:p>
      <w:pPr>
        <w:wordWrap w:val="0"/>
        <w:spacing w:line="560" w:lineRule="exact"/>
        <w:ind w:firstLine="525" w:firstLineChars="250"/>
        <w:rPr>
          <w:color w:val="000000" w:themeColor="text1"/>
          <w:szCs w:val="21"/>
          <w14:textFill>
            <w14:solidFill>
              <w14:schemeClr w14:val="tx1"/>
            </w14:solidFill>
          </w14:textFill>
        </w:rPr>
      </w:pPr>
      <w:r>
        <w:rPr>
          <w:color w:val="000000" w:themeColor="text1"/>
          <w:szCs w:val="21"/>
          <w14:textFill>
            <w14:solidFill>
              <w14:schemeClr w14:val="tx1"/>
            </w14:solidFill>
          </w14:textFill>
        </w:rPr>
        <w:t>单位性质：</w:t>
      </w:r>
    </w:p>
    <w:p>
      <w:pPr>
        <w:wordWrap w:val="0"/>
        <w:spacing w:line="560" w:lineRule="exact"/>
        <w:ind w:firstLine="525" w:firstLineChars="250"/>
        <w:rPr>
          <w:color w:val="000000" w:themeColor="text1"/>
          <w:szCs w:val="21"/>
          <w14:textFill>
            <w14:solidFill>
              <w14:schemeClr w14:val="tx1"/>
            </w14:solidFill>
          </w14:textFill>
        </w:rPr>
      </w:pPr>
      <w:r>
        <w:rPr>
          <w:color w:val="000000" w:themeColor="text1"/>
          <w:szCs w:val="21"/>
          <w14:textFill>
            <w14:solidFill>
              <w14:schemeClr w14:val="tx1"/>
            </w14:solidFill>
          </w14:textFill>
        </w:rPr>
        <w:t>地址：</w:t>
      </w:r>
    </w:p>
    <w:p>
      <w:pPr>
        <w:wordWrap w:val="0"/>
        <w:spacing w:line="560" w:lineRule="exact"/>
        <w:ind w:firstLine="525" w:firstLineChars="250"/>
        <w:rPr>
          <w:color w:val="000000" w:themeColor="text1"/>
          <w:szCs w:val="21"/>
          <w14:textFill>
            <w14:solidFill>
              <w14:schemeClr w14:val="tx1"/>
            </w14:solidFill>
          </w14:textFill>
        </w:rPr>
      </w:pPr>
      <w:r>
        <w:rPr>
          <w:color w:val="000000" w:themeColor="text1"/>
          <w:szCs w:val="21"/>
          <w14:textFill>
            <w14:solidFill>
              <w14:schemeClr w14:val="tx1"/>
            </w14:solidFill>
          </w14:textFill>
        </w:rPr>
        <w:t>成立时间：年月日</w:t>
      </w:r>
    </w:p>
    <w:p>
      <w:pPr>
        <w:wordWrap w:val="0"/>
        <w:spacing w:line="560" w:lineRule="exact"/>
        <w:ind w:firstLine="525" w:firstLineChars="250"/>
        <w:rPr>
          <w:color w:val="000000" w:themeColor="text1"/>
          <w:szCs w:val="21"/>
          <w14:textFill>
            <w14:solidFill>
              <w14:schemeClr w14:val="tx1"/>
            </w14:solidFill>
          </w14:textFill>
        </w:rPr>
      </w:pPr>
      <w:r>
        <w:rPr>
          <w:color w:val="000000" w:themeColor="text1"/>
          <w:szCs w:val="21"/>
          <w14:textFill>
            <w14:solidFill>
              <w14:schemeClr w14:val="tx1"/>
            </w14:solidFill>
          </w14:textFill>
        </w:rPr>
        <w:t>经营期限：</w:t>
      </w:r>
    </w:p>
    <w:p>
      <w:pPr>
        <w:wordWrap w:val="0"/>
        <w:spacing w:line="560" w:lineRule="exact"/>
        <w:ind w:firstLine="525" w:firstLineChars="250"/>
        <w:rPr>
          <w:color w:val="000000" w:themeColor="text1"/>
          <w:szCs w:val="21"/>
          <w14:textFill>
            <w14:solidFill>
              <w14:schemeClr w14:val="tx1"/>
            </w14:solidFill>
          </w14:textFill>
        </w:rPr>
      </w:pPr>
      <w:r>
        <w:rPr>
          <w:color w:val="000000" w:themeColor="text1"/>
          <w:szCs w:val="21"/>
          <w14:textFill>
            <w14:solidFill>
              <w14:schemeClr w14:val="tx1"/>
            </w14:solidFill>
          </w14:textFill>
        </w:rPr>
        <w:t>姓名：性别：</w:t>
      </w:r>
    </w:p>
    <w:p>
      <w:pPr>
        <w:wordWrap w:val="0"/>
        <w:spacing w:line="560" w:lineRule="exact"/>
        <w:ind w:firstLine="525" w:firstLineChars="250"/>
        <w:rPr>
          <w:color w:val="000000" w:themeColor="text1"/>
          <w:szCs w:val="21"/>
          <w14:textFill>
            <w14:solidFill>
              <w14:schemeClr w14:val="tx1"/>
            </w14:solidFill>
          </w14:textFill>
        </w:rPr>
      </w:pPr>
      <w:r>
        <w:rPr>
          <w:color w:val="000000" w:themeColor="text1"/>
          <w:szCs w:val="21"/>
          <w14:textFill>
            <w14:solidFill>
              <w14:schemeClr w14:val="tx1"/>
            </w14:solidFill>
          </w14:textFill>
        </w:rPr>
        <w:t>年龄：职务：</w:t>
      </w:r>
    </w:p>
    <w:p>
      <w:pPr>
        <w:wordWrap w:val="0"/>
        <w:spacing w:line="560" w:lineRule="exact"/>
        <w:ind w:firstLine="525" w:firstLineChars="250"/>
        <w:rPr>
          <w:color w:val="000000" w:themeColor="text1"/>
          <w:szCs w:val="21"/>
          <w14:textFill>
            <w14:solidFill>
              <w14:schemeClr w14:val="tx1"/>
            </w14:solidFill>
          </w14:textFill>
        </w:rPr>
      </w:pPr>
      <w:r>
        <w:rPr>
          <w:color w:val="000000" w:themeColor="text1"/>
          <w:szCs w:val="21"/>
          <w14:textFill>
            <w14:solidFill>
              <w14:schemeClr w14:val="tx1"/>
            </w14:solidFill>
          </w14:textFill>
        </w:rPr>
        <w:t>系（投标人名称）的法定代表人。</w:t>
      </w:r>
    </w:p>
    <w:p>
      <w:pPr>
        <w:wordWrap w:val="0"/>
        <w:spacing w:line="560" w:lineRule="exact"/>
        <w:ind w:firstLine="525" w:firstLineChars="250"/>
        <w:rPr>
          <w:color w:val="000000" w:themeColor="text1"/>
          <w:szCs w:val="21"/>
          <w14:textFill>
            <w14:solidFill>
              <w14:schemeClr w14:val="tx1"/>
            </w14:solidFill>
          </w14:textFill>
        </w:rPr>
      </w:pPr>
      <w:r>
        <w:rPr>
          <w:color w:val="000000" w:themeColor="text1"/>
          <w:szCs w:val="21"/>
          <w14:textFill>
            <w14:solidFill>
              <w14:schemeClr w14:val="tx1"/>
            </w14:solidFill>
          </w14:textFill>
        </w:rPr>
        <w:t>特此证明。</w:t>
      </w:r>
    </w:p>
    <w:p>
      <w:pPr>
        <w:wordWrap w:val="0"/>
        <w:spacing w:line="500" w:lineRule="exact"/>
        <w:rPr>
          <w:color w:val="000000" w:themeColor="text1"/>
          <w:szCs w:val="21"/>
          <w14:textFill>
            <w14:solidFill>
              <w14:schemeClr w14:val="tx1"/>
            </w14:solidFill>
          </w14:textFill>
        </w:rPr>
      </w:pPr>
    </w:p>
    <w:p>
      <w:pPr>
        <w:wordWrap w:val="0"/>
        <w:spacing w:line="500" w:lineRule="exact"/>
        <w:rPr>
          <w:color w:val="000000" w:themeColor="text1"/>
          <w:szCs w:val="21"/>
          <w14:textFill>
            <w14:solidFill>
              <w14:schemeClr w14:val="tx1"/>
            </w14:solidFill>
          </w14:textFill>
        </w:rPr>
      </w:pPr>
    </w:p>
    <w:p>
      <w:pPr>
        <w:wordWrap w:val="0"/>
        <w:spacing w:line="500" w:lineRule="exact"/>
        <w:jc w:val="right"/>
        <w:rPr>
          <w:color w:val="000000" w:themeColor="text1"/>
          <w:szCs w:val="21"/>
          <w14:textFill>
            <w14:solidFill>
              <w14:schemeClr w14:val="tx1"/>
            </w14:solidFill>
          </w14:textFill>
        </w:rPr>
      </w:pPr>
      <w:r>
        <w:rPr>
          <w:color w:val="000000" w:themeColor="text1"/>
          <w:szCs w:val="21"/>
          <w14:textFill>
            <w14:solidFill>
              <w14:schemeClr w14:val="tx1"/>
            </w14:solidFill>
          </w14:textFill>
        </w:rPr>
        <w:t>投标人：（盖单位章）</w:t>
      </w:r>
    </w:p>
    <w:p>
      <w:pPr>
        <w:wordWrap w:val="0"/>
        <w:spacing w:line="500" w:lineRule="exact"/>
        <w:jc w:val="right"/>
        <w:rPr>
          <w:color w:val="000000" w:themeColor="text1"/>
          <w:szCs w:val="21"/>
          <w14:textFill>
            <w14:solidFill>
              <w14:schemeClr w14:val="tx1"/>
            </w14:solidFill>
          </w14:textFill>
        </w:rPr>
      </w:pPr>
      <w:r>
        <w:rPr>
          <w:color w:val="000000" w:themeColor="text1"/>
          <w:szCs w:val="21"/>
          <w14:textFill>
            <w14:solidFill>
              <w14:schemeClr w14:val="tx1"/>
            </w14:solidFill>
          </w14:textFill>
        </w:rPr>
        <w:t>年月日</w:t>
      </w:r>
    </w:p>
    <w:p>
      <w:pPr>
        <w:wordWrap w:val="0"/>
        <w:spacing w:line="480" w:lineRule="auto"/>
        <w:ind w:firstLine="525" w:firstLineChars="250"/>
        <w:jc w:val="center"/>
        <w:rPr>
          <w:color w:val="000000" w:themeColor="text1"/>
          <w:szCs w:val="21"/>
          <w14:textFill>
            <w14:solidFill>
              <w14:schemeClr w14:val="tx1"/>
            </w14:solidFill>
          </w14:textFill>
        </w:rPr>
      </w:pPr>
    </w:p>
    <w:p>
      <w:pPr>
        <w:wordWrap w:val="0"/>
        <w:spacing w:line="480" w:lineRule="auto"/>
        <w:jc w:val="center"/>
        <w:rPr>
          <w:b/>
          <w:color w:val="000000" w:themeColor="text1"/>
          <w:sz w:val="28"/>
          <w:szCs w:val="28"/>
          <w14:textFill>
            <w14:solidFill>
              <w14:schemeClr w14:val="tx1"/>
            </w14:solidFill>
          </w14:textFill>
        </w:rPr>
      </w:pPr>
    </w:p>
    <w:p>
      <w:pPr>
        <w:wordWrap w:val="0"/>
        <w:spacing w:line="480" w:lineRule="auto"/>
        <w:jc w:val="center"/>
        <w:rPr>
          <w:b/>
          <w:color w:val="000000" w:themeColor="text1"/>
          <w:sz w:val="28"/>
          <w:szCs w:val="28"/>
          <w14:textFill>
            <w14:solidFill>
              <w14:schemeClr w14:val="tx1"/>
            </w14:solidFill>
          </w14:textFill>
        </w:rPr>
      </w:pPr>
    </w:p>
    <w:p>
      <w:pPr>
        <w:wordWrap w:val="0"/>
        <w:spacing w:line="480" w:lineRule="auto"/>
        <w:jc w:val="center"/>
        <w:rPr>
          <w:b/>
          <w:color w:val="000000" w:themeColor="text1"/>
          <w:sz w:val="28"/>
          <w:szCs w:val="28"/>
          <w14:textFill>
            <w14:solidFill>
              <w14:schemeClr w14:val="tx1"/>
            </w14:solidFill>
          </w14:textFill>
        </w:rPr>
      </w:pPr>
    </w:p>
    <w:p>
      <w:pPr>
        <w:wordWrap w:val="0"/>
        <w:spacing w:line="480" w:lineRule="auto"/>
        <w:jc w:val="center"/>
        <w:rPr>
          <w:b/>
          <w:color w:val="000000" w:themeColor="text1"/>
          <w:sz w:val="28"/>
          <w:szCs w:val="28"/>
          <w14:textFill>
            <w14:solidFill>
              <w14:schemeClr w14:val="tx1"/>
            </w14:solidFill>
          </w14:textFill>
        </w:rPr>
      </w:pPr>
    </w:p>
    <w:p>
      <w:pPr>
        <w:wordWrap w:val="0"/>
        <w:spacing w:line="480" w:lineRule="auto"/>
        <w:jc w:val="center"/>
        <w:rPr>
          <w:b/>
          <w:color w:val="000000" w:themeColor="text1"/>
          <w:sz w:val="28"/>
          <w:szCs w:val="28"/>
          <w14:textFill>
            <w14:solidFill>
              <w14:schemeClr w14:val="tx1"/>
            </w14:solidFill>
          </w14:textFill>
        </w:rPr>
      </w:pPr>
    </w:p>
    <w:p>
      <w:pPr>
        <w:wordWrap w:val="0"/>
        <w:spacing w:line="480" w:lineRule="auto"/>
        <w:jc w:val="center"/>
        <w:rPr>
          <w:b/>
          <w:color w:val="000000" w:themeColor="text1"/>
          <w:sz w:val="28"/>
          <w:szCs w:val="28"/>
          <w14:textFill>
            <w14:solidFill>
              <w14:schemeClr w14:val="tx1"/>
            </w14:solidFill>
          </w14:textFill>
        </w:rPr>
      </w:pPr>
    </w:p>
    <w:p>
      <w:pPr>
        <w:wordWrap w:val="0"/>
        <w:spacing w:line="480" w:lineRule="auto"/>
        <w:jc w:val="center"/>
        <w:rPr>
          <w:b/>
          <w:color w:val="000000" w:themeColor="text1"/>
          <w:sz w:val="28"/>
          <w:szCs w:val="28"/>
          <w14:textFill>
            <w14:solidFill>
              <w14:schemeClr w14:val="tx1"/>
            </w14:solidFill>
          </w14:textFill>
        </w:rPr>
      </w:pPr>
    </w:p>
    <w:p>
      <w:pPr>
        <w:wordWrap w:val="0"/>
        <w:spacing w:line="480" w:lineRule="auto"/>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br w:type="page"/>
      </w:r>
    </w:p>
    <w:p>
      <w:pPr>
        <w:keepNext/>
        <w:keepLines/>
        <w:wordWrap w:val="0"/>
        <w:spacing w:before="100" w:line="400" w:lineRule="exact"/>
        <w:jc w:val="center"/>
        <w:outlineLvl w:val="1"/>
        <w:rPr>
          <w:rFonts w:eastAsia="黑体" w:cs="宋体"/>
          <w:color w:val="000000" w:themeColor="text1"/>
          <w:sz w:val="28"/>
          <w:szCs w:val="20"/>
          <w14:textFill>
            <w14:solidFill>
              <w14:schemeClr w14:val="tx1"/>
            </w14:solidFill>
          </w14:textFill>
        </w:rPr>
      </w:pPr>
      <w:r>
        <w:rPr>
          <w:rFonts w:hint="eastAsia" w:eastAsia="黑体" w:cs="宋体"/>
          <w:color w:val="000000" w:themeColor="text1"/>
          <w:sz w:val="28"/>
          <w:szCs w:val="20"/>
          <w14:textFill>
            <w14:solidFill>
              <w14:schemeClr w14:val="tx1"/>
            </w14:solidFill>
          </w14:textFill>
        </w:rPr>
        <w:t>授权委托书</w:t>
      </w:r>
    </w:p>
    <w:p>
      <w:pPr>
        <w:wordWrap w:val="0"/>
        <w:spacing w:line="440" w:lineRule="exact"/>
        <w:rPr>
          <w:rFonts w:eastAsia="黑体"/>
          <w:color w:val="000000" w:themeColor="text1"/>
          <w:szCs w:val="21"/>
          <w14:textFill>
            <w14:solidFill>
              <w14:schemeClr w14:val="tx1"/>
            </w14:solidFill>
          </w14:textFill>
        </w:rPr>
      </w:pPr>
    </w:p>
    <w:p>
      <w:pPr>
        <w:wordWrap w:val="0"/>
        <w:topLinePunct/>
        <w:spacing w:line="44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本人</w:t>
      </w:r>
      <w:r>
        <w:rPr>
          <w:rFonts w:hint="eastAsia"/>
          <w:color w:val="000000" w:themeColor="text1"/>
          <w:szCs w:val="21"/>
          <w:u w:val="single"/>
          <w14:textFill>
            <w14:solidFill>
              <w14:schemeClr w14:val="tx1"/>
            </w14:solidFill>
          </w14:textFill>
        </w:rPr>
        <w:t>（姓名）</w:t>
      </w:r>
      <w:r>
        <w:rPr>
          <w:rFonts w:hint="eastAsia"/>
          <w:color w:val="000000" w:themeColor="text1"/>
          <w:szCs w:val="21"/>
          <w14:textFill>
            <w14:solidFill>
              <w14:schemeClr w14:val="tx1"/>
            </w14:solidFill>
          </w14:textFill>
        </w:rPr>
        <w:t>系</w:t>
      </w:r>
      <w:r>
        <w:rPr>
          <w:rFonts w:hint="eastAsia"/>
          <w:color w:val="000000" w:themeColor="text1"/>
          <w:szCs w:val="21"/>
          <w:u w:val="single"/>
          <w14:textFill>
            <w14:solidFill>
              <w14:schemeClr w14:val="tx1"/>
            </w14:solidFill>
          </w14:textFill>
        </w:rPr>
        <w:t>（投标人名称）</w:t>
      </w:r>
      <w:r>
        <w:rPr>
          <w:rFonts w:hint="eastAsia"/>
          <w:color w:val="000000" w:themeColor="text1"/>
          <w:szCs w:val="21"/>
          <w14:textFill>
            <w14:solidFill>
              <w14:schemeClr w14:val="tx1"/>
            </w14:solidFill>
          </w14:textFill>
        </w:rPr>
        <w:t>的法定代表人，现委托</w:t>
      </w:r>
      <w:r>
        <w:rPr>
          <w:rFonts w:hint="eastAsia"/>
          <w:color w:val="000000" w:themeColor="text1"/>
          <w:szCs w:val="21"/>
          <w:u w:val="single"/>
          <w14:textFill>
            <w14:solidFill>
              <w14:schemeClr w14:val="tx1"/>
            </w14:solidFill>
          </w14:textFill>
        </w:rPr>
        <w:t>（姓名）</w:t>
      </w:r>
      <w:r>
        <w:rPr>
          <w:rFonts w:hint="eastAsia"/>
          <w:color w:val="000000" w:themeColor="text1"/>
          <w:szCs w:val="21"/>
          <w14:textFill>
            <w14:solidFill>
              <w14:schemeClr w14:val="tx1"/>
            </w14:solidFill>
          </w14:textFill>
        </w:rPr>
        <w:t>为我方代理人。代理人根据授权，以我方名义签署、澄清、说明、补正、递交、撤回、修改</w:t>
      </w:r>
      <w:r>
        <w:rPr>
          <w:rFonts w:hint="eastAsia"/>
          <w:color w:val="000000" w:themeColor="text1"/>
          <w:szCs w:val="21"/>
          <w:u w:val="single"/>
          <w14:textFill>
            <w14:solidFill>
              <w14:schemeClr w14:val="tx1"/>
            </w14:solidFill>
          </w14:textFill>
        </w:rPr>
        <w:t>（项目名称）</w:t>
      </w:r>
      <w:r>
        <w:rPr>
          <w:rFonts w:hint="eastAsia"/>
          <w:color w:val="000000" w:themeColor="text1"/>
          <w:szCs w:val="21"/>
          <w14:textFill>
            <w14:solidFill>
              <w14:schemeClr w14:val="tx1"/>
            </w14:solidFill>
          </w14:textFill>
        </w:rPr>
        <w:t>工程总承包投标文件、签订合同和处理有关事宜，其法律后果由我方承担。</w:t>
      </w:r>
    </w:p>
    <w:p>
      <w:pPr>
        <w:wordWrap w:val="0"/>
        <w:spacing w:line="44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委托期限：。</w:t>
      </w:r>
    </w:p>
    <w:p>
      <w:pPr>
        <w:wordWrap w:val="0"/>
        <w:spacing w:line="44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代理人无转委托权。</w:t>
      </w:r>
    </w:p>
    <w:p>
      <w:pPr>
        <w:wordWrap w:val="0"/>
        <w:spacing w:line="44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附：法定代表人身份证明</w:t>
      </w:r>
    </w:p>
    <w:p>
      <w:pPr>
        <w:wordWrap w:val="0"/>
        <w:spacing w:line="440" w:lineRule="exact"/>
        <w:rPr>
          <w:color w:val="000000" w:themeColor="text1"/>
          <w:szCs w:val="21"/>
          <w14:textFill>
            <w14:solidFill>
              <w14:schemeClr w14:val="tx1"/>
            </w14:solidFill>
          </w14:textFill>
        </w:rPr>
      </w:pPr>
    </w:p>
    <w:p>
      <w:pPr>
        <w:wordWrap w:val="0"/>
        <w:spacing w:line="440" w:lineRule="exact"/>
        <w:rPr>
          <w:color w:val="000000" w:themeColor="text1"/>
          <w:szCs w:val="21"/>
          <w14:textFill>
            <w14:solidFill>
              <w14:schemeClr w14:val="tx1"/>
            </w14:solidFill>
          </w14:textFill>
        </w:rPr>
      </w:pPr>
    </w:p>
    <w:p>
      <w:pPr>
        <w:wordWrap w:val="0"/>
        <w:spacing w:line="44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投标人：（盖单位章）</w:t>
      </w:r>
    </w:p>
    <w:p>
      <w:pPr>
        <w:wordWrap w:val="0"/>
        <w:spacing w:line="440" w:lineRule="exact"/>
        <w:rPr>
          <w:color w:val="000000" w:themeColor="text1"/>
          <w:szCs w:val="21"/>
          <w14:textFill>
            <w14:solidFill>
              <w14:schemeClr w14:val="tx1"/>
            </w14:solidFill>
          </w14:textFill>
        </w:rPr>
      </w:pPr>
    </w:p>
    <w:p>
      <w:pPr>
        <w:wordWrap w:val="0"/>
        <w:spacing w:line="44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法定代表人：（签字）</w:t>
      </w:r>
    </w:p>
    <w:p>
      <w:pPr>
        <w:wordWrap w:val="0"/>
        <w:spacing w:line="440" w:lineRule="exact"/>
        <w:rPr>
          <w:color w:val="000000" w:themeColor="text1"/>
          <w:szCs w:val="21"/>
          <w14:textFill>
            <w14:solidFill>
              <w14:schemeClr w14:val="tx1"/>
            </w14:solidFill>
          </w14:textFill>
        </w:rPr>
      </w:pPr>
    </w:p>
    <w:p>
      <w:pPr>
        <w:wordWrap w:val="0"/>
        <w:spacing w:line="44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身份证号码：</w:t>
      </w:r>
    </w:p>
    <w:p>
      <w:pPr>
        <w:wordWrap w:val="0"/>
        <w:spacing w:line="440" w:lineRule="exact"/>
        <w:rPr>
          <w:color w:val="000000" w:themeColor="text1"/>
          <w:szCs w:val="21"/>
          <w14:textFill>
            <w14:solidFill>
              <w14:schemeClr w14:val="tx1"/>
            </w14:solidFill>
          </w14:textFill>
        </w:rPr>
      </w:pPr>
    </w:p>
    <w:p>
      <w:pPr>
        <w:wordWrap w:val="0"/>
        <w:spacing w:line="44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委托代理人：（签字）</w:t>
      </w:r>
    </w:p>
    <w:p>
      <w:pPr>
        <w:wordWrap w:val="0"/>
        <w:spacing w:line="440" w:lineRule="exact"/>
        <w:rPr>
          <w:color w:val="000000" w:themeColor="text1"/>
          <w:szCs w:val="21"/>
          <w14:textFill>
            <w14:solidFill>
              <w14:schemeClr w14:val="tx1"/>
            </w14:solidFill>
          </w14:textFill>
        </w:rPr>
      </w:pPr>
    </w:p>
    <w:p>
      <w:pPr>
        <w:wordWrap w:val="0"/>
        <w:spacing w:line="44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身份证号码：</w:t>
      </w:r>
    </w:p>
    <w:p>
      <w:pPr>
        <w:wordWrap w:val="0"/>
        <w:spacing w:line="440" w:lineRule="exact"/>
        <w:rPr>
          <w:color w:val="000000" w:themeColor="text1"/>
          <w:szCs w:val="21"/>
          <w14:textFill>
            <w14:solidFill>
              <w14:schemeClr w14:val="tx1"/>
            </w14:solidFill>
          </w14:textFill>
        </w:rPr>
      </w:pPr>
    </w:p>
    <w:p>
      <w:pPr>
        <w:wordWrap w:val="0"/>
        <w:spacing w:line="440" w:lineRule="exact"/>
        <w:rPr>
          <w:color w:val="000000" w:themeColor="text1"/>
          <w:szCs w:val="21"/>
          <w14:textFill>
            <w14:solidFill>
              <w14:schemeClr w14:val="tx1"/>
            </w14:solidFill>
          </w14:textFill>
        </w:rPr>
      </w:pPr>
    </w:p>
    <w:p>
      <w:pPr>
        <w:wordWrap w:val="0"/>
        <w:spacing w:before="120" w:beforeLines="50" w:after="240" w:afterLines="100" w:line="440" w:lineRule="exact"/>
        <w:jc w:val="right"/>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年  月  日</w:t>
      </w:r>
    </w:p>
    <w:p>
      <w:pPr>
        <w:wordWrap w:val="0"/>
        <w:spacing w:before="120" w:beforeLines="50" w:after="240" w:afterLines="100" w:line="440" w:lineRule="exact"/>
        <w:rPr>
          <w:color w:val="000000" w:themeColor="text1"/>
          <w14:textFill>
            <w14:solidFill>
              <w14:schemeClr w14:val="tx1"/>
            </w14:solidFill>
          </w14:textFill>
        </w:rPr>
      </w:pPr>
    </w:p>
    <w:p>
      <w:pPr>
        <w:keepNext/>
        <w:keepLines/>
        <w:wordWrap w:val="0"/>
        <w:spacing w:before="100" w:line="400" w:lineRule="exact"/>
        <w:jc w:val="center"/>
        <w:outlineLvl w:val="1"/>
        <w:rPr>
          <w:rFonts w:eastAsia="黑体" w:cs="宋体"/>
          <w:color w:val="000000" w:themeColor="text1"/>
          <w:sz w:val="28"/>
          <w:szCs w:val="20"/>
          <w14:textFill>
            <w14:solidFill>
              <w14:schemeClr w14:val="tx1"/>
            </w14:solidFill>
          </w14:textFill>
        </w:rPr>
      </w:pPr>
      <w:r>
        <w:rPr>
          <w:rFonts w:eastAsia="黑体" w:cs="宋体"/>
          <w:color w:val="000000" w:themeColor="text1"/>
          <w:sz w:val="28"/>
          <w:szCs w:val="20"/>
          <w14:textFill>
            <w14:solidFill>
              <w14:schemeClr w14:val="tx1"/>
            </w14:solidFill>
          </w14:textFill>
        </w:rPr>
        <w:br w:type="page"/>
      </w:r>
      <w:r>
        <w:rPr>
          <w:rFonts w:eastAsia="黑体" w:cs="宋体"/>
          <w:color w:val="000000" w:themeColor="text1"/>
          <w:sz w:val="28"/>
          <w:szCs w:val="20"/>
          <w14:textFill>
            <w14:solidFill>
              <w14:schemeClr w14:val="tx1"/>
            </w14:solidFill>
          </w14:textFill>
        </w:rPr>
        <w:t>投标人基本情况表</w:t>
      </w:r>
    </w:p>
    <w:tbl>
      <w:tblPr>
        <w:tblStyle w:val="43"/>
        <w:tblW w:w="8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897"/>
        <w:gridCol w:w="1021"/>
        <w:gridCol w:w="1160"/>
        <w:gridCol w:w="311"/>
        <w:gridCol w:w="1246"/>
        <w:gridCol w:w="63"/>
        <w:gridCol w:w="720"/>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投标人名称</w:t>
            </w:r>
          </w:p>
        </w:tc>
        <w:tc>
          <w:tcPr>
            <w:tcW w:w="7341" w:type="dxa"/>
            <w:gridSpan w:val="8"/>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注册地址</w:t>
            </w:r>
          </w:p>
        </w:tc>
        <w:tc>
          <w:tcPr>
            <w:tcW w:w="3389" w:type="dxa"/>
            <w:gridSpan w:val="4"/>
            <w:vAlign w:val="center"/>
          </w:tcPr>
          <w:p>
            <w:pPr>
              <w:wordWrap w:val="0"/>
              <w:jc w:val="center"/>
              <w:rPr>
                <w:color w:val="000000" w:themeColor="text1"/>
                <w:szCs w:val="21"/>
                <w14:textFill>
                  <w14:solidFill>
                    <w14:schemeClr w14:val="tx1"/>
                  </w14:solidFill>
                </w14:textFill>
              </w:rPr>
            </w:pPr>
          </w:p>
        </w:tc>
        <w:tc>
          <w:tcPr>
            <w:tcW w:w="1246"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邮政编码</w:t>
            </w:r>
          </w:p>
        </w:tc>
        <w:tc>
          <w:tcPr>
            <w:tcW w:w="2706" w:type="dxa"/>
            <w:gridSpan w:val="3"/>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Merge w:val="restart"/>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联系方式</w:t>
            </w:r>
          </w:p>
        </w:tc>
        <w:tc>
          <w:tcPr>
            <w:tcW w:w="897"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联系人</w:t>
            </w:r>
          </w:p>
        </w:tc>
        <w:tc>
          <w:tcPr>
            <w:tcW w:w="2492" w:type="dxa"/>
            <w:gridSpan w:val="3"/>
            <w:vAlign w:val="center"/>
          </w:tcPr>
          <w:p>
            <w:pPr>
              <w:wordWrap w:val="0"/>
              <w:jc w:val="center"/>
              <w:rPr>
                <w:color w:val="000000" w:themeColor="text1"/>
                <w:szCs w:val="21"/>
                <w14:textFill>
                  <w14:solidFill>
                    <w14:schemeClr w14:val="tx1"/>
                  </w14:solidFill>
                </w14:textFill>
              </w:rPr>
            </w:pPr>
          </w:p>
        </w:tc>
        <w:tc>
          <w:tcPr>
            <w:tcW w:w="1246"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电话</w:t>
            </w:r>
          </w:p>
        </w:tc>
        <w:tc>
          <w:tcPr>
            <w:tcW w:w="2706" w:type="dxa"/>
            <w:gridSpan w:val="3"/>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Merge w:val="continue"/>
            <w:vAlign w:val="center"/>
          </w:tcPr>
          <w:p>
            <w:pPr>
              <w:wordWrap w:val="0"/>
              <w:jc w:val="center"/>
              <w:rPr>
                <w:color w:val="000000" w:themeColor="text1"/>
                <w:szCs w:val="21"/>
                <w14:textFill>
                  <w14:solidFill>
                    <w14:schemeClr w14:val="tx1"/>
                  </w14:solidFill>
                </w14:textFill>
              </w:rPr>
            </w:pPr>
          </w:p>
        </w:tc>
        <w:tc>
          <w:tcPr>
            <w:tcW w:w="897"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传真</w:t>
            </w:r>
          </w:p>
        </w:tc>
        <w:tc>
          <w:tcPr>
            <w:tcW w:w="2492" w:type="dxa"/>
            <w:gridSpan w:val="3"/>
            <w:vAlign w:val="center"/>
          </w:tcPr>
          <w:p>
            <w:pPr>
              <w:wordWrap w:val="0"/>
              <w:jc w:val="center"/>
              <w:rPr>
                <w:color w:val="000000" w:themeColor="text1"/>
                <w:szCs w:val="21"/>
                <w14:textFill>
                  <w14:solidFill>
                    <w14:schemeClr w14:val="tx1"/>
                  </w14:solidFill>
                </w14:textFill>
              </w:rPr>
            </w:pPr>
          </w:p>
        </w:tc>
        <w:tc>
          <w:tcPr>
            <w:tcW w:w="1246"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网址</w:t>
            </w:r>
          </w:p>
        </w:tc>
        <w:tc>
          <w:tcPr>
            <w:tcW w:w="2706" w:type="dxa"/>
            <w:gridSpan w:val="3"/>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wordWrap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企业统一社会信用</w:t>
            </w:r>
            <w:r>
              <w:rPr>
                <w:color w:val="000000" w:themeColor="text1"/>
                <w:szCs w:val="21"/>
                <w14:textFill>
                  <w14:solidFill>
                    <w14:schemeClr w14:val="tx1"/>
                  </w14:solidFill>
                </w14:textFill>
              </w:rPr>
              <w:t>代码</w:t>
            </w:r>
          </w:p>
        </w:tc>
        <w:tc>
          <w:tcPr>
            <w:tcW w:w="7341" w:type="dxa"/>
            <w:gridSpan w:val="8"/>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法定代表人</w:t>
            </w:r>
          </w:p>
        </w:tc>
        <w:tc>
          <w:tcPr>
            <w:tcW w:w="897"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姓名</w:t>
            </w:r>
          </w:p>
        </w:tc>
        <w:tc>
          <w:tcPr>
            <w:tcW w:w="1021" w:type="dxa"/>
            <w:vAlign w:val="center"/>
          </w:tcPr>
          <w:p>
            <w:pPr>
              <w:wordWrap w:val="0"/>
              <w:jc w:val="center"/>
              <w:rPr>
                <w:color w:val="000000" w:themeColor="text1"/>
                <w:szCs w:val="21"/>
                <w14:textFill>
                  <w14:solidFill>
                    <w14:schemeClr w14:val="tx1"/>
                  </w14:solidFill>
                </w14:textFill>
              </w:rPr>
            </w:pPr>
          </w:p>
        </w:tc>
        <w:tc>
          <w:tcPr>
            <w:tcW w:w="1160"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技术职称</w:t>
            </w:r>
          </w:p>
        </w:tc>
        <w:tc>
          <w:tcPr>
            <w:tcW w:w="1620" w:type="dxa"/>
            <w:gridSpan w:val="3"/>
            <w:vAlign w:val="center"/>
          </w:tcPr>
          <w:p>
            <w:pPr>
              <w:wordWrap w:val="0"/>
              <w:jc w:val="center"/>
              <w:rPr>
                <w:color w:val="000000" w:themeColor="text1"/>
                <w:szCs w:val="21"/>
                <w14:textFill>
                  <w14:solidFill>
                    <w14:schemeClr w14:val="tx1"/>
                  </w14:solidFill>
                </w14:textFill>
              </w:rPr>
            </w:pPr>
          </w:p>
        </w:tc>
        <w:tc>
          <w:tcPr>
            <w:tcW w:w="720"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电话</w:t>
            </w:r>
          </w:p>
        </w:tc>
        <w:tc>
          <w:tcPr>
            <w:tcW w:w="1923" w:type="dxa"/>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技术负责人</w:t>
            </w:r>
          </w:p>
        </w:tc>
        <w:tc>
          <w:tcPr>
            <w:tcW w:w="897"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姓名</w:t>
            </w:r>
          </w:p>
        </w:tc>
        <w:tc>
          <w:tcPr>
            <w:tcW w:w="1021" w:type="dxa"/>
            <w:vAlign w:val="center"/>
          </w:tcPr>
          <w:p>
            <w:pPr>
              <w:wordWrap w:val="0"/>
              <w:jc w:val="center"/>
              <w:rPr>
                <w:color w:val="000000" w:themeColor="text1"/>
                <w:szCs w:val="21"/>
                <w14:textFill>
                  <w14:solidFill>
                    <w14:schemeClr w14:val="tx1"/>
                  </w14:solidFill>
                </w14:textFill>
              </w:rPr>
            </w:pPr>
          </w:p>
        </w:tc>
        <w:tc>
          <w:tcPr>
            <w:tcW w:w="1160"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技术职称</w:t>
            </w:r>
          </w:p>
        </w:tc>
        <w:tc>
          <w:tcPr>
            <w:tcW w:w="1620" w:type="dxa"/>
            <w:gridSpan w:val="3"/>
            <w:vAlign w:val="center"/>
          </w:tcPr>
          <w:p>
            <w:pPr>
              <w:wordWrap w:val="0"/>
              <w:jc w:val="center"/>
              <w:rPr>
                <w:color w:val="000000" w:themeColor="text1"/>
                <w:szCs w:val="21"/>
                <w14:textFill>
                  <w14:solidFill>
                    <w14:schemeClr w14:val="tx1"/>
                  </w14:solidFill>
                </w14:textFill>
              </w:rPr>
            </w:pPr>
          </w:p>
        </w:tc>
        <w:tc>
          <w:tcPr>
            <w:tcW w:w="720"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电话</w:t>
            </w:r>
          </w:p>
        </w:tc>
        <w:tc>
          <w:tcPr>
            <w:tcW w:w="1923" w:type="dxa"/>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成立时间</w:t>
            </w:r>
          </w:p>
        </w:tc>
        <w:tc>
          <w:tcPr>
            <w:tcW w:w="1918" w:type="dxa"/>
            <w:gridSpan w:val="2"/>
            <w:vAlign w:val="center"/>
          </w:tcPr>
          <w:p>
            <w:pPr>
              <w:wordWrap w:val="0"/>
              <w:jc w:val="center"/>
              <w:rPr>
                <w:color w:val="000000" w:themeColor="text1"/>
                <w:szCs w:val="21"/>
                <w14:textFill>
                  <w14:solidFill>
                    <w14:schemeClr w14:val="tx1"/>
                  </w14:solidFill>
                </w14:textFill>
              </w:rPr>
            </w:pPr>
          </w:p>
        </w:tc>
        <w:tc>
          <w:tcPr>
            <w:tcW w:w="5423" w:type="dxa"/>
            <w:gridSpan w:val="6"/>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企业资质等级</w:t>
            </w:r>
          </w:p>
        </w:tc>
        <w:tc>
          <w:tcPr>
            <w:tcW w:w="1918" w:type="dxa"/>
            <w:gridSpan w:val="2"/>
            <w:vAlign w:val="center"/>
          </w:tcPr>
          <w:p>
            <w:pPr>
              <w:wordWrap w:val="0"/>
              <w:jc w:val="center"/>
              <w:rPr>
                <w:color w:val="000000" w:themeColor="text1"/>
                <w:szCs w:val="21"/>
                <w14:textFill>
                  <w14:solidFill>
                    <w14:schemeClr w14:val="tx1"/>
                  </w14:solidFill>
                </w14:textFill>
              </w:rPr>
            </w:pPr>
          </w:p>
        </w:tc>
        <w:tc>
          <w:tcPr>
            <w:tcW w:w="1160" w:type="dxa"/>
            <w:vMerge w:val="restart"/>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其中</w:t>
            </w:r>
          </w:p>
        </w:tc>
        <w:tc>
          <w:tcPr>
            <w:tcW w:w="1620" w:type="dxa"/>
            <w:gridSpan w:val="3"/>
            <w:vAlign w:val="center"/>
          </w:tcPr>
          <w:p>
            <w:pPr>
              <w:wordWrap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工程总承包</w:t>
            </w:r>
          </w:p>
          <w:p>
            <w:pPr>
              <w:wordWrap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项目经理</w:t>
            </w:r>
          </w:p>
        </w:tc>
        <w:tc>
          <w:tcPr>
            <w:tcW w:w="2643" w:type="dxa"/>
            <w:gridSpan w:val="2"/>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营业执照号</w:t>
            </w:r>
          </w:p>
        </w:tc>
        <w:tc>
          <w:tcPr>
            <w:tcW w:w="1918" w:type="dxa"/>
            <w:gridSpan w:val="2"/>
            <w:vAlign w:val="center"/>
          </w:tcPr>
          <w:p>
            <w:pPr>
              <w:wordWrap w:val="0"/>
              <w:jc w:val="center"/>
              <w:rPr>
                <w:color w:val="000000" w:themeColor="text1"/>
                <w:szCs w:val="21"/>
                <w14:textFill>
                  <w14:solidFill>
                    <w14:schemeClr w14:val="tx1"/>
                  </w14:solidFill>
                </w14:textFill>
              </w:rPr>
            </w:pPr>
          </w:p>
        </w:tc>
        <w:tc>
          <w:tcPr>
            <w:tcW w:w="1160" w:type="dxa"/>
            <w:vMerge w:val="continue"/>
            <w:vAlign w:val="center"/>
          </w:tcPr>
          <w:p>
            <w:pPr>
              <w:wordWrap w:val="0"/>
              <w:jc w:val="center"/>
              <w:rPr>
                <w:color w:val="000000" w:themeColor="text1"/>
                <w:szCs w:val="21"/>
                <w14:textFill>
                  <w14:solidFill>
                    <w14:schemeClr w14:val="tx1"/>
                  </w14:solidFill>
                </w14:textFill>
              </w:rPr>
            </w:pPr>
          </w:p>
        </w:tc>
        <w:tc>
          <w:tcPr>
            <w:tcW w:w="1620" w:type="dxa"/>
            <w:gridSpan w:val="3"/>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高级职称人员</w:t>
            </w:r>
          </w:p>
        </w:tc>
        <w:tc>
          <w:tcPr>
            <w:tcW w:w="2643" w:type="dxa"/>
            <w:gridSpan w:val="2"/>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注册资金</w:t>
            </w:r>
          </w:p>
        </w:tc>
        <w:tc>
          <w:tcPr>
            <w:tcW w:w="1918" w:type="dxa"/>
            <w:gridSpan w:val="2"/>
            <w:vAlign w:val="center"/>
          </w:tcPr>
          <w:p>
            <w:pPr>
              <w:wordWrap w:val="0"/>
              <w:jc w:val="center"/>
              <w:rPr>
                <w:color w:val="000000" w:themeColor="text1"/>
                <w:szCs w:val="21"/>
                <w14:textFill>
                  <w14:solidFill>
                    <w14:schemeClr w14:val="tx1"/>
                  </w14:solidFill>
                </w14:textFill>
              </w:rPr>
            </w:pPr>
          </w:p>
        </w:tc>
        <w:tc>
          <w:tcPr>
            <w:tcW w:w="1160" w:type="dxa"/>
            <w:vMerge w:val="continue"/>
            <w:vAlign w:val="center"/>
          </w:tcPr>
          <w:p>
            <w:pPr>
              <w:wordWrap w:val="0"/>
              <w:jc w:val="center"/>
              <w:rPr>
                <w:color w:val="000000" w:themeColor="text1"/>
                <w:szCs w:val="21"/>
                <w14:textFill>
                  <w14:solidFill>
                    <w14:schemeClr w14:val="tx1"/>
                  </w14:solidFill>
                </w14:textFill>
              </w:rPr>
            </w:pPr>
          </w:p>
        </w:tc>
        <w:tc>
          <w:tcPr>
            <w:tcW w:w="1620" w:type="dxa"/>
            <w:gridSpan w:val="3"/>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中级职称人员</w:t>
            </w:r>
          </w:p>
        </w:tc>
        <w:tc>
          <w:tcPr>
            <w:tcW w:w="2643" w:type="dxa"/>
            <w:gridSpan w:val="2"/>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开户银行</w:t>
            </w:r>
          </w:p>
        </w:tc>
        <w:tc>
          <w:tcPr>
            <w:tcW w:w="1918" w:type="dxa"/>
            <w:gridSpan w:val="2"/>
            <w:vAlign w:val="center"/>
          </w:tcPr>
          <w:p>
            <w:pPr>
              <w:wordWrap w:val="0"/>
              <w:jc w:val="center"/>
              <w:rPr>
                <w:color w:val="000000" w:themeColor="text1"/>
                <w:szCs w:val="21"/>
                <w14:textFill>
                  <w14:solidFill>
                    <w14:schemeClr w14:val="tx1"/>
                  </w14:solidFill>
                </w14:textFill>
              </w:rPr>
            </w:pPr>
          </w:p>
        </w:tc>
        <w:tc>
          <w:tcPr>
            <w:tcW w:w="1160" w:type="dxa"/>
            <w:vMerge w:val="continue"/>
            <w:vAlign w:val="center"/>
          </w:tcPr>
          <w:p>
            <w:pPr>
              <w:wordWrap w:val="0"/>
              <w:jc w:val="center"/>
              <w:rPr>
                <w:color w:val="000000" w:themeColor="text1"/>
                <w:szCs w:val="21"/>
                <w14:textFill>
                  <w14:solidFill>
                    <w14:schemeClr w14:val="tx1"/>
                  </w14:solidFill>
                </w14:textFill>
              </w:rPr>
            </w:pPr>
          </w:p>
        </w:tc>
        <w:tc>
          <w:tcPr>
            <w:tcW w:w="1620" w:type="dxa"/>
            <w:gridSpan w:val="3"/>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初级职称人员</w:t>
            </w:r>
          </w:p>
        </w:tc>
        <w:tc>
          <w:tcPr>
            <w:tcW w:w="2643" w:type="dxa"/>
            <w:gridSpan w:val="2"/>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账号</w:t>
            </w:r>
          </w:p>
        </w:tc>
        <w:tc>
          <w:tcPr>
            <w:tcW w:w="1918" w:type="dxa"/>
            <w:gridSpan w:val="2"/>
            <w:vAlign w:val="center"/>
          </w:tcPr>
          <w:p>
            <w:pPr>
              <w:wordWrap w:val="0"/>
              <w:jc w:val="center"/>
              <w:rPr>
                <w:color w:val="000000" w:themeColor="text1"/>
                <w:szCs w:val="21"/>
                <w14:textFill>
                  <w14:solidFill>
                    <w14:schemeClr w14:val="tx1"/>
                  </w14:solidFill>
                </w14:textFill>
              </w:rPr>
            </w:pPr>
          </w:p>
        </w:tc>
        <w:tc>
          <w:tcPr>
            <w:tcW w:w="1160" w:type="dxa"/>
            <w:vMerge w:val="continue"/>
            <w:vAlign w:val="center"/>
          </w:tcPr>
          <w:p>
            <w:pPr>
              <w:wordWrap w:val="0"/>
              <w:jc w:val="center"/>
              <w:rPr>
                <w:color w:val="000000" w:themeColor="text1"/>
                <w:szCs w:val="21"/>
                <w14:textFill>
                  <w14:solidFill>
                    <w14:schemeClr w14:val="tx1"/>
                  </w14:solidFill>
                </w14:textFill>
              </w:rPr>
            </w:pPr>
          </w:p>
        </w:tc>
        <w:tc>
          <w:tcPr>
            <w:tcW w:w="1620" w:type="dxa"/>
            <w:gridSpan w:val="3"/>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技工</w:t>
            </w:r>
          </w:p>
        </w:tc>
        <w:tc>
          <w:tcPr>
            <w:tcW w:w="2643" w:type="dxa"/>
            <w:gridSpan w:val="2"/>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jc w:val="center"/>
        </w:trPr>
        <w:tc>
          <w:tcPr>
            <w:tcW w:w="1626"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经营范围</w:t>
            </w:r>
          </w:p>
        </w:tc>
        <w:tc>
          <w:tcPr>
            <w:tcW w:w="7341" w:type="dxa"/>
            <w:gridSpan w:val="8"/>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备注</w:t>
            </w:r>
          </w:p>
        </w:tc>
        <w:tc>
          <w:tcPr>
            <w:tcW w:w="7341" w:type="dxa"/>
            <w:gridSpan w:val="8"/>
            <w:vAlign w:val="center"/>
          </w:tcPr>
          <w:p>
            <w:pPr>
              <w:wordWrap w:val="0"/>
              <w:jc w:val="center"/>
              <w:rPr>
                <w:color w:val="000000" w:themeColor="text1"/>
                <w:szCs w:val="21"/>
                <w14:textFill>
                  <w14:solidFill>
                    <w14:schemeClr w14:val="tx1"/>
                  </w14:solidFill>
                </w14:textFill>
              </w:rPr>
            </w:pPr>
          </w:p>
        </w:tc>
      </w:tr>
    </w:tbl>
    <w:p>
      <w:pPr>
        <w:keepNext/>
        <w:keepLines/>
        <w:wordWrap w:val="0"/>
        <w:spacing w:before="100" w:line="400" w:lineRule="exact"/>
        <w:jc w:val="center"/>
        <w:outlineLvl w:val="1"/>
        <w:rPr>
          <w:rFonts w:eastAsia="黑体" w:cs="宋体"/>
          <w:color w:val="000000" w:themeColor="text1"/>
          <w:sz w:val="28"/>
          <w:szCs w:val="20"/>
          <w14:textFill>
            <w14:solidFill>
              <w14:schemeClr w14:val="tx1"/>
            </w14:solidFill>
          </w14:textFill>
        </w:rPr>
      </w:pPr>
    </w:p>
    <w:p>
      <w:pPr>
        <w:keepNext/>
        <w:keepLines/>
        <w:wordWrap w:val="0"/>
        <w:spacing w:before="100" w:line="400" w:lineRule="exact"/>
        <w:jc w:val="center"/>
        <w:outlineLvl w:val="1"/>
        <w:rPr>
          <w:rFonts w:eastAsia="黑体" w:cs="宋体"/>
          <w:color w:val="000000" w:themeColor="text1"/>
          <w:sz w:val="28"/>
          <w:szCs w:val="20"/>
          <w14:textFill>
            <w14:solidFill>
              <w14:schemeClr w14:val="tx1"/>
            </w14:solidFill>
          </w14:textFill>
        </w:rPr>
      </w:pPr>
    </w:p>
    <w:p>
      <w:pPr>
        <w:keepNext/>
        <w:keepLines/>
        <w:wordWrap w:val="0"/>
        <w:spacing w:before="100" w:line="400" w:lineRule="exact"/>
        <w:jc w:val="center"/>
        <w:outlineLvl w:val="1"/>
        <w:rPr>
          <w:rFonts w:eastAsia="黑体" w:cs="宋体"/>
          <w:color w:val="000000" w:themeColor="text1"/>
          <w:sz w:val="28"/>
          <w:szCs w:val="20"/>
          <w14:textFill>
            <w14:solidFill>
              <w14:schemeClr w14:val="tx1"/>
            </w14:solidFill>
          </w14:textFill>
        </w:rPr>
      </w:pPr>
    </w:p>
    <w:p>
      <w:pPr>
        <w:keepNext/>
        <w:keepLines/>
        <w:wordWrap w:val="0"/>
        <w:spacing w:before="100" w:line="400" w:lineRule="exact"/>
        <w:jc w:val="center"/>
        <w:outlineLvl w:val="1"/>
        <w:rPr>
          <w:rFonts w:eastAsia="黑体" w:cs="宋体"/>
          <w:color w:val="000000" w:themeColor="text1"/>
          <w:sz w:val="28"/>
          <w:szCs w:val="20"/>
          <w14:textFill>
            <w14:solidFill>
              <w14:schemeClr w14:val="tx1"/>
            </w14:solidFill>
          </w14:textFill>
        </w:rPr>
      </w:pPr>
    </w:p>
    <w:p>
      <w:pPr>
        <w:pStyle w:val="5"/>
        <w:wordWrap w:val="0"/>
        <w:jc w:val="center"/>
        <w:rPr>
          <w:rFonts w:ascii="黑体" w:hAnsi="宋体"/>
          <w:b w:val="0"/>
          <w:color w:val="000000" w:themeColor="text1"/>
          <w:sz w:val="28"/>
          <w:szCs w:val="28"/>
          <w14:textFill>
            <w14:solidFill>
              <w14:schemeClr w14:val="tx1"/>
            </w14:solidFill>
          </w14:textFill>
        </w:rPr>
      </w:pPr>
      <w:r>
        <w:rPr>
          <w:rFonts w:cs="宋体"/>
          <w:color w:val="000000" w:themeColor="text1"/>
          <w:sz w:val="28"/>
          <w:szCs w:val="20"/>
          <w14:textFill>
            <w14:solidFill>
              <w14:schemeClr w14:val="tx1"/>
            </w14:solidFill>
          </w14:textFill>
        </w:rPr>
        <w:br w:type="page"/>
      </w:r>
      <w:bookmarkStart w:id="168" w:name="_Toc505161883"/>
      <w:bookmarkStart w:id="169" w:name="_Toc25051"/>
      <w:r>
        <w:rPr>
          <w:rFonts w:ascii="黑体" w:hAnsi="宋体"/>
          <w:b w:val="0"/>
          <w:color w:val="000000" w:themeColor="text1"/>
          <w:sz w:val="28"/>
          <w:szCs w:val="28"/>
          <w14:textFill>
            <w14:solidFill>
              <w14:schemeClr w14:val="tx1"/>
            </w14:solidFill>
          </w14:textFill>
        </w:rPr>
        <w:t>项目管理机构组成表</w:t>
      </w:r>
      <w:bookmarkEnd w:id="168"/>
      <w:bookmarkEnd w:id="169"/>
    </w:p>
    <w:p>
      <w:pPr>
        <w:wordWrap w:val="0"/>
        <w:spacing w:line="440" w:lineRule="exact"/>
        <w:jc w:val="center"/>
        <w:rPr>
          <w:rFonts w:eastAsia="黑体"/>
          <w:color w:val="000000" w:themeColor="text1"/>
          <w:sz w:val="23"/>
          <w:szCs w:val="23"/>
          <w14:textFill>
            <w14:solidFill>
              <w14:schemeClr w14:val="tx1"/>
            </w14:solidFill>
          </w14:textFill>
        </w:rPr>
      </w:pPr>
    </w:p>
    <w:tbl>
      <w:tblPr>
        <w:tblStyle w:val="43"/>
        <w:tblW w:w="869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559"/>
        <w:gridCol w:w="709"/>
        <w:gridCol w:w="1134"/>
        <w:gridCol w:w="709"/>
        <w:gridCol w:w="1134"/>
        <w:gridCol w:w="1134"/>
        <w:gridCol w:w="708"/>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vAlign w:val="center"/>
          </w:tcPr>
          <w:p>
            <w:pPr>
              <w:wordWrap w:val="0"/>
              <w:spacing w:line="4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序号</w:t>
            </w:r>
          </w:p>
        </w:tc>
        <w:tc>
          <w:tcPr>
            <w:tcW w:w="1559" w:type="dxa"/>
            <w:vMerge w:val="restart"/>
            <w:vAlign w:val="center"/>
          </w:tcPr>
          <w:p>
            <w:pPr>
              <w:wordWrap w:val="0"/>
              <w:spacing w:line="4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职务</w:t>
            </w:r>
          </w:p>
        </w:tc>
        <w:tc>
          <w:tcPr>
            <w:tcW w:w="709" w:type="dxa"/>
            <w:vMerge w:val="restart"/>
            <w:vAlign w:val="center"/>
          </w:tcPr>
          <w:p>
            <w:pPr>
              <w:wordWrap w:val="0"/>
              <w:spacing w:line="4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姓名</w:t>
            </w:r>
          </w:p>
        </w:tc>
        <w:tc>
          <w:tcPr>
            <w:tcW w:w="2977" w:type="dxa"/>
            <w:gridSpan w:val="3"/>
            <w:vAlign w:val="center"/>
          </w:tcPr>
          <w:p>
            <w:pPr>
              <w:wordWrap w:val="0"/>
              <w:spacing w:line="4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执业或职业资格证明</w:t>
            </w:r>
          </w:p>
        </w:tc>
        <w:tc>
          <w:tcPr>
            <w:tcW w:w="1842" w:type="dxa"/>
            <w:gridSpan w:val="2"/>
            <w:vAlign w:val="center"/>
          </w:tcPr>
          <w:p>
            <w:pPr>
              <w:wordWrap w:val="0"/>
              <w:spacing w:line="4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职称</w:t>
            </w:r>
          </w:p>
        </w:tc>
        <w:tc>
          <w:tcPr>
            <w:tcW w:w="1044" w:type="dxa"/>
            <w:vAlign w:val="center"/>
          </w:tcPr>
          <w:p>
            <w:pPr>
              <w:wordWrap w:val="0"/>
              <w:spacing w:line="4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vAlign w:val="center"/>
          </w:tcPr>
          <w:p>
            <w:pPr>
              <w:wordWrap w:val="0"/>
              <w:spacing w:line="440" w:lineRule="exact"/>
              <w:jc w:val="center"/>
              <w:rPr>
                <w:color w:val="000000" w:themeColor="text1"/>
                <w:szCs w:val="21"/>
                <w14:textFill>
                  <w14:solidFill>
                    <w14:schemeClr w14:val="tx1"/>
                  </w14:solidFill>
                </w14:textFill>
              </w:rPr>
            </w:pPr>
          </w:p>
        </w:tc>
        <w:tc>
          <w:tcPr>
            <w:tcW w:w="1559" w:type="dxa"/>
            <w:vMerge w:val="continue"/>
            <w:vAlign w:val="center"/>
          </w:tcPr>
          <w:p>
            <w:pPr>
              <w:wordWrap w:val="0"/>
              <w:spacing w:line="440" w:lineRule="exact"/>
              <w:jc w:val="center"/>
              <w:rPr>
                <w:color w:val="000000" w:themeColor="text1"/>
                <w:szCs w:val="21"/>
                <w14:textFill>
                  <w14:solidFill>
                    <w14:schemeClr w14:val="tx1"/>
                  </w14:solidFill>
                </w14:textFill>
              </w:rPr>
            </w:pPr>
          </w:p>
        </w:tc>
        <w:tc>
          <w:tcPr>
            <w:tcW w:w="709" w:type="dxa"/>
            <w:vMerge w:val="continue"/>
            <w:vAlign w:val="center"/>
          </w:tcPr>
          <w:p>
            <w:pPr>
              <w:wordWrap w:val="0"/>
              <w:spacing w:line="440" w:lineRule="exact"/>
              <w:jc w:val="center"/>
              <w:rPr>
                <w:color w:val="000000" w:themeColor="text1"/>
                <w:szCs w:val="21"/>
                <w14:textFill>
                  <w14:solidFill>
                    <w14:schemeClr w14:val="tx1"/>
                  </w14:solidFill>
                </w14:textFill>
              </w:rPr>
            </w:pPr>
          </w:p>
        </w:tc>
        <w:tc>
          <w:tcPr>
            <w:tcW w:w="1134" w:type="dxa"/>
            <w:vAlign w:val="center"/>
          </w:tcPr>
          <w:p>
            <w:pPr>
              <w:wordWrap w:val="0"/>
              <w:spacing w:line="4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证书名称</w:t>
            </w:r>
          </w:p>
        </w:tc>
        <w:tc>
          <w:tcPr>
            <w:tcW w:w="709" w:type="dxa"/>
            <w:vAlign w:val="center"/>
          </w:tcPr>
          <w:p>
            <w:pPr>
              <w:wordWrap w:val="0"/>
              <w:spacing w:line="4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级别</w:t>
            </w:r>
          </w:p>
        </w:tc>
        <w:tc>
          <w:tcPr>
            <w:tcW w:w="1134" w:type="dxa"/>
            <w:vAlign w:val="center"/>
          </w:tcPr>
          <w:p>
            <w:pPr>
              <w:wordWrap w:val="0"/>
              <w:spacing w:line="4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证</w:t>
            </w:r>
            <w:r>
              <w:rPr>
                <w:rFonts w:hint="eastAsia"/>
                <w:color w:val="000000" w:themeColor="text1"/>
                <w:szCs w:val="21"/>
                <w14:textFill>
                  <w14:solidFill>
                    <w14:schemeClr w14:val="tx1"/>
                  </w14:solidFill>
                </w14:textFill>
              </w:rPr>
              <w:t>书编号</w:t>
            </w:r>
          </w:p>
        </w:tc>
        <w:tc>
          <w:tcPr>
            <w:tcW w:w="1134" w:type="dxa"/>
            <w:vAlign w:val="center"/>
          </w:tcPr>
          <w:p>
            <w:pPr>
              <w:wordWrap w:val="0"/>
              <w:spacing w:line="4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职称专业</w:t>
            </w:r>
          </w:p>
        </w:tc>
        <w:tc>
          <w:tcPr>
            <w:tcW w:w="708" w:type="dxa"/>
            <w:vAlign w:val="center"/>
          </w:tcPr>
          <w:p>
            <w:pPr>
              <w:wordWrap w:val="0"/>
              <w:spacing w:line="4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级别</w:t>
            </w:r>
          </w:p>
        </w:tc>
        <w:tc>
          <w:tcPr>
            <w:tcW w:w="1044" w:type="dxa"/>
            <w:vAlign w:val="center"/>
          </w:tcPr>
          <w:p>
            <w:pPr>
              <w:wordWrap w:val="0"/>
              <w:spacing w:line="4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center"/>
          </w:tcPr>
          <w:p>
            <w:pPr>
              <w:wordWrap w:val="0"/>
              <w:spacing w:line="4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1559" w:type="dxa"/>
            <w:vAlign w:val="center"/>
          </w:tcPr>
          <w:p>
            <w:pPr>
              <w:wordWrap w:val="0"/>
              <w:spacing w:line="4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项目经理</w:t>
            </w:r>
          </w:p>
        </w:tc>
        <w:tc>
          <w:tcPr>
            <w:tcW w:w="709" w:type="dxa"/>
            <w:vAlign w:val="center"/>
          </w:tcPr>
          <w:p>
            <w:pPr>
              <w:wordWrap w:val="0"/>
              <w:spacing w:line="440" w:lineRule="exact"/>
              <w:jc w:val="center"/>
              <w:rPr>
                <w:color w:val="000000" w:themeColor="text1"/>
                <w:szCs w:val="21"/>
                <w14:textFill>
                  <w14:solidFill>
                    <w14:schemeClr w14:val="tx1"/>
                  </w14:solidFill>
                </w14:textFill>
              </w:rPr>
            </w:pPr>
          </w:p>
        </w:tc>
        <w:tc>
          <w:tcPr>
            <w:tcW w:w="1134" w:type="dxa"/>
            <w:vAlign w:val="center"/>
          </w:tcPr>
          <w:p>
            <w:pPr>
              <w:wordWrap w:val="0"/>
              <w:spacing w:line="440" w:lineRule="exact"/>
              <w:jc w:val="center"/>
              <w:rPr>
                <w:color w:val="000000" w:themeColor="text1"/>
                <w:szCs w:val="21"/>
                <w14:textFill>
                  <w14:solidFill>
                    <w14:schemeClr w14:val="tx1"/>
                  </w14:solidFill>
                </w14:textFill>
              </w:rPr>
            </w:pPr>
          </w:p>
        </w:tc>
        <w:tc>
          <w:tcPr>
            <w:tcW w:w="709" w:type="dxa"/>
            <w:vAlign w:val="center"/>
          </w:tcPr>
          <w:p>
            <w:pPr>
              <w:wordWrap w:val="0"/>
              <w:spacing w:line="440" w:lineRule="exact"/>
              <w:jc w:val="center"/>
              <w:rPr>
                <w:color w:val="000000" w:themeColor="text1"/>
                <w:szCs w:val="21"/>
                <w14:textFill>
                  <w14:solidFill>
                    <w14:schemeClr w14:val="tx1"/>
                  </w14:solidFill>
                </w14:textFill>
              </w:rPr>
            </w:pPr>
          </w:p>
        </w:tc>
        <w:tc>
          <w:tcPr>
            <w:tcW w:w="1134" w:type="dxa"/>
            <w:vAlign w:val="center"/>
          </w:tcPr>
          <w:p>
            <w:pPr>
              <w:wordWrap w:val="0"/>
              <w:spacing w:line="440" w:lineRule="exact"/>
              <w:jc w:val="center"/>
              <w:rPr>
                <w:color w:val="000000" w:themeColor="text1"/>
                <w:szCs w:val="21"/>
                <w14:textFill>
                  <w14:solidFill>
                    <w14:schemeClr w14:val="tx1"/>
                  </w14:solidFill>
                </w14:textFill>
              </w:rPr>
            </w:pPr>
          </w:p>
        </w:tc>
        <w:tc>
          <w:tcPr>
            <w:tcW w:w="1134" w:type="dxa"/>
            <w:vAlign w:val="center"/>
          </w:tcPr>
          <w:p>
            <w:pPr>
              <w:wordWrap w:val="0"/>
              <w:spacing w:line="440" w:lineRule="exact"/>
              <w:jc w:val="center"/>
              <w:rPr>
                <w:color w:val="000000" w:themeColor="text1"/>
                <w:szCs w:val="21"/>
                <w14:textFill>
                  <w14:solidFill>
                    <w14:schemeClr w14:val="tx1"/>
                  </w14:solidFill>
                </w14:textFill>
              </w:rPr>
            </w:pPr>
          </w:p>
        </w:tc>
        <w:tc>
          <w:tcPr>
            <w:tcW w:w="708" w:type="dxa"/>
            <w:vAlign w:val="center"/>
          </w:tcPr>
          <w:p>
            <w:pPr>
              <w:wordWrap w:val="0"/>
              <w:spacing w:line="440" w:lineRule="exact"/>
              <w:jc w:val="center"/>
              <w:rPr>
                <w:color w:val="000000" w:themeColor="text1"/>
                <w:szCs w:val="21"/>
                <w14:textFill>
                  <w14:solidFill>
                    <w14:schemeClr w14:val="tx1"/>
                  </w14:solidFill>
                </w14:textFill>
              </w:rPr>
            </w:pPr>
          </w:p>
        </w:tc>
        <w:tc>
          <w:tcPr>
            <w:tcW w:w="1044" w:type="dxa"/>
            <w:vAlign w:val="center"/>
          </w:tcPr>
          <w:p>
            <w:pPr>
              <w:wordWrap w:val="0"/>
              <w:spacing w:line="4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wordWrap w:val="0"/>
              <w:spacing w:line="4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8131" w:type="dxa"/>
            <w:gridSpan w:val="8"/>
          </w:tcPr>
          <w:p>
            <w:pPr>
              <w:wordWrap w:val="0"/>
              <w:spacing w:line="4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wordWrap w:val="0"/>
              <w:spacing w:line="4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2.1</w:t>
            </w:r>
          </w:p>
        </w:tc>
        <w:tc>
          <w:tcPr>
            <w:tcW w:w="1559" w:type="dxa"/>
          </w:tcPr>
          <w:p>
            <w:pPr>
              <w:wordWrap w:val="0"/>
              <w:spacing w:line="4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设计负责人</w:t>
            </w:r>
          </w:p>
        </w:tc>
        <w:tc>
          <w:tcPr>
            <w:tcW w:w="709"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709"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708" w:type="dxa"/>
          </w:tcPr>
          <w:p>
            <w:pPr>
              <w:wordWrap w:val="0"/>
              <w:spacing w:line="440" w:lineRule="exact"/>
              <w:jc w:val="center"/>
              <w:rPr>
                <w:color w:val="000000" w:themeColor="text1"/>
                <w:szCs w:val="21"/>
                <w14:textFill>
                  <w14:solidFill>
                    <w14:schemeClr w14:val="tx1"/>
                  </w14:solidFill>
                </w14:textFill>
              </w:rPr>
            </w:pPr>
          </w:p>
        </w:tc>
        <w:tc>
          <w:tcPr>
            <w:tcW w:w="1044" w:type="dxa"/>
          </w:tcPr>
          <w:p>
            <w:pPr>
              <w:wordWrap w:val="0"/>
              <w:spacing w:line="4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wordWrap w:val="0"/>
              <w:spacing w:line="4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2.2</w:t>
            </w:r>
          </w:p>
        </w:tc>
        <w:tc>
          <w:tcPr>
            <w:tcW w:w="1559" w:type="dxa"/>
          </w:tcPr>
          <w:p>
            <w:pPr>
              <w:wordWrap w:val="0"/>
              <w:spacing w:line="4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709"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709"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708" w:type="dxa"/>
          </w:tcPr>
          <w:p>
            <w:pPr>
              <w:wordWrap w:val="0"/>
              <w:spacing w:line="440" w:lineRule="exact"/>
              <w:jc w:val="center"/>
              <w:rPr>
                <w:color w:val="000000" w:themeColor="text1"/>
                <w:szCs w:val="21"/>
                <w14:textFill>
                  <w14:solidFill>
                    <w14:schemeClr w14:val="tx1"/>
                  </w14:solidFill>
                </w14:textFill>
              </w:rPr>
            </w:pPr>
          </w:p>
        </w:tc>
        <w:tc>
          <w:tcPr>
            <w:tcW w:w="1044" w:type="dxa"/>
          </w:tcPr>
          <w:p>
            <w:pPr>
              <w:wordWrap w:val="0"/>
              <w:spacing w:line="4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wordWrap w:val="0"/>
              <w:spacing w:line="4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c>
          <w:tcPr>
            <w:tcW w:w="8131" w:type="dxa"/>
            <w:gridSpan w:val="8"/>
          </w:tcPr>
          <w:p>
            <w:pPr>
              <w:wordWrap w:val="0"/>
              <w:spacing w:line="4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wordWrap w:val="0"/>
              <w:spacing w:line="4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3.1</w:t>
            </w:r>
          </w:p>
        </w:tc>
        <w:tc>
          <w:tcPr>
            <w:tcW w:w="1559" w:type="dxa"/>
          </w:tcPr>
          <w:p>
            <w:pPr>
              <w:wordWrap w:val="0"/>
              <w:spacing w:line="4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709"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709"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708" w:type="dxa"/>
          </w:tcPr>
          <w:p>
            <w:pPr>
              <w:wordWrap w:val="0"/>
              <w:spacing w:line="440" w:lineRule="exact"/>
              <w:jc w:val="center"/>
              <w:rPr>
                <w:color w:val="000000" w:themeColor="text1"/>
                <w:szCs w:val="21"/>
                <w14:textFill>
                  <w14:solidFill>
                    <w14:schemeClr w14:val="tx1"/>
                  </w14:solidFill>
                </w14:textFill>
              </w:rPr>
            </w:pPr>
          </w:p>
        </w:tc>
        <w:tc>
          <w:tcPr>
            <w:tcW w:w="1044" w:type="dxa"/>
          </w:tcPr>
          <w:p>
            <w:pPr>
              <w:wordWrap w:val="0"/>
              <w:spacing w:line="4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wordWrap w:val="0"/>
              <w:spacing w:line="4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3.2</w:t>
            </w:r>
          </w:p>
        </w:tc>
        <w:tc>
          <w:tcPr>
            <w:tcW w:w="1559" w:type="dxa"/>
          </w:tcPr>
          <w:p>
            <w:pPr>
              <w:wordWrap w:val="0"/>
              <w:spacing w:line="440" w:lineRule="exact"/>
              <w:jc w:val="center"/>
              <w:rPr>
                <w:color w:val="000000" w:themeColor="text1"/>
                <w:szCs w:val="21"/>
                <w14:textFill>
                  <w14:solidFill>
                    <w14:schemeClr w14:val="tx1"/>
                  </w14:solidFill>
                </w14:textFill>
              </w:rPr>
            </w:pPr>
          </w:p>
        </w:tc>
        <w:tc>
          <w:tcPr>
            <w:tcW w:w="709"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709"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708" w:type="dxa"/>
          </w:tcPr>
          <w:p>
            <w:pPr>
              <w:wordWrap w:val="0"/>
              <w:spacing w:line="440" w:lineRule="exact"/>
              <w:jc w:val="center"/>
              <w:rPr>
                <w:color w:val="000000" w:themeColor="text1"/>
                <w:szCs w:val="21"/>
                <w14:textFill>
                  <w14:solidFill>
                    <w14:schemeClr w14:val="tx1"/>
                  </w14:solidFill>
                </w14:textFill>
              </w:rPr>
            </w:pPr>
          </w:p>
        </w:tc>
        <w:tc>
          <w:tcPr>
            <w:tcW w:w="1044" w:type="dxa"/>
          </w:tcPr>
          <w:p>
            <w:pPr>
              <w:wordWrap w:val="0"/>
              <w:spacing w:line="4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wordWrap w:val="0"/>
              <w:spacing w:line="4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8131" w:type="dxa"/>
            <w:gridSpan w:val="8"/>
          </w:tcPr>
          <w:p>
            <w:pPr>
              <w:wordWrap w:val="0"/>
              <w:spacing w:line="4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采购（如有）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wordWrap w:val="0"/>
              <w:spacing w:line="4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4.1</w:t>
            </w:r>
          </w:p>
        </w:tc>
        <w:tc>
          <w:tcPr>
            <w:tcW w:w="1559" w:type="dxa"/>
          </w:tcPr>
          <w:p>
            <w:pPr>
              <w:wordWrap w:val="0"/>
              <w:spacing w:line="4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采购经理</w:t>
            </w:r>
          </w:p>
        </w:tc>
        <w:tc>
          <w:tcPr>
            <w:tcW w:w="709"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709"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708" w:type="dxa"/>
          </w:tcPr>
          <w:p>
            <w:pPr>
              <w:wordWrap w:val="0"/>
              <w:spacing w:line="440" w:lineRule="exact"/>
              <w:jc w:val="center"/>
              <w:rPr>
                <w:color w:val="000000" w:themeColor="text1"/>
                <w:szCs w:val="21"/>
                <w14:textFill>
                  <w14:solidFill>
                    <w14:schemeClr w14:val="tx1"/>
                  </w14:solidFill>
                </w14:textFill>
              </w:rPr>
            </w:pPr>
          </w:p>
        </w:tc>
        <w:tc>
          <w:tcPr>
            <w:tcW w:w="1044" w:type="dxa"/>
          </w:tcPr>
          <w:p>
            <w:pPr>
              <w:wordWrap w:val="0"/>
              <w:spacing w:line="4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wordWrap w:val="0"/>
              <w:spacing w:line="4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4.2</w:t>
            </w:r>
          </w:p>
        </w:tc>
        <w:tc>
          <w:tcPr>
            <w:tcW w:w="1559" w:type="dxa"/>
          </w:tcPr>
          <w:p>
            <w:pPr>
              <w:wordWrap w:val="0"/>
              <w:spacing w:line="4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709"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709"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708" w:type="dxa"/>
          </w:tcPr>
          <w:p>
            <w:pPr>
              <w:wordWrap w:val="0"/>
              <w:spacing w:line="440" w:lineRule="exact"/>
              <w:jc w:val="center"/>
              <w:rPr>
                <w:color w:val="000000" w:themeColor="text1"/>
                <w:szCs w:val="21"/>
                <w14:textFill>
                  <w14:solidFill>
                    <w14:schemeClr w14:val="tx1"/>
                  </w14:solidFill>
                </w14:textFill>
              </w:rPr>
            </w:pPr>
          </w:p>
        </w:tc>
        <w:tc>
          <w:tcPr>
            <w:tcW w:w="1044" w:type="dxa"/>
          </w:tcPr>
          <w:p>
            <w:pPr>
              <w:wordWrap w:val="0"/>
              <w:spacing w:line="4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wordWrap w:val="0"/>
              <w:spacing w:line="440" w:lineRule="exact"/>
              <w:jc w:val="center"/>
              <w:rPr>
                <w:color w:val="000000" w:themeColor="text1"/>
                <w:szCs w:val="21"/>
                <w14:textFill>
                  <w14:solidFill>
                    <w14:schemeClr w14:val="tx1"/>
                  </w14:solidFill>
                </w14:textFill>
              </w:rPr>
            </w:pPr>
          </w:p>
        </w:tc>
        <w:tc>
          <w:tcPr>
            <w:tcW w:w="1559" w:type="dxa"/>
          </w:tcPr>
          <w:p>
            <w:pPr>
              <w:wordWrap w:val="0"/>
              <w:spacing w:line="440" w:lineRule="exact"/>
              <w:jc w:val="center"/>
              <w:rPr>
                <w:color w:val="000000" w:themeColor="text1"/>
                <w:szCs w:val="21"/>
                <w14:textFill>
                  <w14:solidFill>
                    <w14:schemeClr w14:val="tx1"/>
                  </w14:solidFill>
                </w14:textFill>
              </w:rPr>
            </w:pPr>
          </w:p>
        </w:tc>
        <w:tc>
          <w:tcPr>
            <w:tcW w:w="709"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709"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708" w:type="dxa"/>
          </w:tcPr>
          <w:p>
            <w:pPr>
              <w:wordWrap w:val="0"/>
              <w:spacing w:line="440" w:lineRule="exact"/>
              <w:jc w:val="center"/>
              <w:rPr>
                <w:color w:val="000000" w:themeColor="text1"/>
                <w:szCs w:val="21"/>
                <w14:textFill>
                  <w14:solidFill>
                    <w14:schemeClr w14:val="tx1"/>
                  </w14:solidFill>
                </w14:textFill>
              </w:rPr>
            </w:pPr>
          </w:p>
        </w:tc>
        <w:tc>
          <w:tcPr>
            <w:tcW w:w="1044" w:type="dxa"/>
          </w:tcPr>
          <w:p>
            <w:pPr>
              <w:wordWrap w:val="0"/>
              <w:spacing w:line="4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wordWrap w:val="0"/>
              <w:spacing w:line="440" w:lineRule="exact"/>
              <w:jc w:val="center"/>
              <w:rPr>
                <w:color w:val="000000" w:themeColor="text1"/>
                <w:szCs w:val="21"/>
                <w14:textFill>
                  <w14:solidFill>
                    <w14:schemeClr w14:val="tx1"/>
                  </w14:solidFill>
                </w14:textFill>
              </w:rPr>
            </w:pPr>
          </w:p>
        </w:tc>
        <w:tc>
          <w:tcPr>
            <w:tcW w:w="1559" w:type="dxa"/>
          </w:tcPr>
          <w:p>
            <w:pPr>
              <w:wordWrap w:val="0"/>
              <w:spacing w:line="440" w:lineRule="exact"/>
              <w:jc w:val="center"/>
              <w:rPr>
                <w:color w:val="000000" w:themeColor="text1"/>
                <w:szCs w:val="21"/>
                <w14:textFill>
                  <w14:solidFill>
                    <w14:schemeClr w14:val="tx1"/>
                  </w14:solidFill>
                </w14:textFill>
              </w:rPr>
            </w:pPr>
          </w:p>
        </w:tc>
        <w:tc>
          <w:tcPr>
            <w:tcW w:w="709"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709"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708" w:type="dxa"/>
          </w:tcPr>
          <w:p>
            <w:pPr>
              <w:wordWrap w:val="0"/>
              <w:spacing w:line="440" w:lineRule="exact"/>
              <w:jc w:val="center"/>
              <w:rPr>
                <w:color w:val="000000" w:themeColor="text1"/>
                <w:szCs w:val="21"/>
                <w14:textFill>
                  <w14:solidFill>
                    <w14:schemeClr w14:val="tx1"/>
                  </w14:solidFill>
                </w14:textFill>
              </w:rPr>
            </w:pPr>
          </w:p>
        </w:tc>
        <w:tc>
          <w:tcPr>
            <w:tcW w:w="1044" w:type="dxa"/>
          </w:tcPr>
          <w:p>
            <w:pPr>
              <w:wordWrap w:val="0"/>
              <w:spacing w:line="4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wordWrap w:val="0"/>
              <w:spacing w:line="440" w:lineRule="exact"/>
              <w:jc w:val="center"/>
              <w:rPr>
                <w:color w:val="000000" w:themeColor="text1"/>
                <w:szCs w:val="21"/>
                <w14:textFill>
                  <w14:solidFill>
                    <w14:schemeClr w14:val="tx1"/>
                  </w14:solidFill>
                </w14:textFill>
              </w:rPr>
            </w:pPr>
          </w:p>
        </w:tc>
        <w:tc>
          <w:tcPr>
            <w:tcW w:w="1559" w:type="dxa"/>
          </w:tcPr>
          <w:p>
            <w:pPr>
              <w:wordWrap w:val="0"/>
              <w:spacing w:line="440" w:lineRule="exact"/>
              <w:jc w:val="center"/>
              <w:rPr>
                <w:color w:val="000000" w:themeColor="text1"/>
                <w:szCs w:val="21"/>
                <w14:textFill>
                  <w14:solidFill>
                    <w14:schemeClr w14:val="tx1"/>
                  </w14:solidFill>
                </w14:textFill>
              </w:rPr>
            </w:pPr>
          </w:p>
        </w:tc>
        <w:tc>
          <w:tcPr>
            <w:tcW w:w="709"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709"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708" w:type="dxa"/>
          </w:tcPr>
          <w:p>
            <w:pPr>
              <w:wordWrap w:val="0"/>
              <w:spacing w:line="440" w:lineRule="exact"/>
              <w:jc w:val="center"/>
              <w:rPr>
                <w:color w:val="000000" w:themeColor="text1"/>
                <w:szCs w:val="21"/>
                <w14:textFill>
                  <w14:solidFill>
                    <w14:schemeClr w14:val="tx1"/>
                  </w14:solidFill>
                </w14:textFill>
              </w:rPr>
            </w:pPr>
          </w:p>
        </w:tc>
        <w:tc>
          <w:tcPr>
            <w:tcW w:w="1044" w:type="dxa"/>
          </w:tcPr>
          <w:p>
            <w:pPr>
              <w:wordWrap w:val="0"/>
              <w:spacing w:line="4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wordWrap w:val="0"/>
              <w:spacing w:line="440" w:lineRule="exact"/>
              <w:jc w:val="center"/>
              <w:rPr>
                <w:color w:val="000000" w:themeColor="text1"/>
                <w:szCs w:val="21"/>
                <w14:textFill>
                  <w14:solidFill>
                    <w14:schemeClr w14:val="tx1"/>
                  </w14:solidFill>
                </w14:textFill>
              </w:rPr>
            </w:pPr>
          </w:p>
        </w:tc>
        <w:tc>
          <w:tcPr>
            <w:tcW w:w="1559" w:type="dxa"/>
          </w:tcPr>
          <w:p>
            <w:pPr>
              <w:wordWrap w:val="0"/>
              <w:spacing w:line="440" w:lineRule="exact"/>
              <w:jc w:val="center"/>
              <w:rPr>
                <w:color w:val="000000" w:themeColor="text1"/>
                <w:szCs w:val="21"/>
                <w14:textFill>
                  <w14:solidFill>
                    <w14:schemeClr w14:val="tx1"/>
                  </w14:solidFill>
                </w14:textFill>
              </w:rPr>
            </w:pPr>
          </w:p>
        </w:tc>
        <w:tc>
          <w:tcPr>
            <w:tcW w:w="709"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709"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708" w:type="dxa"/>
          </w:tcPr>
          <w:p>
            <w:pPr>
              <w:wordWrap w:val="0"/>
              <w:spacing w:line="440" w:lineRule="exact"/>
              <w:jc w:val="center"/>
              <w:rPr>
                <w:color w:val="000000" w:themeColor="text1"/>
                <w:szCs w:val="21"/>
                <w14:textFill>
                  <w14:solidFill>
                    <w14:schemeClr w14:val="tx1"/>
                  </w14:solidFill>
                </w14:textFill>
              </w:rPr>
            </w:pPr>
          </w:p>
        </w:tc>
        <w:tc>
          <w:tcPr>
            <w:tcW w:w="1044" w:type="dxa"/>
          </w:tcPr>
          <w:p>
            <w:pPr>
              <w:wordWrap w:val="0"/>
              <w:spacing w:line="4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wordWrap w:val="0"/>
              <w:spacing w:line="440" w:lineRule="exact"/>
              <w:jc w:val="center"/>
              <w:rPr>
                <w:color w:val="000000" w:themeColor="text1"/>
                <w:szCs w:val="21"/>
                <w14:textFill>
                  <w14:solidFill>
                    <w14:schemeClr w14:val="tx1"/>
                  </w14:solidFill>
                </w14:textFill>
              </w:rPr>
            </w:pPr>
          </w:p>
        </w:tc>
        <w:tc>
          <w:tcPr>
            <w:tcW w:w="1559" w:type="dxa"/>
          </w:tcPr>
          <w:p>
            <w:pPr>
              <w:wordWrap w:val="0"/>
              <w:spacing w:line="440" w:lineRule="exact"/>
              <w:jc w:val="center"/>
              <w:rPr>
                <w:color w:val="000000" w:themeColor="text1"/>
                <w:szCs w:val="21"/>
                <w14:textFill>
                  <w14:solidFill>
                    <w14:schemeClr w14:val="tx1"/>
                  </w14:solidFill>
                </w14:textFill>
              </w:rPr>
            </w:pPr>
          </w:p>
        </w:tc>
        <w:tc>
          <w:tcPr>
            <w:tcW w:w="709"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709"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708" w:type="dxa"/>
          </w:tcPr>
          <w:p>
            <w:pPr>
              <w:wordWrap w:val="0"/>
              <w:spacing w:line="440" w:lineRule="exact"/>
              <w:jc w:val="center"/>
              <w:rPr>
                <w:color w:val="000000" w:themeColor="text1"/>
                <w:szCs w:val="21"/>
                <w14:textFill>
                  <w14:solidFill>
                    <w14:schemeClr w14:val="tx1"/>
                  </w14:solidFill>
                </w14:textFill>
              </w:rPr>
            </w:pPr>
          </w:p>
        </w:tc>
        <w:tc>
          <w:tcPr>
            <w:tcW w:w="1044" w:type="dxa"/>
          </w:tcPr>
          <w:p>
            <w:pPr>
              <w:wordWrap w:val="0"/>
              <w:spacing w:line="4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wordWrap w:val="0"/>
              <w:spacing w:line="440" w:lineRule="exact"/>
              <w:jc w:val="center"/>
              <w:rPr>
                <w:color w:val="000000" w:themeColor="text1"/>
                <w:szCs w:val="21"/>
                <w14:textFill>
                  <w14:solidFill>
                    <w14:schemeClr w14:val="tx1"/>
                  </w14:solidFill>
                </w14:textFill>
              </w:rPr>
            </w:pPr>
          </w:p>
        </w:tc>
        <w:tc>
          <w:tcPr>
            <w:tcW w:w="1559" w:type="dxa"/>
          </w:tcPr>
          <w:p>
            <w:pPr>
              <w:wordWrap w:val="0"/>
              <w:spacing w:line="440" w:lineRule="exact"/>
              <w:jc w:val="center"/>
              <w:rPr>
                <w:color w:val="000000" w:themeColor="text1"/>
                <w:szCs w:val="21"/>
                <w14:textFill>
                  <w14:solidFill>
                    <w14:schemeClr w14:val="tx1"/>
                  </w14:solidFill>
                </w14:textFill>
              </w:rPr>
            </w:pPr>
          </w:p>
        </w:tc>
        <w:tc>
          <w:tcPr>
            <w:tcW w:w="709"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709"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708" w:type="dxa"/>
          </w:tcPr>
          <w:p>
            <w:pPr>
              <w:wordWrap w:val="0"/>
              <w:spacing w:line="440" w:lineRule="exact"/>
              <w:jc w:val="center"/>
              <w:rPr>
                <w:color w:val="000000" w:themeColor="text1"/>
                <w:szCs w:val="21"/>
                <w14:textFill>
                  <w14:solidFill>
                    <w14:schemeClr w14:val="tx1"/>
                  </w14:solidFill>
                </w14:textFill>
              </w:rPr>
            </w:pPr>
          </w:p>
        </w:tc>
        <w:tc>
          <w:tcPr>
            <w:tcW w:w="1044" w:type="dxa"/>
          </w:tcPr>
          <w:p>
            <w:pPr>
              <w:wordWrap w:val="0"/>
              <w:spacing w:line="4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wordWrap w:val="0"/>
              <w:spacing w:line="440" w:lineRule="exact"/>
              <w:jc w:val="center"/>
              <w:rPr>
                <w:color w:val="000000" w:themeColor="text1"/>
                <w:szCs w:val="21"/>
                <w14:textFill>
                  <w14:solidFill>
                    <w14:schemeClr w14:val="tx1"/>
                  </w14:solidFill>
                </w14:textFill>
              </w:rPr>
            </w:pPr>
          </w:p>
        </w:tc>
        <w:tc>
          <w:tcPr>
            <w:tcW w:w="1559" w:type="dxa"/>
          </w:tcPr>
          <w:p>
            <w:pPr>
              <w:wordWrap w:val="0"/>
              <w:spacing w:line="440" w:lineRule="exact"/>
              <w:jc w:val="center"/>
              <w:rPr>
                <w:color w:val="000000" w:themeColor="text1"/>
                <w:szCs w:val="21"/>
                <w14:textFill>
                  <w14:solidFill>
                    <w14:schemeClr w14:val="tx1"/>
                  </w14:solidFill>
                </w14:textFill>
              </w:rPr>
            </w:pPr>
          </w:p>
        </w:tc>
        <w:tc>
          <w:tcPr>
            <w:tcW w:w="709"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709"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708" w:type="dxa"/>
          </w:tcPr>
          <w:p>
            <w:pPr>
              <w:wordWrap w:val="0"/>
              <w:spacing w:line="440" w:lineRule="exact"/>
              <w:jc w:val="center"/>
              <w:rPr>
                <w:color w:val="000000" w:themeColor="text1"/>
                <w:szCs w:val="21"/>
                <w14:textFill>
                  <w14:solidFill>
                    <w14:schemeClr w14:val="tx1"/>
                  </w14:solidFill>
                </w14:textFill>
              </w:rPr>
            </w:pPr>
          </w:p>
        </w:tc>
        <w:tc>
          <w:tcPr>
            <w:tcW w:w="1044" w:type="dxa"/>
          </w:tcPr>
          <w:p>
            <w:pPr>
              <w:wordWrap w:val="0"/>
              <w:spacing w:line="4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wordWrap w:val="0"/>
              <w:spacing w:line="440" w:lineRule="exact"/>
              <w:jc w:val="center"/>
              <w:rPr>
                <w:color w:val="000000" w:themeColor="text1"/>
                <w:szCs w:val="21"/>
                <w14:textFill>
                  <w14:solidFill>
                    <w14:schemeClr w14:val="tx1"/>
                  </w14:solidFill>
                </w14:textFill>
              </w:rPr>
            </w:pPr>
          </w:p>
        </w:tc>
        <w:tc>
          <w:tcPr>
            <w:tcW w:w="1559" w:type="dxa"/>
          </w:tcPr>
          <w:p>
            <w:pPr>
              <w:wordWrap w:val="0"/>
              <w:spacing w:line="440" w:lineRule="exact"/>
              <w:jc w:val="center"/>
              <w:rPr>
                <w:color w:val="000000" w:themeColor="text1"/>
                <w:szCs w:val="21"/>
                <w14:textFill>
                  <w14:solidFill>
                    <w14:schemeClr w14:val="tx1"/>
                  </w14:solidFill>
                </w14:textFill>
              </w:rPr>
            </w:pPr>
          </w:p>
        </w:tc>
        <w:tc>
          <w:tcPr>
            <w:tcW w:w="709"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709"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708" w:type="dxa"/>
          </w:tcPr>
          <w:p>
            <w:pPr>
              <w:wordWrap w:val="0"/>
              <w:spacing w:line="440" w:lineRule="exact"/>
              <w:jc w:val="center"/>
              <w:rPr>
                <w:color w:val="000000" w:themeColor="text1"/>
                <w:szCs w:val="21"/>
                <w14:textFill>
                  <w14:solidFill>
                    <w14:schemeClr w14:val="tx1"/>
                  </w14:solidFill>
                </w14:textFill>
              </w:rPr>
            </w:pPr>
          </w:p>
        </w:tc>
        <w:tc>
          <w:tcPr>
            <w:tcW w:w="1044" w:type="dxa"/>
          </w:tcPr>
          <w:p>
            <w:pPr>
              <w:wordWrap w:val="0"/>
              <w:spacing w:line="4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wordWrap w:val="0"/>
              <w:spacing w:line="440" w:lineRule="exact"/>
              <w:jc w:val="center"/>
              <w:rPr>
                <w:color w:val="000000" w:themeColor="text1"/>
                <w:szCs w:val="21"/>
                <w14:textFill>
                  <w14:solidFill>
                    <w14:schemeClr w14:val="tx1"/>
                  </w14:solidFill>
                </w14:textFill>
              </w:rPr>
            </w:pPr>
          </w:p>
        </w:tc>
        <w:tc>
          <w:tcPr>
            <w:tcW w:w="1559" w:type="dxa"/>
          </w:tcPr>
          <w:p>
            <w:pPr>
              <w:wordWrap w:val="0"/>
              <w:spacing w:line="440" w:lineRule="exact"/>
              <w:jc w:val="center"/>
              <w:rPr>
                <w:color w:val="000000" w:themeColor="text1"/>
                <w:szCs w:val="21"/>
                <w14:textFill>
                  <w14:solidFill>
                    <w14:schemeClr w14:val="tx1"/>
                  </w14:solidFill>
                </w14:textFill>
              </w:rPr>
            </w:pPr>
          </w:p>
        </w:tc>
        <w:tc>
          <w:tcPr>
            <w:tcW w:w="709"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709"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708" w:type="dxa"/>
          </w:tcPr>
          <w:p>
            <w:pPr>
              <w:wordWrap w:val="0"/>
              <w:spacing w:line="440" w:lineRule="exact"/>
              <w:jc w:val="center"/>
              <w:rPr>
                <w:color w:val="000000" w:themeColor="text1"/>
                <w:szCs w:val="21"/>
                <w14:textFill>
                  <w14:solidFill>
                    <w14:schemeClr w14:val="tx1"/>
                  </w14:solidFill>
                </w14:textFill>
              </w:rPr>
            </w:pPr>
          </w:p>
        </w:tc>
        <w:tc>
          <w:tcPr>
            <w:tcW w:w="1044" w:type="dxa"/>
          </w:tcPr>
          <w:p>
            <w:pPr>
              <w:wordWrap w:val="0"/>
              <w:spacing w:line="4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wordWrap w:val="0"/>
              <w:spacing w:line="440" w:lineRule="exact"/>
              <w:jc w:val="center"/>
              <w:rPr>
                <w:color w:val="000000" w:themeColor="text1"/>
                <w:szCs w:val="21"/>
                <w14:textFill>
                  <w14:solidFill>
                    <w14:schemeClr w14:val="tx1"/>
                  </w14:solidFill>
                </w14:textFill>
              </w:rPr>
            </w:pPr>
          </w:p>
        </w:tc>
        <w:tc>
          <w:tcPr>
            <w:tcW w:w="1559" w:type="dxa"/>
          </w:tcPr>
          <w:p>
            <w:pPr>
              <w:wordWrap w:val="0"/>
              <w:spacing w:line="440" w:lineRule="exact"/>
              <w:jc w:val="center"/>
              <w:rPr>
                <w:color w:val="000000" w:themeColor="text1"/>
                <w:szCs w:val="21"/>
                <w14:textFill>
                  <w14:solidFill>
                    <w14:schemeClr w14:val="tx1"/>
                  </w14:solidFill>
                </w14:textFill>
              </w:rPr>
            </w:pPr>
          </w:p>
        </w:tc>
        <w:tc>
          <w:tcPr>
            <w:tcW w:w="709"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709"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708" w:type="dxa"/>
          </w:tcPr>
          <w:p>
            <w:pPr>
              <w:wordWrap w:val="0"/>
              <w:spacing w:line="440" w:lineRule="exact"/>
              <w:jc w:val="center"/>
              <w:rPr>
                <w:color w:val="000000" w:themeColor="text1"/>
                <w:szCs w:val="21"/>
                <w14:textFill>
                  <w14:solidFill>
                    <w14:schemeClr w14:val="tx1"/>
                  </w14:solidFill>
                </w14:textFill>
              </w:rPr>
            </w:pPr>
          </w:p>
        </w:tc>
        <w:tc>
          <w:tcPr>
            <w:tcW w:w="1044" w:type="dxa"/>
          </w:tcPr>
          <w:p>
            <w:pPr>
              <w:wordWrap w:val="0"/>
              <w:spacing w:line="4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wordWrap w:val="0"/>
              <w:spacing w:line="440" w:lineRule="exact"/>
              <w:jc w:val="center"/>
              <w:rPr>
                <w:color w:val="000000" w:themeColor="text1"/>
                <w:szCs w:val="21"/>
                <w14:textFill>
                  <w14:solidFill>
                    <w14:schemeClr w14:val="tx1"/>
                  </w14:solidFill>
                </w14:textFill>
              </w:rPr>
            </w:pPr>
          </w:p>
        </w:tc>
        <w:tc>
          <w:tcPr>
            <w:tcW w:w="1559" w:type="dxa"/>
          </w:tcPr>
          <w:p>
            <w:pPr>
              <w:wordWrap w:val="0"/>
              <w:spacing w:line="440" w:lineRule="exact"/>
              <w:jc w:val="center"/>
              <w:rPr>
                <w:color w:val="000000" w:themeColor="text1"/>
                <w:szCs w:val="21"/>
                <w14:textFill>
                  <w14:solidFill>
                    <w14:schemeClr w14:val="tx1"/>
                  </w14:solidFill>
                </w14:textFill>
              </w:rPr>
            </w:pPr>
          </w:p>
        </w:tc>
        <w:tc>
          <w:tcPr>
            <w:tcW w:w="709"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709"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708" w:type="dxa"/>
          </w:tcPr>
          <w:p>
            <w:pPr>
              <w:wordWrap w:val="0"/>
              <w:spacing w:line="440" w:lineRule="exact"/>
              <w:jc w:val="center"/>
              <w:rPr>
                <w:color w:val="000000" w:themeColor="text1"/>
                <w:szCs w:val="21"/>
                <w14:textFill>
                  <w14:solidFill>
                    <w14:schemeClr w14:val="tx1"/>
                  </w14:solidFill>
                </w14:textFill>
              </w:rPr>
            </w:pPr>
          </w:p>
        </w:tc>
        <w:tc>
          <w:tcPr>
            <w:tcW w:w="1044" w:type="dxa"/>
          </w:tcPr>
          <w:p>
            <w:pPr>
              <w:wordWrap w:val="0"/>
              <w:spacing w:line="4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wordWrap w:val="0"/>
              <w:spacing w:line="440" w:lineRule="exact"/>
              <w:jc w:val="center"/>
              <w:rPr>
                <w:color w:val="000000" w:themeColor="text1"/>
                <w:szCs w:val="21"/>
                <w14:textFill>
                  <w14:solidFill>
                    <w14:schemeClr w14:val="tx1"/>
                  </w14:solidFill>
                </w14:textFill>
              </w:rPr>
            </w:pPr>
          </w:p>
        </w:tc>
        <w:tc>
          <w:tcPr>
            <w:tcW w:w="1559" w:type="dxa"/>
          </w:tcPr>
          <w:p>
            <w:pPr>
              <w:wordWrap w:val="0"/>
              <w:spacing w:line="440" w:lineRule="exact"/>
              <w:jc w:val="center"/>
              <w:rPr>
                <w:color w:val="000000" w:themeColor="text1"/>
                <w:szCs w:val="21"/>
                <w14:textFill>
                  <w14:solidFill>
                    <w14:schemeClr w14:val="tx1"/>
                  </w14:solidFill>
                </w14:textFill>
              </w:rPr>
            </w:pPr>
          </w:p>
        </w:tc>
        <w:tc>
          <w:tcPr>
            <w:tcW w:w="709"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709"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708" w:type="dxa"/>
          </w:tcPr>
          <w:p>
            <w:pPr>
              <w:wordWrap w:val="0"/>
              <w:spacing w:line="440" w:lineRule="exact"/>
              <w:jc w:val="center"/>
              <w:rPr>
                <w:color w:val="000000" w:themeColor="text1"/>
                <w:szCs w:val="21"/>
                <w14:textFill>
                  <w14:solidFill>
                    <w14:schemeClr w14:val="tx1"/>
                  </w14:solidFill>
                </w14:textFill>
              </w:rPr>
            </w:pPr>
          </w:p>
        </w:tc>
        <w:tc>
          <w:tcPr>
            <w:tcW w:w="1044" w:type="dxa"/>
          </w:tcPr>
          <w:p>
            <w:pPr>
              <w:wordWrap w:val="0"/>
              <w:spacing w:line="4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wordWrap w:val="0"/>
              <w:spacing w:line="440" w:lineRule="exact"/>
              <w:jc w:val="center"/>
              <w:rPr>
                <w:color w:val="000000" w:themeColor="text1"/>
                <w:szCs w:val="21"/>
                <w14:textFill>
                  <w14:solidFill>
                    <w14:schemeClr w14:val="tx1"/>
                  </w14:solidFill>
                </w14:textFill>
              </w:rPr>
            </w:pPr>
          </w:p>
        </w:tc>
        <w:tc>
          <w:tcPr>
            <w:tcW w:w="1559" w:type="dxa"/>
          </w:tcPr>
          <w:p>
            <w:pPr>
              <w:wordWrap w:val="0"/>
              <w:spacing w:line="440" w:lineRule="exact"/>
              <w:jc w:val="center"/>
              <w:rPr>
                <w:color w:val="000000" w:themeColor="text1"/>
                <w:szCs w:val="21"/>
                <w14:textFill>
                  <w14:solidFill>
                    <w14:schemeClr w14:val="tx1"/>
                  </w14:solidFill>
                </w14:textFill>
              </w:rPr>
            </w:pPr>
          </w:p>
        </w:tc>
        <w:tc>
          <w:tcPr>
            <w:tcW w:w="709"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709"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1134" w:type="dxa"/>
          </w:tcPr>
          <w:p>
            <w:pPr>
              <w:wordWrap w:val="0"/>
              <w:spacing w:line="440" w:lineRule="exact"/>
              <w:jc w:val="center"/>
              <w:rPr>
                <w:color w:val="000000" w:themeColor="text1"/>
                <w:szCs w:val="21"/>
                <w14:textFill>
                  <w14:solidFill>
                    <w14:schemeClr w14:val="tx1"/>
                  </w14:solidFill>
                </w14:textFill>
              </w:rPr>
            </w:pPr>
          </w:p>
        </w:tc>
        <w:tc>
          <w:tcPr>
            <w:tcW w:w="708" w:type="dxa"/>
          </w:tcPr>
          <w:p>
            <w:pPr>
              <w:wordWrap w:val="0"/>
              <w:spacing w:line="440" w:lineRule="exact"/>
              <w:jc w:val="center"/>
              <w:rPr>
                <w:color w:val="000000" w:themeColor="text1"/>
                <w:szCs w:val="21"/>
                <w14:textFill>
                  <w14:solidFill>
                    <w14:schemeClr w14:val="tx1"/>
                  </w14:solidFill>
                </w14:textFill>
              </w:rPr>
            </w:pPr>
          </w:p>
        </w:tc>
        <w:tc>
          <w:tcPr>
            <w:tcW w:w="1044" w:type="dxa"/>
          </w:tcPr>
          <w:p>
            <w:pPr>
              <w:wordWrap w:val="0"/>
              <w:spacing w:line="440" w:lineRule="exact"/>
              <w:jc w:val="center"/>
              <w:rPr>
                <w:color w:val="000000" w:themeColor="text1"/>
                <w:szCs w:val="21"/>
                <w14:textFill>
                  <w14:solidFill>
                    <w14:schemeClr w14:val="tx1"/>
                  </w14:solidFill>
                </w14:textFill>
              </w:rPr>
            </w:pPr>
          </w:p>
        </w:tc>
      </w:tr>
    </w:tbl>
    <w:p>
      <w:pPr>
        <w:wordWrap w:val="0"/>
        <w:spacing w:line="440" w:lineRule="exact"/>
        <w:ind w:left="210" w:leftChars="100"/>
        <w:jc w:val="center"/>
        <w:rPr>
          <w:rFonts w:eastAsia="黑体"/>
          <w:color w:val="000000" w:themeColor="text1"/>
          <w:sz w:val="20"/>
          <w:szCs w:val="20"/>
          <w14:textFill>
            <w14:solidFill>
              <w14:schemeClr w14:val="tx1"/>
            </w14:solidFill>
          </w14:textFill>
        </w:rPr>
      </w:pPr>
    </w:p>
    <w:p>
      <w:pPr>
        <w:keepNext/>
        <w:keepLines/>
        <w:wordWrap w:val="0"/>
        <w:spacing w:before="100" w:line="400" w:lineRule="exact"/>
        <w:jc w:val="center"/>
        <w:outlineLvl w:val="1"/>
        <w:rPr>
          <w:rFonts w:eastAsia="黑体" w:cs="宋体"/>
          <w:color w:val="000000" w:themeColor="text1"/>
          <w:sz w:val="28"/>
          <w:szCs w:val="20"/>
          <w14:textFill>
            <w14:solidFill>
              <w14:schemeClr w14:val="tx1"/>
            </w14:solidFill>
          </w14:textFill>
        </w:rPr>
      </w:pPr>
      <w:r>
        <w:rPr>
          <w:color w:val="000000" w:themeColor="text1"/>
          <w14:textFill>
            <w14:solidFill>
              <w14:schemeClr w14:val="tx1"/>
            </w14:solidFill>
          </w14:textFill>
        </w:rPr>
        <w:br w:type="page"/>
      </w:r>
    </w:p>
    <w:p>
      <w:pPr>
        <w:keepNext/>
        <w:keepLines/>
        <w:wordWrap w:val="0"/>
        <w:spacing w:before="100" w:line="400" w:lineRule="exact"/>
        <w:jc w:val="center"/>
        <w:outlineLvl w:val="1"/>
        <w:rPr>
          <w:rFonts w:eastAsia="黑体" w:cs="宋体"/>
          <w:color w:val="000000" w:themeColor="text1"/>
          <w:sz w:val="28"/>
          <w:szCs w:val="20"/>
          <w14:textFill>
            <w14:solidFill>
              <w14:schemeClr w14:val="tx1"/>
            </w14:solidFill>
          </w14:textFill>
        </w:rPr>
      </w:pPr>
      <w:r>
        <w:rPr>
          <w:rFonts w:hint="eastAsia" w:eastAsia="黑体" w:cs="宋体"/>
          <w:color w:val="000000" w:themeColor="text1"/>
          <w:sz w:val="28"/>
          <w:szCs w:val="20"/>
          <w14:textFill>
            <w14:solidFill>
              <w14:schemeClr w14:val="tx1"/>
            </w14:solidFill>
          </w14:textFill>
        </w:rPr>
        <w:t>工程总承包项目经理及主要项目管理人员简历简历表</w:t>
      </w:r>
    </w:p>
    <w:tbl>
      <w:tblPr>
        <w:tblStyle w:val="43"/>
        <w:tblW w:w="83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759"/>
        <w:gridCol w:w="1138"/>
        <w:gridCol w:w="759"/>
        <w:gridCol w:w="380"/>
        <w:gridCol w:w="1139"/>
        <w:gridCol w:w="1264"/>
        <w:gridCol w:w="254"/>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139" w:type="dxa"/>
            <w:vAlign w:val="center"/>
          </w:tcPr>
          <w:p>
            <w:pPr>
              <w:wordWrap w:val="0"/>
              <w:spacing w:line="300" w:lineRule="exact"/>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姓名</w:t>
            </w:r>
          </w:p>
        </w:tc>
        <w:tc>
          <w:tcPr>
            <w:tcW w:w="1897" w:type="dxa"/>
            <w:gridSpan w:val="2"/>
            <w:vAlign w:val="center"/>
          </w:tcPr>
          <w:p>
            <w:pPr>
              <w:wordWrap w:val="0"/>
              <w:spacing w:line="300" w:lineRule="exact"/>
              <w:jc w:val="center"/>
              <w:rPr>
                <w:rFonts w:cs="宋体"/>
                <w:color w:val="000000" w:themeColor="text1"/>
                <w:szCs w:val="21"/>
                <w14:textFill>
                  <w14:solidFill>
                    <w14:schemeClr w14:val="tx1"/>
                  </w14:solidFill>
                </w14:textFill>
              </w:rPr>
            </w:pPr>
          </w:p>
        </w:tc>
        <w:tc>
          <w:tcPr>
            <w:tcW w:w="1139" w:type="dxa"/>
            <w:gridSpan w:val="2"/>
            <w:vAlign w:val="center"/>
          </w:tcPr>
          <w:p>
            <w:pPr>
              <w:wordWrap w:val="0"/>
              <w:spacing w:line="300" w:lineRule="exact"/>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性别</w:t>
            </w:r>
          </w:p>
        </w:tc>
        <w:tc>
          <w:tcPr>
            <w:tcW w:w="1139" w:type="dxa"/>
            <w:vAlign w:val="center"/>
          </w:tcPr>
          <w:p>
            <w:pPr>
              <w:wordWrap w:val="0"/>
              <w:spacing w:line="300" w:lineRule="exact"/>
              <w:jc w:val="center"/>
              <w:rPr>
                <w:rFonts w:cs="宋体"/>
                <w:color w:val="000000" w:themeColor="text1"/>
                <w:szCs w:val="21"/>
                <w14:textFill>
                  <w14:solidFill>
                    <w14:schemeClr w14:val="tx1"/>
                  </w14:solidFill>
                </w14:textFill>
              </w:rPr>
            </w:pPr>
          </w:p>
        </w:tc>
        <w:tc>
          <w:tcPr>
            <w:tcW w:w="1518" w:type="dxa"/>
            <w:gridSpan w:val="2"/>
            <w:vAlign w:val="center"/>
          </w:tcPr>
          <w:p>
            <w:pPr>
              <w:wordWrap w:val="0"/>
              <w:spacing w:line="300" w:lineRule="exact"/>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年龄</w:t>
            </w:r>
          </w:p>
        </w:tc>
        <w:tc>
          <w:tcPr>
            <w:tcW w:w="1519" w:type="dxa"/>
            <w:vAlign w:val="center"/>
          </w:tcPr>
          <w:p>
            <w:pPr>
              <w:wordWrap w:val="0"/>
              <w:spacing w:line="300" w:lineRule="exact"/>
              <w:jc w:val="center"/>
              <w:rPr>
                <w:rFonts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139" w:type="dxa"/>
            <w:vAlign w:val="center"/>
          </w:tcPr>
          <w:p>
            <w:pPr>
              <w:wordWrap w:val="0"/>
              <w:spacing w:line="300" w:lineRule="exact"/>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职务</w:t>
            </w:r>
          </w:p>
        </w:tc>
        <w:tc>
          <w:tcPr>
            <w:tcW w:w="1897" w:type="dxa"/>
            <w:gridSpan w:val="2"/>
            <w:vAlign w:val="center"/>
          </w:tcPr>
          <w:p>
            <w:pPr>
              <w:wordWrap w:val="0"/>
              <w:spacing w:line="300" w:lineRule="exact"/>
              <w:jc w:val="center"/>
              <w:rPr>
                <w:rFonts w:cs="宋体"/>
                <w:color w:val="000000" w:themeColor="text1"/>
                <w:szCs w:val="21"/>
                <w14:textFill>
                  <w14:solidFill>
                    <w14:schemeClr w14:val="tx1"/>
                  </w14:solidFill>
                </w14:textFill>
              </w:rPr>
            </w:pPr>
          </w:p>
        </w:tc>
        <w:tc>
          <w:tcPr>
            <w:tcW w:w="1139" w:type="dxa"/>
            <w:gridSpan w:val="2"/>
            <w:vAlign w:val="center"/>
          </w:tcPr>
          <w:p>
            <w:pPr>
              <w:wordWrap w:val="0"/>
              <w:spacing w:line="300" w:lineRule="exact"/>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职称</w:t>
            </w:r>
          </w:p>
        </w:tc>
        <w:tc>
          <w:tcPr>
            <w:tcW w:w="1139" w:type="dxa"/>
            <w:vAlign w:val="center"/>
          </w:tcPr>
          <w:p>
            <w:pPr>
              <w:wordWrap w:val="0"/>
              <w:spacing w:line="300" w:lineRule="exact"/>
              <w:jc w:val="center"/>
              <w:rPr>
                <w:rFonts w:cs="宋体"/>
                <w:color w:val="000000" w:themeColor="text1"/>
                <w:szCs w:val="21"/>
                <w14:textFill>
                  <w14:solidFill>
                    <w14:schemeClr w14:val="tx1"/>
                  </w14:solidFill>
                </w14:textFill>
              </w:rPr>
            </w:pPr>
          </w:p>
        </w:tc>
        <w:tc>
          <w:tcPr>
            <w:tcW w:w="1518" w:type="dxa"/>
            <w:gridSpan w:val="2"/>
            <w:vAlign w:val="center"/>
          </w:tcPr>
          <w:p>
            <w:pPr>
              <w:wordWrap w:val="0"/>
              <w:spacing w:line="300" w:lineRule="exact"/>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学历</w:t>
            </w:r>
          </w:p>
        </w:tc>
        <w:tc>
          <w:tcPr>
            <w:tcW w:w="1519" w:type="dxa"/>
            <w:vAlign w:val="center"/>
          </w:tcPr>
          <w:p>
            <w:pPr>
              <w:wordWrap w:val="0"/>
              <w:spacing w:line="300" w:lineRule="exact"/>
              <w:jc w:val="center"/>
              <w:rPr>
                <w:rFonts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898" w:type="dxa"/>
            <w:gridSpan w:val="2"/>
            <w:vAlign w:val="center"/>
          </w:tcPr>
          <w:p>
            <w:pPr>
              <w:wordWrap w:val="0"/>
              <w:spacing w:line="300" w:lineRule="exact"/>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职业资格证书（职称证书）名称及等级、证书号</w:t>
            </w:r>
          </w:p>
        </w:tc>
        <w:tc>
          <w:tcPr>
            <w:tcW w:w="1897" w:type="dxa"/>
            <w:gridSpan w:val="2"/>
            <w:vAlign w:val="center"/>
          </w:tcPr>
          <w:p>
            <w:pPr>
              <w:wordWrap w:val="0"/>
              <w:spacing w:line="300" w:lineRule="exact"/>
              <w:jc w:val="center"/>
              <w:rPr>
                <w:rFonts w:cs="宋体"/>
                <w:color w:val="000000" w:themeColor="text1"/>
                <w:szCs w:val="21"/>
                <w14:textFill>
                  <w14:solidFill>
                    <w14:schemeClr w14:val="tx1"/>
                  </w14:solidFill>
                </w14:textFill>
              </w:rPr>
            </w:pPr>
          </w:p>
        </w:tc>
        <w:tc>
          <w:tcPr>
            <w:tcW w:w="2783" w:type="dxa"/>
            <w:gridSpan w:val="3"/>
            <w:vAlign w:val="center"/>
          </w:tcPr>
          <w:p>
            <w:pPr>
              <w:wordWrap w:val="0"/>
              <w:spacing w:line="300" w:lineRule="exact"/>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专业</w:t>
            </w:r>
          </w:p>
        </w:tc>
        <w:tc>
          <w:tcPr>
            <w:tcW w:w="1773" w:type="dxa"/>
            <w:gridSpan w:val="2"/>
            <w:vAlign w:val="center"/>
          </w:tcPr>
          <w:p>
            <w:pPr>
              <w:wordWrap w:val="0"/>
              <w:spacing w:line="300" w:lineRule="exact"/>
              <w:jc w:val="center"/>
              <w:rPr>
                <w:rFonts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898" w:type="dxa"/>
            <w:gridSpan w:val="2"/>
            <w:vAlign w:val="center"/>
          </w:tcPr>
          <w:p>
            <w:pPr>
              <w:wordWrap w:val="0"/>
              <w:spacing w:line="300" w:lineRule="exact"/>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参加工作时间</w:t>
            </w:r>
          </w:p>
        </w:tc>
        <w:tc>
          <w:tcPr>
            <w:tcW w:w="1897" w:type="dxa"/>
            <w:gridSpan w:val="2"/>
            <w:vAlign w:val="center"/>
          </w:tcPr>
          <w:p>
            <w:pPr>
              <w:wordWrap w:val="0"/>
              <w:spacing w:line="300" w:lineRule="exact"/>
              <w:jc w:val="center"/>
              <w:rPr>
                <w:rFonts w:cs="宋体"/>
                <w:color w:val="000000" w:themeColor="text1"/>
                <w:szCs w:val="21"/>
                <w14:textFill>
                  <w14:solidFill>
                    <w14:schemeClr w14:val="tx1"/>
                  </w14:solidFill>
                </w14:textFill>
              </w:rPr>
            </w:pPr>
          </w:p>
        </w:tc>
        <w:tc>
          <w:tcPr>
            <w:tcW w:w="2783" w:type="dxa"/>
            <w:gridSpan w:val="3"/>
            <w:vAlign w:val="center"/>
          </w:tcPr>
          <w:p>
            <w:pPr>
              <w:wordWrap w:val="0"/>
              <w:spacing w:line="300" w:lineRule="exact"/>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从事项目经理年限</w:t>
            </w:r>
          </w:p>
        </w:tc>
        <w:tc>
          <w:tcPr>
            <w:tcW w:w="1773" w:type="dxa"/>
            <w:gridSpan w:val="2"/>
            <w:vAlign w:val="center"/>
          </w:tcPr>
          <w:p>
            <w:pPr>
              <w:wordWrap w:val="0"/>
              <w:spacing w:line="300" w:lineRule="exact"/>
              <w:jc w:val="center"/>
              <w:rPr>
                <w:rFonts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351" w:type="dxa"/>
            <w:gridSpan w:val="9"/>
            <w:vAlign w:val="center"/>
          </w:tcPr>
          <w:p>
            <w:pPr>
              <w:wordWrap w:val="0"/>
              <w:spacing w:line="300" w:lineRule="exact"/>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0" w:hRule="atLeast"/>
        </w:trPr>
        <w:tc>
          <w:tcPr>
            <w:tcW w:w="8351" w:type="dxa"/>
            <w:gridSpan w:val="9"/>
            <w:tcBorders>
              <w:bottom w:val="single" w:color="auto" w:sz="4" w:space="0"/>
            </w:tcBorders>
          </w:tcPr>
          <w:p>
            <w:pPr>
              <w:wordWrap w:val="0"/>
              <w:spacing w:line="300" w:lineRule="exact"/>
              <w:rPr>
                <w:rFonts w:cs="Courier New"/>
                <w:color w:val="000000" w:themeColor="text1"/>
                <w:szCs w:val="21"/>
                <w14:textFill>
                  <w14:solidFill>
                    <w14:schemeClr w14:val="tx1"/>
                  </w14:solidFill>
                </w14:textFill>
              </w:rPr>
            </w:pPr>
          </w:p>
        </w:tc>
      </w:tr>
    </w:tbl>
    <w:p>
      <w:pPr>
        <w:wordWrap w:val="0"/>
        <w:spacing w:line="20" w:lineRule="exact"/>
        <w:rPr>
          <w:rFonts w:eastAsia="黑体"/>
          <w:color w:val="000000" w:themeColor="text1"/>
          <w:szCs w:val="21"/>
          <w14:textFill>
            <w14:solidFill>
              <w14:schemeClr w14:val="tx1"/>
            </w14:solidFill>
          </w14:textFill>
        </w:rPr>
      </w:pPr>
    </w:p>
    <w:p>
      <w:pPr>
        <w:wordWrap w:val="0"/>
        <w:spacing w:line="20" w:lineRule="exact"/>
        <w:rPr>
          <w:rFonts w:eastAsia="黑体" w:cs="黑体"/>
          <w:color w:val="000000" w:themeColor="text1"/>
          <w14:textFill>
            <w14:solidFill>
              <w14:schemeClr w14:val="tx1"/>
            </w14:solidFill>
          </w14:textFill>
        </w:rPr>
      </w:pPr>
    </w:p>
    <w:p>
      <w:pPr>
        <w:wordWrap w:val="0"/>
        <w:spacing w:before="120" w:beforeLines="50" w:after="120" w:afterLines="50" w:line="440" w:lineRule="exact"/>
        <w:ind w:left="772" w:leftChars="100" w:hanging="562" w:hangingChars="200"/>
        <w:jc w:val="center"/>
        <w:rPr>
          <w:b/>
          <w:color w:val="000000" w:themeColor="text1"/>
          <w:sz w:val="28"/>
          <w:szCs w:val="28"/>
          <w14:textFill>
            <w14:solidFill>
              <w14:schemeClr w14:val="tx1"/>
            </w14:solidFill>
          </w14:textFill>
        </w:rPr>
        <w:sectPr>
          <w:pgSz w:w="11907" w:h="16840"/>
          <w:pgMar w:top="1440" w:right="1559" w:bottom="1440" w:left="1560" w:header="851" w:footer="851" w:gutter="0"/>
          <w:pgBorders>
            <w:top w:val="none" w:sz="0" w:space="0"/>
            <w:left w:val="none" w:sz="0" w:space="0"/>
            <w:bottom w:val="none" w:sz="0" w:space="0"/>
            <w:right w:val="none" w:sz="0" w:space="0"/>
          </w:pgBorders>
          <w:pgNumType w:fmt="decimal"/>
          <w:cols w:space="720" w:num="1"/>
          <w:docGrid w:linePitch="312" w:charSpace="0"/>
        </w:sectPr>
      </w:pPr>
    </w:p>
    <w:p>
      <w:pPr>
        <w:keepNext/>
        <w:keepLines/>
        <w:wordWrap w:val="0"/>
        <w:spacing w:before="100" w:line="400" w:lineRule="exact"/>
        <w:jc w:val="center"/>
        <w:outlineLvl w:val="1"/>
        <w:rPr>
          <w:rFonts w:eastAsia="黑体" w:cs="宋体"/>
          <w:color w:val="000000" w:themeColor="text1"/>
          <w:sz w:val="28"/>
          <w:szCs w:val="20"/>
          <w14:textFill>
            <w14:solidFill>
              <w14:schemeClr w14:val="tx1"/>
            </w14:solidFill>
          </w14:textFill>
        </w:rPr>
      </w:pPr>
      <w:r>
        <w:rPr>
          <w:rFonts w:hint="eastAsia" w:eastAsia="黑体" w:cs="宋体"/>
          <w:color w:val="000000" w:themeColor="text1"/>
          <w:sz w:val="28"/>
          <w:szCs w:val="20"/>
          <w14:textFill>
            <w14:solidFill>
              <w14:schemeClr w14:val="tx1"/>
            </w14:solidFill>
          </w14:textFill>
        </w:rPr>
        <w:t>投标人（工程总承包项目经理）</w:t>
      </w:r>
      <w:r>
        <w:rPr>
          <w:rFonts w:eastAsia="黑体" w:cs="宋体"/>
          <w:color w:val="000000" w:themeColor="text1"/>
          <w:sz w:val="28"/>
          <w:szCs w:val="20"/>
          <w14:textFill>
            <w14:solidFill>
              <w14:schemeClr w14:val="tx1"/>
            </w14:solidFill>
          </w14:textFill>
        </w:rPr>
        <w:t>类似工程</w:t>
      </w:r>
      <w:r>
        <w:rPr>
          <w:rFonts w:hint="eastAsia" w:eastAsia="黑体" w:cs="宋体"/>
          <w:color w:val="000000" w:themeColor="text1"/>
          <w:sz w:val="28"/>
          <w:szCs w:val="20"/>
          <w14:textFill>
            <w14:solidFill>
              <w14:schemeClr w14:val="tx1"/>
            </w14:solidFill>
          </w14:textFill>
        </w:rPr>
        <w:t>业绩一</w:t>
      </w:r>
      <w:r>
        <w:rPr>
          <w:rFonts w:eastAsia="黑体" w:cs="宋体"/>
          <w:color w:val="000000" w:themeColor="text1"/>
          <w:sz w:val="28"/>
          <w:szCs w:val="20"/>
          <w14:textFill>
            <w14:solidFill>
              <w14:schemeClr w14:val="tx1"/>
            </w14:solidFill>
          </w14:textFill>
        </w:rPr>
        <w:t>览表</w:t>
      </w:r>
    </w:p>
    <w:p>
      <w:pPr>
        <w:tabs>
          <w:tab w:val="left" w:pos="826"/>
        </w:tabs>
        <w:wordWrap w:val="0"/>
        <w:snapToGrid w:val="0"/>
        <w:jc w:val="center"/>
        <w:rPr>
          <w:b/>
          <w:color w:val="000000" w:themeColor="text1"/>
          <w:sz w:val="24"/>
          <w14:textFill>
            <w14:solidFill>
              <w14:schemeClr w14:val="tx1"/>
            </w14:solidFill>
          </w14:textFill>
        </w:rPr>
      </w:pPr>
    </w:p>
    <w:tbl>
      <w:tblPr>
        <w:tblStyle w:val="43"/>
        <w:tblW w:w="78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737"/>
        <w:gridCol w:w="1366"/>
        <w:gridCol w:w="821"/>
        <w:gridCol w:w="1013"/>
        <w:gridCol w:w="1094"/>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723" w:type="dxa"/>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序号</w:t>
            </w:r>
          </w:p>
        </w:tc>
        <w:tc>
          <w:tcPr>
            <w:tcW w:w="1737" w:type="dxa"/>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发包人名称</w:t>
            </w:r>
          </w:p>
        </w:tc>
        <w:tc>
          <w:tcPr>
            <w:tcW w:w="1366" w:type="dxa"/>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工程名称</w:t>
            </w:r>
          </w:p>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及建设地点</w:t>
            </w:r>
          </w:p>
        </w:tc>
        <w:tc>
          <w:tcPr>
            <w:tcW w:w="821" w:type="dxa"/>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建设</w:t>
            </w:r>
          </w:p>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规模</w:t>
            </w:r>
          </w:p>
        </w:tc>
        <w:tc>
          <w:tcPr>
            <w:tcW w:w="1013" w:type="dxa"/>
            <w:vAlign w:val="center"/>
          </w:tcPr>
          <w:p>
            <w:pPr>
              <w:wordWrap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项目</w:t>
            </w:r>
          </w:p>
          <w:p>
            <w:pPr>
              <w:wordWrap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经理</w:t>
            </w:r>
          </w:p>
        </w:tc>
        <w:tc>
          <w:tcPr>
            <w:tcW w:w="1094" w:type="dxa"/>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合同金额</w:t>
            </w:r>
          </w:p>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（万元）</w:t>
            </w:r>
          </w:p>
        </w:tc>
        <w:tc>
          <w:tcPr>
            <w:tcW w:w="1093" w:type="dxa"/>
            <w:vAlign w:val="center"/>
          </w:tcPr>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开竣工</w:t>
            </w:r>
          </w:p>
          <w:p>
            <w:pPr>
              <w:wordWrap w:val="0"/>
              <w:jc w:val="center"/>
              <w:rPr>
                <w:color w:val="000000" w:themeColor="text1"/>
                <w14:textFill>
                  <w14:solidFill>
                    <w14:schemeClr w14:val="tx1"/>
                  </w14:solidFill>
                </w14:textFill>
              </w:rPr>
            </w:pPr>
            <w:r>
              <w:rPr>
                <w:color w:val="000000" w:themeColor="text1"/>
                <w14:textFill>
                  <w14:solidFill>
                    <w14:schemeClr w14:val="tx1"/>
                  </w14:solidFill>
                </w14:textFill>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23" w:type="dxa"/>
            <w:vAlign w:val="center"/>
          </w:tcPr>
          <w:p>
            <w:pPr>
              <w:wordWrap w:val="0"/>
              <w:jc w:val="center"/>
              <w:rPr>
                <w:color w:val="000000" w:themeColor="text1"/>
                <w14:textFill>
                  <w14:solidFill>
                    <w14:schemeClr w14:val="tx1"/>
                  </w14:solidFill>
                </w14:textFill>
              </w:rPr>
            </w:pPr>
          </w:p>
        </w:tc>
        <w:tc>
          <w:tcPr>
            <w:tcW w:w="1737" w:type="dxa"/>
            <w:vAlign w:val="center"/>
          </w:tcPr>
          <w:p>
            <w:pPr>
              <w:wordWrap w:val="0"/>
              <w:jc w:val="center"/>
              <w:rPr>
                <w:color w:val="000000" w:themeColor="text1"/>
                <w14:textFill>
                  <w14:solidFill>
                    <w14:schemeClr w14:val="tx1"/>
                  </w14:solidFill>
                </w14:textFill>
              </w:rPr>
            </w:pPr>
          </w:p>
        </w:tc>
        <w:tc>
          <w:tcPr>
            <w:tcW w:w="1366" w:type="dxa"/>
            <w:vAlign w:val="center"/>
          </w:tcPr>
          <w:p>
            <w:pPr>
              <w:wordWrap w:val="0"/>
              <w:jc w:val="center"/>
              <w:rPr>
                <w:color w:val="000000" w:themeColor="text1"/>
                <w14:textFill>
                  <w14:solidFill>
                    <w14:schemeClr w14:val="tx1"/>
                  </w14:solidFill>
                </w14:textFill>
              </w:rPr>
            </w:pPr>
          </w:p>
        </w:tc>
        <w:tc>
          <w:tcPr>
            <w:tcW w:w="821" w:type="dxa"/>
            <w:vAlign w:val="center"/>
          </w:tcPr>
          <w:p>
            <w:pPr>
              <w:wordWrap w:val="0"/>
              <w:jc w:val="center"/>
              <w:rPr>
                <w:color w:val="000000" w:themeColor="text1"/>
                <w14:textFill>
                  <w14:solidFill>
                    <w14:schemeClr w14:val="tx1"/>
                  </w14:solidFill>
                </w14:textFill>
              </w:rPr>
            </w:pPr>
          </w:p>
        </w:tc>
        <w:tc>
          <w:tcPr>
            <w:tcW w:w="1013" w:type="dxa"/>
          </w:tcPr>
          <w:p>
            <w:pPr>
              <w:wordWrap w:val="0"/>
              <w:jc w:val="center"/>
              <w:rPr>
                <w:color w:val="000000" w:themeColor="text1"/>
                <w14:textFill>
                  <w14:solidFill>
                    <w14:schemeClr w14:val="tx1"/>
                  </w14:solidFill>
                </w14:textFill>
              </w:rPr>
            </w:pPr>
          </w:p>
        </w:tc>
        <w:tc>
          <w:tcPr>
            <w:tcW w:w="1094" w:type="dxa"/>
            <w:vAlign w:val="center"/>
          </w:tcPr>
          <w:p>
            <w:pPr>
              <w:wordWrap w:val="0"/>
              <w:jc w:val="center"/>
              <w:rPr>
                <w:color w:val="000000" w:themeColor="text1"/>
                <w14:textFill>
                  <w14:solidFill>
                    <w14:schemeClr w14:val="tx1"/>
                  </w14:solidFill>
                </w14:textFill>
              </w:rPr>
            </w:pPr>
          </w:p>
        </w:tc>
        <w:tc>
          <w:tcPr>
            <w:tcW w:w="1093" w:type="dxa"/>
            <w:vAlign w:val="center"/>
          </w:tcPr>
          <w:p>
            <w:pPr>
              <w:wordWrap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723" w:type="dxa"/>
            <w:vAlign w:val="center"/>
          </w:tcPr>
          <w:p>
            <w:pPr>
              <w:wordWrap w:val="0"/>
              <w:jc w:val="center"/>
              <w:rPr>
                <w:color w:val="000000" w:themeColor="text1"/>
                <w14:textFill>
                  <w14:solidFill>
                    <w14:schemeClr w14:val="tx1"/>
                  </w14:solidFill>
                </w14:textFill>
              </w:rPr>
            </w:pPr>
          </w:p>
        </w:tc>
        <w:tc>
          <w:tcPr>
            <w:tcW w:w="1737" w:type="dxa"/>
            <w:vAlign w:val="center"/>
          </w:tcPr>
          <w:p>
            <w:pPr>
              <w:wordWrap w:val="0"/>
              <w:jc w:val="center"/>
              <w:rPr>
                <w:color w:val="000000" w:themeColor="text1"/>
                <w14:textFill>
                  <w14:solidFill>
                    <w14:schemeClr w14:val="tx1"/>
                  </w14:solidFill>
                </w14:textFill>
              </w:rPr>
            </w:pPr>
          </w:p>
        </w:tc>
        <w:tc>
          <w:tcPr>
            <w:tcW w:w="1366" w:type="dxa"/>
            <w:vAlign w:val="center"/>
          </w:tcPr>
          <w:p>
            <w:pPr>
              <w:wordWrap w:val="0"/>
              <w:jc w:val="center"/>
              <w:rPr>
                <w:color w:val="000000" w:themeColor="text1"/>
                <w14:textFill>
                  <w14:solidFill>
                    <w14:schemeClr w14:val="tx1"/>
                  </w14:solidFill>
                </w14:textFill>
              </w:rPr>
            </w:pPr>
          </w:p>
        </w:tc>
        <w:tc>
          <w:tcPr>
            <w:tcW w:w="821" w:type="dxa"/>
            <w:vAlign w:val="center"/>
          </w:tcPr>
          <w:p>
            <w:pPr>
              <w:wordWrap w:val="0"/>
              <w:jc w:val="center"/>
              <w:rPr>
                <w:color w:val="000000" w:themeColor="text1"/>
                <w14:textFill>
                  <w14:solidFill>
                    <w14:schemeClr w14:val="tx1"/>
                  </w14:solidFill>
                </w14:textFill>
              </w:rPr>
            </w:pPr>
          </w:p>
        </w:tc>
        <w:tc>
          <w:tcPr>
            <w:tcW w:w="1013" w:type="dxa"/>
          </w:tcPr>
          <w:p>
            <w:pPr>
              <w:wordWrap w:val="0"/>
              <w:jc w:val="center"/>
              <w:rPr>
                <w:color w:val="000000" w:themeColor="text1"/>
                <w14:textFill>
                  <w14:solidFill>
                    <w14:schemeClr w14:val="tx1"/>
                  </w14:solidFill>
                </w14:textFill>
              </w:rPr>
            </w:pPr>
          </w:p>
        </w:tc>
        <w:tc>
          <w:tcPr>
            <w:tcW w:w="1094" w:type="dxa"/>
            <w:vAlign w:val="center"/>
          </w:tcPr>
          <w:p>
            <w:pPr>
              <w:wordWrap w:val="0"/>
              <w:jc w:val="center"/>
              <w:rPr>
                <w:color w:val="000000" w:themeColor="text1"/>
                <w14:textFill>
                  <w14:solidFill>
                    <w14:schemeClr w14:val="tx1"/>
                  </w14:solidFill>
                </w14:textFill>
              </w:rPr>
            </w:pPr>
          </w:p>
        </w:tc>
        <w:tc>
          <w:tcPr>
            <w:tcW w:w="1093" w:type="dxa"/>
            <w:vAlign w:val="center"/>
          </w:tcPr>
          <w:p>
            <w:pPr>
              <w:wordWrap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23" w:type="dxa"/>
            <w:vAlign w:val="center"/>
          </w:tcPr>
          <w:p>
            <w:pPr>
              <w:wordWrap w:val="0"/>
              <w:jc w:val="center"/>
              <w:rPr>
                <w:color w:val="000000" w:themeColor="text1"/>
                <w14:textFill>
                  <w14:solidFill>
                    <w14:schemeClr w14:val="tx1"/>
                  </w14:solidFill>
                </w14:textFill>
              </w:rPr>
            </w:pPr>
          </w:p>
        </w:tc>
        <w:tc>
          <w:tcPr>
            <w:tcW w:w="1737" w:type="dxa"/>
            <w:vAlign w:val="center"/>
          </w:tcPr>
          <w:p>
            <w:pPr>
              <w:wordWrap w:val="0"/>
              <w:jc w:val="center"/>
              <w:rPr>
                <w:color w:val="000000" w:themeColor="text1"/>
                <w14:textFill>
                  <w14:solidFill>
                    <w14:schemeClr w14:val="tx1"/>
                  </w14:solidFill>
                </w14:textFill>
              </w:rPr>
            </w:pPr>
          </w:p>
        </w:tc>
        <w:tc>
          <w:tcPr>
            <w:tcW w:w="1366" w:type="dxa"/>
            <w:vAlign w:val="center"/>
          </w:tcPr>
          <w:p>
            <w:pPr>
              <w:wordWrap w:val="0"/>
              <w:jc w:val="center"/>
              <w:rPr>
                <w:color w:val="000000" w:themeColor="text1"/>
                <w14:textFill>
                  <w14:solidFill>
                    <w14:schemeClr w14:val="tx1"/>
                  </w14:solidFill>
                </w14:textFill>
              </w:rPr>
            </w:pPr>
          </w:p>
        </w:tc>
        <w:tc>
          <w:tcPr>
            <w:tcW w:w="821" w:type="dxa"/>
            <w:vAlign w:val="center"/>
          </w:tcPr>
          <w:p>
            <w:pPr>
              <w:wordWrap w:val="0"/>
              <w:jc w:val="center"/>
              <w:rPr>
                <w:color w:val="000000" w:themeColor="text1"/>
                <w14:textFill>
                  <w14:solidFill>
                    <w14:schemeClr w14:val="tx1"/>
                  </w14:solidFill>
                </w14:textFill>
              </w:rPr>
            </w:pPr>
          </w:p>
        </w:tc>
        <w:tc>
          <w:tcPr>
            <w:tcW w:w="1013" w:type="dxa"/>
          </w:tcPr>
          <w:p>
            <w:pPr>
              <w:wordWrap w:val="0"/>
              <w:jc w:val="center"/>
              <w:rPr>
                <w:color w:val="000000" w:themeColor="text1"/>
                <w14:textFill>
                  <w14:solidFill>
                    <w14:schemeClr w14:val="tx1"/>
                  </w14:solidFill>
                </w14:textFill>
              </w:rPr>
            </w:pPr>
          </w:p>
        </w:tc>
        <w:tc>
          <w:tcPr>
            <w:tcW w:w="1094" w:type="dxa"/>
            <w:vAlign w:val="center"/>
          </w:tcPr>
          <w:p>
            <w:pPr>
              <w:wordWrap w:val="0"/>
              <w:jc w:val="center"/>
              <w:rPr>
                <w:color w:val="000000" w:themeColor="text1"/>
                <w14:textFill>
                  <w14:solidFill>
                    <w14:schemeClr w14:val="tx1"/>
                  </w14:solidFill>
                </w14:textFill>
              </w:rPr>
            </w:pPr>
          </w:p>
        </w:tc>
        <w:tc>
          <w:tcPr>
            <w:tcW w:w="1093" w:type="dxa"/>
            <w:vAlign w:val="center"/>
          </w:tcPr>
          <w:p>
            <w:pPr>
              <w:wordWrap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23" w:type="dxa"/>
            <w:vAlign w:val="center"/>
          </w:tcPr>
          <w:p>
            <w:pPr>
              <w:wordWrap w:val="0"/>
              <w:jc w:val="center"/>
              <w:rPr>
                <w:color w:val="000000" w:themeColor="text1"/>
                <w14:textFill>
                  <w14:solidFill>
                    <w14:schemeClr w14:val="tx1"/>
                  </w14:solidFill>
                </w14:textFill>
              </w:rPr>
            </w:pPr>
          </w:p>
        </w:tc>
        <w:tc>
          <w:tcPr>
            <w:tcW w:w="1737" w:type="dxa"/>
            <w:vAlign w:val="center"/>
          </w:tcPr>
          <w:p>
            <w:pPr>
              <w:wordWrap w:val="0"/>
              <w:jc w:val="center"/>
              <w:rPr>
                <w:color w:val="000000" w:themeColor="text1"/>
                <w14:textFill>
                  <w14:solidFill>
                    <w14:schemeClr w14:val="tx1"/>
                  </w14:solidFill>
                </w14:textFill>
              </w:rPr>
            </w:pPr>
          </w:p>
        </w:tc>
        <w:tc>
          <w:tcPr>
            <w:tcW w:w="1366" w:type="dxa"/>
            <w:vAlign w:val="center"/>
          </w:tcPr>
          <w:p>
            <w:pPr>
              <w:wordWrap w:val="0"/>
              <w:jc w:val="center"/>
              <w:rPr>
                <w:color w:val="000000" w:themeColor="text1"/>
                <w14:textFill>
                  <w14:solidFill>
                    <w14:schemeClr w14:val="tx1"/>
                  </w14:solidFill>
                </w14:textFill>
              </w:rPr>
            </w:pPr>
          </w:p>
        </w:tc>
        <w:tc>
          <w:tcPr>
            <w:tcW w:w="821" w:type="dxa"/>
            <w:vAlign w:val="center"/>
          </w:tcPr>
          <w:p>
            <w:pPr>
              <w:wordWrap w:val="0"/>
              <w:jc w:val="center"/>
              <w:rPr>
                <w:color w:val="000000" w:themeColor="text1"/>
                <w14:textFill>
                  <w14:solidFill>
                    <w14:schemeClr w14:val="tx1"/>
                  </w14:solidFill>
                </w14:textFill>
              </w:rPr>
            </w:pPr>
          </w:p>
        </w:tc>
        <w:tc>
          <w:tcPr>
            <w:tcW w:w="1013" w:type="dxa"/>
          </w:tcPr>
          <w:p>
            <w:pPr>
              <w:wordWrap w:val="0"/>
              <w:jc w:val="center"/>
              <w:rPr>
                <w:color w:val="000000" w:themeColor="text1"/>
                <w14:textFill>
                  <w14:solidFill>
                    <w14:schemeClr w14:val="tx1"/>
                  </w14:solidFill>
                </w14:textFill>
              </w:rPr>
            </w:pPr>
          </w:p>
        </w:tc>
        <w:tc>
          <w:tcPr>
            <w:tcW w:w="1094" w:type="dxa"/>
            <w:vAlign w:val="center"/>
          </w:tcPr>
          <w:p>
            <w:pPr>
              <w:wordWrap w:val="0"/>
              <w:jc w:val="center"/>
              <w:rPr>
                <w:color w:val="000000" w:themeColor="text1"/>
                <w14:textFill>
                  <w14:solidFill>
                    <w14:schemeClr w14:val="tx1"/>
                  </w14:solidFill>
                </w14:textFill>
              </w:rPr>
            </w:pPr>
          </w:p>
        </w:tc>
        <w:tc>
          <w:tcPr>
            <w:tcW w:w="1093" w:type="dxa"/>
            <w:vAlign w:val="center"/>
          </w:tcPr>
          <w:p>
            <w:pPr>
              <w:wordWrap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23" w:type="dxa"/>
            <w:vAlign w:val="center"/>
          </w:tcPr>
          <w:p>
            <w:pPr>
              <w:wordWrap w:val="0"/>
              <w:jc w:val="center"/>
              <w:rPr>
                <w:color w:val="000000" w:themeColor="text1"/>
                <w14:textFill>
                  <w14:solidFill>
                    <w14:schemeClr w14:val="tx1"/>
                  </w14:solidFill>
                </w14:textFill>
              </w:rPr>
            </w:pPr>
          </w:p>
        </w:tc>
        <w:tc>
          <w:tcPr>
            <w:tcW w:w="1737" w:type="dxa"/>
            <w:vAlign w:val="center"/>
          </w:tcPr>
          <w:p>
            <w:pPr>
              <w:wordWrap w:val="0"/>
              <w:jc w:val="center"/>
              <w:rPr>
                <w:color w:val="000000" w:themeColor="text1"/>
                <w14:textFill>
                  <w14:solidFill>
                    <w14:schemeClr w14:val="tx1"/>
                  </w14:solidFill>
                </w14:textFill>
              </w:rPr>
            </w:pPr>
          </w:p>
        </w:tc>
        <w:tc>
          <w:tcPr>
            <w:tcW w:w="1366" w:type="dxa"/>
            <w:vAlign w:val="center"/>
          </w:tcPr>
          <w:p>
            <w:pPr>
              <w:wordWrap w:val="0"/>
              <w:jc w:val="center"/>
              <w:rPr>
                <w:color w:val="000000" w:themeColor="text1"/>
                <w14:textFill>
                  <w14:solidFill>
                    <w14:schemeClr w14:val="tx1"/>
                  </w14:solidFill>
                </w14:textFill>
              </w:rPr>
            </w:pPr>
          </w:p>
        </w:tc>
        <w:tc>
          <w:tcPr>
            <w:tcW w:w="821" w:type="dxa"/>
            <w:vAlign w:val="center"/>
          </w:tcPr>
          <w:p>
            <w:pPr>
              <w:wordWrap w:val="0"/>
              <w:jc w:val="center"/>
              <w:rPr>
                <w:color w:val="000000" w:themeColor="text1"/>
                <w14:textFill>
                  <w14:solidFill>
                    <w14:schemeClr w14:val="tx1"/>
                  </w14:solidFill>
                </w14:textFill>
              </w:rPr>
            </w:pPr>
          </w:p>
        </w:tc>
        <w:tc>
          <w:tcPr>
            <w:tcW w:w="1013" w:type="dxa"/>
          </w:tcPr>
          <w:p>
            <w:pPr>
              <w:wordWrap w:val="0"/>
              <w:jc w:val="center"/>
              <w:rPr>
                <w:color w:val="000000" w:themeColor="text1"/>
                <w14:textFill>
                  <w14:solidFill>
                    <w14:schemeClr w14:val="tx1"/>
                  </w14:solidFill>
                </w14:textFill>
              </w:rPr>
            </w:pPr>
          </w:p>
        </w:tc>
        <w:tc>
          <w:tcPr>
            <w:tcW w:w="1094" w:type="dxa"/>
            <w:vAlign w:val="center"/>
          </w:tcPr>
          <w:p>
            <w:pPr>
              <w:wordWrap w:val="0"/>
              <w:jc w:val="center"/>
              <w:rPr>
                <w:color w:val="000000" w:themeColor="text1"/>
                <w14:textFill>
                  <w14:solidFill>
                    <w14:schemeClr w14:val="tx1"/>
                  </w14:solidFill>
                </w14:textFill>
              </w:rPr>
            </w:pPr>
          </w:p>
        </w:tc>
        <w:tc>
          <w:tcPr>
            <w:tcW w:w="1093" w:type="dxa"/>
            <w:vAlign w:val="center"/>
          </w:tcPr>
          <w:p>
            <w:pPr>
              <w:wordWrap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23" w:type="dxa"/>
            <w:vAlign w:val="center"/>
          </w:tcPr>
          <w:p>
            <w:pPr>
              <w:wordWrap w:val="0"/>
              <w:jc w:val="center"/>
              <w:rPr>
                <w:color w:val="000000" w:themeColor="text1"/>
                <w14:textFill>
                  <w14:solidFill>
                    <w14:schemeClr w14:val="tx1"/>
                  </w14:solidFill>
                </w14:textFill>
              </w:rPr>
            </w:pPr>
          </w:p>
        </w:tc>
        <w:tc>
          <w:tcPr>
            <w:tcW w:w="1737" w:type="dxa"/>
            <w:vAlign w:val="center"/>
          </w:tcPr>
          <w:p>
            <w:pPr>
              <w:wordWrap w:val="0"/>
              <w:jc w:val="center"/>
              <w:rPr>
                <w:color w:val="000000" w:themeColor="text1"/>
                <w14:textFill>
                  <w14:solidFill>
                    <w14:schemeClr w14:val="tx1"/>
                  </w14:solidFill>
                </w14:textFill>
              </w:rPr>
            </w:pPr>
          </w:p>
        </w:tc>
        <w:tc>
          <w:tcPr>
            <w:tcW w:w="1366" w:type="dxa"/>
            <w:vAlign w:val="center"/>
          </w:tcPr>
          <w:p>
            <w:pPr>
              <w:wordWrap w:val="0"/>
              <w:jc w:val="center"/>
              <w:rPr>
                <w:color w:val="000000" w:themeColor="text1"/>
                <w14:textFill>
                  <w14:solidFill>
                    <w14:schemeClr w14:val="tx1"/>
                  </w14:solidFill>
                </w14:textFill>
              </w:rPr>
            </w:pPr>
          </w:p>
        </w:tc>
        <w:tc>
          <w:tcPr>
            <w:tcW w:w="821" w:type="dxa"/>
            <w:vAlign w:val="center"/>
          </w:tcPr>
          <w:p>
            <w:pPr>
              <w:wordWrap w:val="0"/>
              <w:jc w:val="center"/>
              <w:rPr>
                <w:color w:val="000000" w:themeColor="text1"/>
                <w14:textFill>
                  <w14:solidFill>
                    <w14:schemeClr w14:val="tx1"/>
                  </w14:solidFill>
                </w14:textFill>
              </w:rPr>
            </w:pPr>
          </w:p>
        </w:tc>
        <w:tc>
          <w:tcPr>
            <w:tcW w:w="1013" w:type="dxa"/>
          </w:tcPr>
          <w:p>
            <w:pPr>
              <w:wordWrap w:val="0"/>
              <w:jc w:val="center"/>
              <w:rPr>
                <w:color w:val="000000" w:themeColor="text1"/>
                <w14:textFill>
                  <w14:solidFill>
                    <w14:schemeClr w14:val="tx1"/>
                  </w14:solidFill>
                </w14:textFill>
              </w:rPr>
            </w:pPr>
          </w:p>
        </w:tc>
        <w:tc>
          <w:tcPr>
            <w:tcW w:w="1094" w:type="dxa"/>
            <w:vAlign w:val="center"/>
          </w:tcPr>
          <w:p>
            <w:pPr>
              <w:wordWrap w:val="0"/>
              <w:jc w:val="center"/>
              <w:rPr>
                <w:color w:val="000000" w:themeColor="text1"/>
                <w14:textFill>
                  <w14:solidFill>
                    <w14:schemeClr w14:val="tx1"/>
                  </w14:solidFill>
                </w14:textFill>
              </w:rPr>
            </w:pPr>
          </w:p>
        </w:tc>
        <w:tc>
          <w:tcPr>
            <w:tcW w:w="1093" w:type="dxa"/>
            <w:vAlign w:val="center"/>
          </w:tcPr>
          <w:p>
            <w:pPr>
              <w:wordWrap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23" w:type="dxa"/>
            <w:vAlign w:val="center"/>
          </w:tcPr>
          <w:p>
            <w:pPr>
              <w:wordWrap w:val="0"/>
              <w:jc w:val="center"/>
              <w:rPr>
                <w:color w:val="000000" w:themeColor="text1"/>
                <w14:textFill>
                  <w14:solidFill>
                    <w14:schemeClr w14:val="tx1"/>
                  </w14:solidFill>
                </w14:textFill>
              </w:rPr>
            </w:pPr>
          </w:p>
        </w:tc>
        <w:tc>
          <w:tcPr>
            <w:tcW w:w="1737" w:type="dxa"/>
            <w:vAlign w:val="center"/>
          </w:tcPr>
          <w:p>
            <w:pPr>
              <w:wordWrap w:val="0"/>
              <w:jc w:val="center"/>
              <w:rPr>
                <w:color w:val="000000" w:themeColor="text1"/>
                <w14:textFill>
                  <w14:solidFill>
                    <w14:schemeClr w14:val="tx1"/>
                  </w14:solidFill>
                </w14:textFill>
              </w:rPr>
            </w:pPr>
          </w:p>
        </w:tc>
        <w:tc>
          <w:tcPr>
            <w:tcW w:w="1366" w:type="dxa"/>
            <w:vAlign w:val="center"/>
          </w:tcPr>
          <w:p>
            <w:pPr>
              <w:wordWrap w:val="0"/>
              <w:jc w:val="center"/>
              <w:rPr>
                <w:color w:val="000000" w:themeColor="text1"/>
                <w14:textFill>
                  <w14:solidFill>
                    <w14:schemeClr w14:val="tx1"/>
                  </w14:solidFill>
                </w14:textFill>
              </w:rPr>
            </w:pPr>
          </w:p>
        </w:tc>
        <w:tc>
          <w:tcPr>
            <w:tcW w:w="821" w:type="dxa"/>
            <w:vAlign w:val="center"/>
          </w:tcPr>
          <w:p>
            <w:pPr>
              <w:wordWrap w:val="0"/>
              <w:jc w:val="center"/>
              <w:rPr>
                <w:color w:val="000000" w:themeColor="text1"/>
                <w14:textFill>
                  <w14:solidFill>
                    <w14:schemeClr w14:val="tx1"/>
                  </w14:solidFill>
                </w14:textFill>
              </w:rPr>
            </w:pPr>
          </w:p>
        </w:tc>
        <w:tc>
          <w:tcPr>
            <w:tcW w:w="1013" w:type="dxa"/>
          </w:tcPr>
          <w:p>
            <w:pPr>
              <w:wordWrap w:val="0"/>
              <w:jc w:val="center"/>
              <w:rPr>
                <w:color w:val="000000" w:themeColor="text1"/>
                <w14:textFill>
                  <w14:solidFill>
                    <w14:schemeClr w14:val="tx1"/>
                  </w14:solidFill>
                </w14:textFill>
              </w:rPr>
            </w:pPr>
          </w:p>
        </w:tc>
        <w:tc>
          <w:tcPr>
            <w:tcW w:w="1094" w:type="dxa"/>
            <w:vAlign w:val="center"/>
          </w:tcPr>
          <w:p>
            <w:pPr>
              <w:wordWrap w:val="0"/>
              <w:jc w:val="center"/>
              <w:rPr>
                <w:color w:val="000000" w:themeColor="text1"/>
                <w14:textFill>
                  <w14:solidFill>
                    <w14:schemeClr w14:val="tx1"/>
                  </w14:solidFill>
                </w14:textFill>
              </w:rPr>
            </w:pPr>
          </w:p>
        </w:tc>
        <w:tc>
          <w:tcPr>
            <w:tcW w:w="1093" w:type="dxa"/>
            <w:vAlign w:val="center"/>
          </w:tcPr>
          <w:p>
            <w:pPr>
              <w:wordWrap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23" w:type="dxa"/>
            <w:vAlign w:val="center"/>
          </w:tcPr>
          <w:p>
            <w:pPr>
              <w:wordWrap w:val="0"/>
              <w:jc w:val="center"/>
              <w:rPr>
                <w:color w:val="000000" w:themeColor="text1"/>
                <w14:textFill>
                  <w14:solidFill>
                    <w14:schemeClr w14:val="tx1"/>
                  </w14:solidFill>
                </w14:textFill>
              </w:rPr>
            </w:pPr>
          </w:p>
        </w:tc>
        <w:tc>
          <w:tcPr>
            <w:tcW w:w="1737" w:type="dxa"/>
            <w:vAlign w:val="center"/>
          </w:tcPr>
          <w:p>
            <w:pPr>
              <w:wordWrap w:val="0"/>
              <w:jc w:val="center"/>
              <w:rPr>
                <w:color w:val="000000" w:themeColor="text1"/>
                <w14:textFill>
                  <w14:solidFill>
                    <w14:schemeClr w14:val="tx1"/>
                  </w14:solidFill>
                </w14:textFill>
              </w:rPr>
            </w:pPr>
          </w:p>
        </w:tc>
        <w:tc>
          <w:tcPr>
            <w:tcW w:w="1366" w:type="dxa"/>
            <w:vAlign w:val="center"/>
          </w:tcPr>
          <w:p>
            <w:pPr>
              <w:wordWrap w:val="0"/>
              <w:jc w:val="center"/>
              <w:rPr>
                <w:color w:val="000000" w:themeColor="text1"/>
                <w14:textFill>
                  <w14:solidFill>
                    <w14:schemeClr w14:val="tx1"/>
                  </w14:solidFill>
                </w14:textFill>
              </w:rPr>
            </w:pPr>
          </w:p>
        </w:tc>
        <w:tc>
          <w:tcPr>
            <w:tcW w:w="821" w:type="dxa"/>
            <w:vAlign w:val="center"/>
          </w:tcPr>
          <w:p>
            <w:pPr>
              <w:wordWrap w:val="0"/>
              <w:jc w:val="center"/>
              <w:rPr>
                <w:color w:val="000000" w:themeColor="text1"/>
                <w14:textFill>
                  <w14:solidFill>
                    <w14:schemeClr w14:val="tx1"/>
                  </w14:solidFill>
                </w14:textFill>
              </w:rPr>
            </w:pPr>
          </w:p>
        </w:tc>
        <w:tc>
          <w:tcPr>
            <w:tcW w:w="1013" w:type="dxa"/>
          </w:tcPr>
          <w:p>
            <w:pPr>
              <w:wordWrap w:val="0"/>
              <w:jc w:val="center"/>
              <w:rPr>
                <w:color w:val="000000" w:themeColor="text1"/>
                <w14:textFill>
                  <w14:solidFill>
                    <w14:schemeClr w14:val="tx1"/>
                  </w14:solidFill>
                </w14:textFill>
              </w:rPr>
            </w:pPr>
          </w:p>
        </w:tc>
        <w:tc>
          <w:tcPr>
            <w:tcW w:w="1094" w:type="dxa"/>
            <w:vAlign w:val="center"/>
          </w:tcPr>
          <w:p>
            <w:pPr>
              <w:wordWrap w:val="0"/>
              <w:jc w:val="center"/>
              <w:rPr>
                <w:color w:val="000000" w:themeColor="text1"/>
                <w14:textFill>
                  <w14:solidFill>
                    <w14:schemeClr w14:val="tx1"/>
                  </w14:solidFill>
                </w14:textFill>
              </w:rPr>
            </w:pPr>
          </w:p>
        </w:tc>
        <w:tc>
          <w:tcPr>
            <w:tcW w:w="1093" w:type="dxa"/>
            <w:vAlign w:val="center"/>
          </w:tcPr>
          <w:p>
            <w:pPr>
              <w:wordWrap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23" w:type="dxa"/>
            <w:vAlign w:val="center"/>
          </w:tcPr>
          <w:p>
            <w:pPr>
              <w:wordWrap w:val="0"/>
              <w:jc w:val="center"/>
              <w:rPr>
                <w:color w:val="000000" w:themeColor="text1"/>
                <w14:textFill>
                  <w14:solidFill>
                    <w14:schemeClr w14:val="tx1"/>
                  </w14:solidFill>
                </w14:textFill>
              </w:rPr>
            </w:pPr>
          </w:p>
        </w:tc>
        <w:tc>
          <w:tcPr>
            <w:tcW w:w="1737" w:type="dxa"/>
            <w:vAlign w:val="center"/>
          </w:tcPr>
          <w:p>
            <w:pPr>
              <w:wordWrap w:val="0"/>
              <w:jc w:val="center"/>
              <w:rPr>
                <w:color w:val="000000" w:themeColor="text1"/>
                <w14:textFill>
                  <w14:solidFill>
                    <w14:schemeClr w14:val="tx1"/>
                  </w14:solidFill>
                </w14:textFill>
              </w:rPr>
            </w:pPr>
          </w:p>
        </w:tc>
        <w:tc>
          <w:tcPr>
            <w:tcW w:w="1366" w:type="dxa"/>
            <w:vAlign w:val="center"/>
          </w:tcPr>
          <w:p>
            <w:pPr>
              <w:wordWrap w:val="0"/>
              <w:jc w:val="center"/>
              <w:rPr>
                <w:color w:val="000000" w:themeColor="text1"/>
                <w14:textFill>
                  <w14:solidFill>
                    <w14:schemeClr w14:val="tx1"/>
                  </w14:solidFill>
                </w14:textFill>
              </w:rPr>
            </w:pPr>
          </w:p>
        </w:tc>
        <w:tc>
          <w:tcPr>
            <w:tcW w:w="821" w:type="dxa"/>
            <w:vAlign w:val="center"/>
          </w:tcPr>
          <w:p>
            <w:pPr>
              <w:wordWrap w:val="0"/>
              <w:jc w:val="center"/>
              <w:rPr>
                <w:color w:val="000000" w:themeColor="text1"/>
                <w14:textFill>
                  <w14:solidFill>
                    <w14:schemeClr w14:val="tx1"/>
                  </w14:solidFill>
                </w14:textFill>
              </w:rPr>
            </w:pPr>
          </w:p>
        </w:tc>
        <w:tc>
          <w:tcPr>
            <w:tcW w:w="1013" w:type="dxa"/>
          </w:tcPr>
          <w:p>
            <w:pPr>
              <w:wordWrap w:val="0"/>
              <w:jc w:val="center"/>
              <w:rPr>
                <w:color w:val="000000" w:themeColor="text1"/>
                <w14:textFill>
                  <w14:solidFill>
                    <w14:schemeClr w14:val="tx1"/>
                  </w14:solidFill>
                </w14:textFill>
              </w:rPr>
            </w:pPr>
          </w:p>
        </w:tc>
        <w:tc>
          <w:tcPr>
            <w:tcW w:w="1094" w:type="dxa"/>
            <w:vAlign w:val="center"/>
          </w:tcPr>
          <w:p>
            <w:pPr>
              <w:wordWrap w:val="0"/>
              <w:jc w:val="center"/>
              <w:rPr>
                <w:color w:val="000000" w:themeColor="text1"/>
                <w14:textFill>
                  <w14:solidFill>
                    <w14:schemeClr w14:val="tx1"/>
                  </w14:solidFill>
                </w14:textFill>
              </w:rPr>
            </w:pPr>
          </w:p>
        </w:tc>
        <w:tc>
          <w:tcPr>
            <w:tcW w:w="1093" w:type="dxa"/>
            <w:vAlign w:val="center"/>
          </w:tcPr>
          <w:p>
            <w:pPr>
              <w:wordWrap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23" w:type="dxa"/>
            <w:vAlign w:val="center"/>
          </w:tcPr>
          <w:p>
            <w:pPr>
              <w:wordWrap w:val="0"/>
              <w:jc w:val="center"/>
              <w:rPr>
                <w:color w:val="000000" w:themeColor="text1"/>
                <w14:textFill>
                  <w14:solidFill>
                    <w14:schemeClr w14:val="tx1"/>
                  </w14:solidFill>
                </w14:textFill>
              </w:rPr>
            </w:pPr>
          </w:p>
        </w:tc>
        <w:tc>
          <w:tcPr>
            <w:tcW w:w="1737" w:type="dxa"/>
            <w:vAlign w:val="center"/>
          </w:tcPr>
          <w:p>
            <w:pPr>
              <w:wordWrap w:val="0"/>
              <w:jc w:val="center"/>
              <w:rPr>
                <w:color w:val="000000" w:themeColor="text1"/>
                <w14:textFill>
                  <w14:solidFill>
                    <w14:schemeClr w14:val="tx1"/>
                  </w14:solidFill>
                </w14:textFill>
              </w:rPr>
            </w:pPr>
          </w:p>
        </w:tc>
        <w:tc>
          <w:tcPr>
            <w:tcW w:w="1366" w:type="dxa"/>
            <w:vAlign w:val="center"/>
          </w:tcPr>
          <w:p>
            <w:pPr>
              <w:wordWrap w:val="0"/>
              <w:jc w:val="center"/>
              <w:rPr>
                <w:color w:val="000000" w:themeColor="text1"/>
                <w14:textFill>
                  <w14:solidFill>
                    <w14:schemeClr w14:val="tx1"/>
                  </w14:solidFill>
                </w14:textFill>
              </w:rPr>
            </w:pPr>
          </w:p>
        </w:tc>
        <w:tc>
          <w:tcPr>
            <w:tcW w:w="821" w:type="dxa"/>
            <w:vAlign w:val="center"/>
          </w:tcPr>
          <w:p>
            <w:pPr>
              <w:wordWrap w:val="0"/>
              <w:jc w:val="center"/>
              <w:rPr>
                <w:color w:val="000000" w:themeColor="text1"/>
                <w14:textFill>
                  <w14:solidFill>
                    <w14:schemeClr w14:val="tx1"/>
                  </w14:solidFill>
                </w14:textFill>
              </w:rPr>
            </w:pPr>
          </w:p>
        </w:tc>
        <w:tc>
          <w:tcPr>
            <w:tcW w:w="1013" w:type="dxa"/>
          </w:tcPr>
          <w:p>
            <w:pPr>
              <w:wordWrap w:val="0"/>
              <w:jc w:val="center"/>
              <w:rPr>
                <w:color w:val="000000" w:themeColor="text1"/>
                <w14:textFill>
                  <w14:solidFill>
                    <w14:schemeClr w14:val="tx1"/>
                  </w14:solidFill>
                </w14:textFill>
              </w:rPr>
            </w:pPr>
          </w:p>
        </w:tc>
        <w:tc>
          <w:tcPr>
            <w:tcW w:w="1094" w:type="dxa"/>
            <w:vAlign w:val="center"/>
          </w:tcPr>
          <w:p>
            <w:pPr>
              <w:wordWrap w:val="0"/>
              <w:jc w:val="center"/>
              <w:rPr>
                <w:color w:val="000000" w:themeColor="text1"/>
                <w14:textFill>
                  <w14:solidFill>
                    <w14:schemeClr w14:val="tx1"/>
                  </w14:solidFill>
                </w14:textFill>
              </w:rPr>
            </w:pPr>
          </w:p>
        </w:tc>
        <w:tc>
          <w:tcPr>
            <w:tcW w:w="1093" w:type="dxa"/>
            <w:vAlign w:val="center"/>
          </w:tcPr>
          <w:p>
            <w:pPr>
              <w:wordWrap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723" w:type="dxa"/>
            <w:vAlign w:val="center"/>
          </w:tcPr>
          <w:p>
            <w:pPr>
              <w:wordWrap w:val="0"/>
              <w:jc w:val="center"/>
              <w:rPr>
                <w:color w:val="000000" w:themeColor="text1"/>
                <w14:textFill>
                  <w14:solidFill>
                    <w14:schemeClr w14:val="tx1"/>
                  </w14:solidFill>
                </w14:textFill>
              </w:rPr>
            </w:pPr>
          </w:p>
        </w:tc>
        <w:tc>
          <w:tcPr>
            <w:tcW w:w="1737" w:type="dxa"/>
            <w:vAlign w:val="center"/>
          </w:tcPr>
          <w:p>
            <w:pPr>
              <w:wordWrap w:val="0"/>
              <w:jc w:val="center"/>
              <w:rPr>
                <w:color w:val="000000" w:themeColor="text1"/>
                <w14:textFill>
                  <w14:solidFill>
                    <w14:schemeClr w14:val="tx1"/>
                  </w14:solidFill>
                </w14:textFill>
              </w:rPr>
            </w:pPr>
          </w:p>
        </w:tc>
        <w:tc>
          <w:tcPr>
            <w:tcW w:w="1366" w:type="dxa"/>
            <w:vAlign w:val="center"/>
          </w:tcPr>
          <w:p>
            <w:pPr>
              <w:wordWrap w:val="0"/>
              <w:jc w:val="center"/>
              <w:rPr>
                <w:color w:val="000000" w:themeColor="text1"/>
                <w14:textFill>
                  <w14:solidFill>
                    <w14:schemeClr w14:val="tx1"/>
                  </w14:solidFill>
                </w14:textFill>
              </w:rPr>
            </w:pPr>
          </w:p>
        </w:tc>
        <w:tc>
          <w:tcPr>
            <w:tcW w:w="821" w:type="dxa"/>
            <w:vAlign w:val="center"/>
          </w:tcPr>
          <w:p>
            <w:pPr>
              <w:wordWrap w:val="0"/>
              <w:jc w:val="center"/>
              <w:rPr>
                <w:color w:val="000000" w:themeColor="text1"/>
                <w14:textFill>
                  <w14:solidFill>
                    <w14:schemeClr w14:val="tx1"/>
                  </w14:solidFill>
                </w14:textFill>
              </w:rPr>
            </w:pPr>
          </w:p>
        </w:tc>
        <w:tc>
          <w:tcPr>
            <w:tcW w:w="1013" w:type="dxa"/>
          </w:tcPr>
          <w:p>
            <w:pPr>
              <w:wordWrap w:val="0"/>
              <w:jc w:val="center"/>
              <w:rPr>
                <w:color w:val="000000" w:themeColor="text1"/>
                <w14:textFill>
                  <w14:solidFill>
                    <w14:schemeClr w14:val="tx1"/>
                  </w14:solidFill>
                </w14:textFill>
              </w:rPr>
            </w:pPr>
          </w:p>
        </w:tc>
        <w:tc>
          <w:tcPr>
            <w:tcW w:w="1094" w:type="dxa"/>
            <w:vAlign w:val="center"/>
          </w:tcPr>
          <w:p>
            <w:pPr>
              <w:wordWrap w:val="0"/>
              <w:jc w:val="center"/>
              <w:rPr>
                <w:color w:val="000000" w:themeColor="text1"/>
                <w14:textFill>
                  <w14:solidFill>
                    <w14:schemeClr w14:val="tx1"/>
                  </w14:solidFill>
                </w14:textFill>
              </w:rPr>
            </w:pPr>
          </w:p>
        </w:tc>
        <w:tc>
          <w:tcPr>
            <w:tcW w:w="1093" w:type="dxa"/>
            <w:vAlign w:val="center"/>
          </w:tcPr>
          <w:p>
            <w:pPr>
              <w:wordWrap w:val="0"/>
              <w:jc w:val="center"/>
              <w:rPr>
                <w:color w:val="000000" w:themeColor="text1"/>
                <w14:textFill>
                  <w14:solidFill>
                    <w14:schemeClr w14:val="tx1"/>
                  </w14:solidFill>
                </w14:textFill>
              </w:rPr>
            </w:pPr>
          </w:p>
        </w:tc>
      </w:tr>
    </w:tbl>
    <w:p>
      <w:pPr>
        <w:wordWrap w:val="0"/>
        <w:rPr>
          <w:color w:val="000000" w:themeColor="text1"/>
          <w14:textFill>
            <w14:solidFill>
              <w14:schemeClr w14:val="tx1"/>
            </w14:solidFill>
          </w14:textFill>
        </w:rPr>
      </w:pPr>
    </w:p>
    <w:p>
      <w:pPr>
        <w:wordWrap w:val="0"/>
        <w:ind w:left="772" w:leftChars="100" w:hanging="562" w:hangingChars="200"/>
        <w:rPr>
          <w:b/>
          <w:color w:val="000000" w:themeColor="text1"/>
          <w:sz w:val="28"/>
          <w:szCs w:val="28"/>
          <w14:textFill>
            <w14:solidFill>
              <w14:schemeClr w14:val="tx1"/>
            </w14:solidFill>
          </w14:textFill>
        </w:rPr>
      </w:pPr>
    </w:p>
    <w:p>
      <w:pPr>
        <w:wordWrap w:val="0"/>
        <w:spacing w:before="120" w:beforeLines="50" w:after="120" w:afterLines="50"/>
        <w:ind w:left="772" w:leftChars="100" w:hanging="562" w:hangingChars="200"/>
        <w:rPr>
          <w:b/>
          <w:color w:val="000000" w:themeColor="text1"/>
          <w:sz w:val="28"/>
          <w:szCs w:val="28"/>
          <w14:textFill>
            <w14:solidFill>
              <w14:schemeClr w14:val="tx1"/>
            </w14:solidFill>
          </w14:textFill>
        </w:rPr>
      </w:pPr>
    </w:p>
    <w:p>
      <w:pPr>
        <w:wordWrap w:val="0"/>
        <w:spacing w:before="120" w:beforeLines="50" w:after="120" w:afterLines="50"/>
        <w:ind w:left="772" w:leftChars="100" w:hanging="562" w:hangingChars="200"/>
        <w:rPr>
          <w:b/>
          <w:color w:val="000000" w:themeColor="text1"/>
          <w:sz w:val="28"/>
          <w:szCs w:val="28"/>
          <w14:textFill>
            <w14:solidFill>
              <w14:schemeClr w14:val="tx1"/>
            </w14:solidFill>
          </w14:textFill>
        </w:rPr>
        <w:sectPr>
          <w:pgSz w:w="11907" w:h="16840"/>
          <w:pgMar w:top="1440" w:right="1559" w:bottom="1440" w:left="1560" w:header="851" w:footer="851" w:gutter="0"/>
          <w:pgBorders>
            <w:top w:val="none" w:sz="0" w:space="0"/>
            <w:left w:val="none" w:sz="0" w:space="0"/>
            <w:bottom w:val="none" w:sz="0" w:space="0"/>
            <w:right w:val="none" w:sz="0" w:space="0"/>
          </w:pgBorders>
          <w:pgNumType w:fmt="decimal"/>
          <w:cols w:space="720" w:num="1"/>
          <w:docGrid w:linePitch="312" w:charSpace="0"/>
        </w:sectPr>
      </w:pPr>
    </w:p>
    <w:p>
      <w:pPr>
        <w:keepNext/>
        <w:keepLines/>
        <w:wordWrap w:val="0"/>
        <w:spacing w:before="100" w:line="400" w:lineRule="exact"/>
        <w:jc w:val="center"/>
        <w:outlineLvl w:val="1"/>
        <w:rPr>
          <w:rFonts w:eastAsia="黑体" w:cs="宋体"/>
          <w:color w:val="000000" w:themeColor="text1"/>
          <w:sz w:val="28"/>
          <w:szCs w:val="20"/>
          <w14:textFill>
            <w14:solidFill>
              <w14:schemeClr w14:val="tx1"/>
            </w14:solidFill>
          </w14:textFill>
        </w:rPr>
      </w:pPr>
      <w:r>
        <w:rPr>
          <w:rFonts w:hint="eastAsia" w:eastAsia="黑体" w:cs="宋体"/>
          <w:color w:val="000000" w:themeColor="text1"/>
          <w:sz w:val="28"/>
          <w:szCs w:val="20"/>
          <w14:textFill>
            <w14:solidFill>
              <w14:schemeClr w14:val="tx1"/>
            </w14:solidFill>
          </w14:textFill>
        </w:rPr>
        <w:t>拟再发包</w:t>
      </w:r>
      <w:r>
        <w:rPr>
          <w:rFonts w:eastAsia="黑体" w:cs="宋体"/>
          <w:color w:val="000000" w:themeColor="text1"/>
          <w:sz w:val="28"/>
          <w:szCs w:val="20"/>
          <w14:textFill>
            <w14:solidFill>
              <w14:schemeClr w14:val="tx1"/>
            </w14:solidFill>
          </w14:textFill>
        </w:rPr>
        <w:t>计划表</w:t>
      </w:r>
    </w:p>
    <w:p>
      <w:pPr>
        <w:pStyle w:val="145"/>
        <w:wordWrap w:val="0"/>
        <w:jc w:val="center"/>
        <w:rPr>
          <w:b/>
          <w:color w:val="000000" w:themeColor="text1"/>
          <w:sz w:val="28"/>
          <w:szCs w:val="28"/>
          <w14:textFill>
            <w14:solidFill>
              <w14:schemeClr w14:val="tx1"/>
            </w14:solidFill>
          </w14:textFill>
        </w:rPr>
      </w:pPr>
    </w:p>
    <w:tbl>
      <w:tblPr>
        <w:tblStyle w:val="43"/>
        <w:tblW w:w="8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843"/>
        <w:gridCol w:w="751"/>
        <w:gridCol w:w="950"/>
        <w:gridCol w:w="1123"/>
        <w:gridCol w:w="1090"/>
        <w:gridCol w:w="1197"/>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restart"/>
            <w:tcMar>
              <w:left w:w="108" w:type="dxa"/>
              <w:right w:w="108" w:type="dxa"/>
            </w:tcMar>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序</w:t>
            </w:r>
          </w:p>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号</w:t>
            </w:r>
          </w:p>
        </w:tc>
        <w:tc>
          <w:tcPr>
            <w:tcW w:w="1843" w:type="dxa"/>
            <w:vMerge w:val="restart"/>
            <w:tcMar>
              <w:left w:w="108" w:type="dxa"/>
              <w:right w:w="108" w:type="dxa"/>
            </w:tcMar>
            <w:vAlign w:val="center"/>
          </w:tcPr>
          <w:p>
            <w:pPr>
              <w:wordWrap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拟再发</w:t>
            </w:r>
            <w:r>
              <w:rPr>
                <w:color w:val="000000" w:themeColor="text1"/>
                <w:szCs w:val="21"/>
                <w14:textFill>
                  <w14:solidFill>
                    <w14:schemeClr w14:val="tx1"/>
                  </w14:solidFill>
                </w14:textFill>
              </w:rPr>
              <w:t>包项目名称、范围及理由</w:t>
            </w:r>
          </w:p>
        </w:tc>
        <w:tc>
          <w:tcPr>
            <w:tcW w:w="5111" w:type="dxa"/>
            <w:gridSpan w:val="5"/>
            <w:tcMar>
              <w:left w:w="108" w:type="dxa"/>
              <w:right w:w="108" w:type="dxa"/>
            </w:tcMar>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拟选</w:t>
            </w:r>
            <w:r>
              <w:rPr>
                <w:rFonts w:hint="eastAsia"/>
                <w:color w:val="000000" w:themeColor="text1"/>
                <w:szCs w:val="21"/>
                <w14:textFill>
                  <w14:solidFill>
                    <w14:schemeClr w14:val="tx1"/>
                  </w14:solidFill>
                </w14:textFill>
              </w:rPr>
              <w:t>再发包</w:t>
            </w:r>
            <w:r>
              <w:rPr>
                <w:color w:val="000000" w:themeColor="text1"/>
                <w:szCs w:val="21"/>
                <w14:textFill>
                  <w14:solidFill>
                    <w14:schemeClr w14:val="tx1"/>
                  </w14:solidFill>
                </w14:textFill>
              </w:rPr>
              <w:t>人</w:t>
            </w:r>
          </w:p>
        </w:tc>
        <w:tc>
          <w:tcPr>
            <w:tcW w:w="1268" w:type="dxa"/>
            <w:vMerge w:val="restart"/>
            <w:tcMar>
              <w:left w:w="108" w:type="dxa"/>
              <w:right w:w="108" w:type="dxa"/>
            </w:tcMar>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843" w:type="dxa"/>
            <w:vMerge w:val="continue"/>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701" w:type="dxa"/>
            <w:gridSpan w:val="2"/>
            <w:tcMar>
              <w:left w:w="108" w:type="dxa"/>
              <w:right w:w="108" w:type="dxa"/>
            </w:tcMar>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拟选</w:t>
            </w:r>
            <w:r>
              <w:rPr>
                <w:rFonts w:hint="eastAsia"/>
                <w:color w:val="000000" w:themeColor="text1"/>
                <w:szCs w:val="21"/>
                <w14:textFill>
                  <w14:solidFill>
                    <w14:schemeClr w14:val="tx1"/>
                  </w14:solidFill>
                </w14:textFill>
              </w:rPr>
              <w:t>再发</w:t>
            </w:r>
            <w:r>
              <w:rPr>
                <w:color w:val="000000" w:themeColor="text1"/>
                <w:szCs w:val="21"/>
                <w14:textFill>
                  <w14:solidFill>
                    <w14:schemeClr w14:val="tx1"/>
                  </w14:solidFill>
                </w14:textFill>
              </w:rPr>
              <w:t>包人名称</w:t>
            </w:r>
          </w:p>
        </w:tc>
        <w:tc>
          <w:tcPr>
            <w:tcW w:w="1123" w:type="dxa"/>
            <w:tcMar>
              <w:left w:w="108" w:type="dxa"/>
              <w:right w:w="108" w:type="dxa"/>
            </w:tcMar>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注册地点</w:t>
            </w:r>
          </w:p>
        </w:tc>
        <w:tc>
          <w:tcPr>
            <w:tcW w:w="1090" w:type="dxa"/>
            <w:tcMar>
              <w:left w:w="108" w:type="dxa"/>
              <w:right w:w="108" w:type="dxa"/>
            </w:tcMar>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企业资质</w:t>
            </w:r>
          </w:p>
        </w:tc>
        <w:tc>
          <w:tcPr>
            <w:tcW w:w="1197" w:type="dxa"/>
            <w:tcMar>
              <w:left w:w="108" w:type="dxa"/>
              <w:right w:w="108" w:type="dxa"/>
            </w:tcMar>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有关业绩</w:t>
            </w:r>
          </w:p>
        </w:tc>
        <w:tc>
          <w:tcPr>
            <w:tcW w:w="1268" w:type="dxa"/>
            <w:vMerge w:val="continue"/>
            <w:tcMar>
              <w:left w:w="108" w:type="dxa"/>
              <w:right w:w="108" w:type="dxa"/>
            </w:tcMar>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restart"/>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843" w:type="dxa"/>
            <w:vMerge w:val="restart"/>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751" w:type="dxa"/>
            <w:tcMar>
              <w:left w:w="108" w:type="dxa"/>
              <w:right w:w="108" w:type="dxa"/>
            </w:tcMar>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950" w:type="dxa"/>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123" w:type="dxa"/>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090" w:type="dxa"/>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197" w:type="dxa"/>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268" w:type="dxa"/>
            <w:tcMar>
              <w:left w:w="108" w:type="dxa"/>
              <w:right w:w="108" w:type="dxa"/>
            </w:tcMar>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843" w:type="dxa"/>
            <w:vMerge w:val="continue"/>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751" w:type="dxa"/>
            <w:tcMar>
              <w:left w:w="108" w:type="dxa"/>
              <w:right w:w="108" w:type="dxa"/>
            </w:tcMar>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950" w:type="dxa"/>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123" w:type="dxa"/>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090" w:type="dxa"/>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197" w:type="dxa"/>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268" w:type="dxa"/>
            <w:tcMar>
              <w:left w:w="108" w:type="dxa"/>
              <w:right w:w="108" w:type="dxa"/>
            </w:tcMar>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843" w:type="dxa"/>
            <w:vMerge w:val="continue"/>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751" w:type="dxa"/>
            <w:tcMar>
              <w:left w:w="108" w:type="dxa"/>
              <w:right w:w="108" w:type="dxa"/>
            </w:tcMar>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950" w:type="dxa"/>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123" w:type="dxa"/>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090" w:type="dxa"/>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197" w:type="dxa"/>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268" w:type="dxa"/>
            <w:tcMar>
              <w:left w:w="108" w:type="dxa"/>
              <w:right w:w="108" w:type="dxa"/>
            </w:tcMar>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restart"/>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843" w:type="dxa"/>
            <w:vMerge w:val="restart"/>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751" w:type="dxa"/>
            <w:tcMar>
              <w:left w:w="108" w:type="dxa"/>
              <w:right w:w="108" w:type="dxa"/>
            </w:tcMar>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950" w:type="dxa"/>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123" w:type="dxa"/>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090" w:type="dxa"/>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197" w:type="dxa"/>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268" w:type="dxa"/>
            <w:tcMar>
              <w:left w:w="108" w:type="dxa"/>
              <w:right w:w="108" w:type="dxa"/>
            </w:tcMar>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843" w:type="dxa"/>
            <w:vMerge w:val="continue"/>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751" w:type="dxa"/>
            <w:tcMar>
              <w:left w:w="108" w:type="dxa"/>
              <w:right w:w="108" w:type="dxa"/>
            </w:tcMar>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950" w:type="dxa"/>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123" w:type="dxa"/>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090" w:type="dxa"/>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197" w:type="dxa"/>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268" w:type="dxa"/>
            <w:tcMar>
              <w:left w:w="108" w:type="dxa"/>
              <w:right w:w="108" w:type="dxa"/>
            </w:tcMar>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843" w:type="dxa"/>
            <w:vMerge w:val="continue"/>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751" w:type="dxa"/>
            <w:tcMar>
              <w:left w:w="108" w:type="dxa"/>
              <w:right w:w="108" w:type="dxa"/>
            </w:tcMar>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950" w:type="dxa"/>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123" w:type="dxa"/>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090" w:type="dxa"/>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197" w:type="dxa"/>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268" w:type="dxa"/>
            <w:tcMar>
              <w:left w:w="108" w:type="dxa"/>
              <w:right w:w="108" w:type="dxa"/>
            </w:tcMar>
            <w:vAlign w:val="center"/>
          </w:tcPr>
          <w:p>
            <w:pPr>
              <w:wordWrap w:val="0"/>
              <w:jc w:val="center"/>
              <w:rPr>
                <w:color w:val="000000" w:themeColor="text1"/>
                <w:szCs w:val="21"/>
                <w14:textFill>
                  <w14:solidFill>
                    <w14:schemeClr w14:val="tx1"/>
                  </w14:solidFill>
                </w14:textFill>
              </w:rPr>
            </w:pPr>
          </w:p>
        </w:tc>
      </w:tr>
    </w:tbl>
    <w:p>
      <w:pPr>
        <w:wordWrap w:val="0"/>
        <w:spacing w:line="440" w:lineRule="exact"/>
        <w:ind w:right="420"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备注：本表所列</w:t>
      </w:r>
      <w:r>
        <w:rPr>
          <w:rFonts w:hint="eastAsia"/>
          <w:color w:val="000000" w:themeColor="text1"/>
          <w:szCs w:val="21"/>
          <w14:textFill>
            <w14:solidFill>
              <w14:schemeClr w14:val="tx1"/>
            </w14:solidFill>
          </w14:textFill>
        </w:rPr>
        <w:t>再发包</w:t>
      </w:r>
      <w:r>
        <w:rPr>
          <w:color w:val="000000" w:themeColor="text1"/>
          <w:szCs w:val="21"/>
          <w14:textFill>
            <w14:solidFill>
              <w14:schemeClr w14:val="tx1"/>
            </w14:solidFill>
          </w14:textFill>
        </w:rPr>
        <w:t>仅限于</w:t>
      </w:r>
      <w:r>
        <w:rPr>
          <w:rFonts w:hint="eastAsia"/>
          <w:color w:val="000000" w:themeColor="text1"/>
          <w:szCs w:val="21"/>
          <w14:textFill>
            <w14:solidFill>
              <w14:schemeClr w14:val="tx1"/>
            </w14:solidFill>
          </w14:textFill>
        </w:rPr>
        <w:t>工程总承包企业将工程的全部设计或者全部施工业务（二者选其一）再发包给具备相应资质条件的设计单位、施工总承包单位；工程总承包企业可以将工程的全部勘察业务再发包给具备相应资质条件的勘察单位。</w:t>
      </w:r>
    </w:p>
    <w:p>
      <w:pPr>
        <w:wordWrap w:val="0"/>
        <w:spacing w:line="440" w:lineRule="exact"/>
        <w:ind w:right="420"/>
        <w:jc w:val="right"/>
        <w:rPr>
          <w:color w:val="000000" w:themeColor="text1"/>
          <w:szCs w:val="21"/>
          <w14:textFill>
            <w14:solidFill>
              <w14:schemeClr w14:val="tx1"/>
            </w14:solidFill>
          </w14:textFill>
        </w:rPr>
      </w:pPr>
    </w:p>
    <w:p>
      <w:pPr>
        <w:keepNext/>
        <w:keepLines/>
        <w:wordWrap w:val="0"/>
        <w:spacing w:before="100" w:line="400" w:lineRule="exact"/>
        <w:jc w:val="center"/>
        <w:outlineLvl w:val="1"/>
        <w:rPr>
          <w:rFonts w:eastAsia="黑体" w:cs="宋体"/>
          <w:color w:val="000000" w:themeColor="text1"/>
          <w:sz w:val="28"/>
          <w:szCs w:val="20"/>
          <w14:textFill>
            <w14:solidFill>
              <w14:schemeClr w14:val="tx1"/>
            </w14:solidFill>
          </w14:textFill>
        </w:rPr>
      </w:pPr>
      <w:r>
        <w:rPr>
          <w:color w:val="000000" w:themeColor="text1"/>
          <w:szCs w:val="21"/>
          <w14:textFill>
            <w14:solidFill>
              <w14:schemeClr w14:val="tx1"/>
            </w14:solidFill>
          </w14:textFill>
        </w:rPr>
        <w:t>日期：年月日</w:t>
      </w:r>
    </w:p>
    <w:p>
      <w:pPr>
        <w:keepNext/>
        <w:keepLines/>
        <w:wordWrap w:val="0"/>
        <w:spacing w:before="100" w:line="400" w:lineRule="exact"/>
        <w:jc w:val="center"/>
        <w:outlineLvl w:val="1"/>
        <w:rPr>
          <w:rFonts w:eastAsia="黑体" w:cs="宋体"/>
          <w:color w:val="000000" w:themeColor="text1"/>
          <w:sz w:val="28"/>
          <w:szCs w:val="20"/>
          <w14:textFill>
            <w14:solidFill>
              <w14:schemeClr w14:val="tx1"/>
            </w14:solidFill>
          </w14:textFill>
        </w:rPr>
      </w:pPr>
    </w:p>
    <w:p>
      <w:pPr>
        <w:keepNext/>
        <w:keepLines/>
        <w:wordWrap w:val="0"/>
        <w:spacing w:before="100" w:line="400" w:lineRule="exact"/>
        <w:jc w:val="center"/>
        <w:outlineLvl w:val="1"/>
        <w:rPr>
          <w:rFonts w:eastAsia="黑体" w:cs="宋体"/>
          <w:color w:val="000000" w:themeColor="text1"/>
          <w:sz w:val="28"/>
          <w:szCs w:val="20"/>
          <w14:textFill>
            <w14:solidFill>
              <w14:schemeClr w14:val="tx1"/>
            </w14:solidFill>
          </w14:textFill>
        </w:rPr>
      </w:pPr>
    </w:p>
    <w:p>
      <w:pPr>
        <w:keepNext/>
        <w:keepLines/>
        <w:wordWrap w:val="0"/>
        <w:spacing w:before="100" w:line="400" w:lineRule="exact"/>
        <w:jc w:val="center"/>
        <w:outlineLvl w:val="1"/>
        <w:rPr>
          <w:rFonts w:eastAsia="黑体" w:cs="宋体"/>
          <w:color w:val="000000" w:themeColor="text1"/>
          <w:sz w:val="28"/>
          <w:szCs w:val="20"/>
          <w14:textFill>
            <w14:solidFill>
              <w14:schemeClr w14:val="tx1"/>
            </w14:solidFill>
          </w14:textFill>
        </w:rPr>
      </w:pPr>
      <w:r>
        <w:rPr>
          <w:rFonts w:eastAsia="黑体" w:cs="宋体"/>
          <w:color w:val="000000" w:themeColor="text1"/>
          <w:sz w:val="28"/>
          <w:szCs w:val="20"/>
          <w14:textFill>
            <w14:solidFill>
              <w14:schemeClr w14:val="tx1"/>
            </w14:solidFill>
          </w14:textFill>
        </w:rPr>
        <w:t>拟分包计划表</w:t>
      </w:r>
    </w:p>
    <w:p>
      <w:pPr>
        <w:pStyle w:val="145"/>
        <w:wordWrap w:val="0"/>
        <w:jc w:val="center"/>
        <w:rPr>
          <w:b/>
          <w:color w:val="000000" w:themeColor="text1"/>
          <w:sz w:val="28"/>
          <w:szCs w:val="28"/>
          <w14:textFill>
            <w14:solidFill>
              <w14:schemeClr w14:val="tx1"/>
            </w14:solidFill>
          </w14:textFill>
        </w:rPr>
      </w:pPr>
    </w:p>
    <w:tbl>
      <w:tblPr>
        <w:tblStyle w:val="43"/>
        <w:tblW w:w="8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843"/>
        <w:gridCol w:w="751"/>
        <w:gridCol w:w="950"/>
        <w:gridCol w:w="1123"/>
        <w:gridCol w:w="1090"/>
        <w:gridCol w:w="1197"/>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restart"/>
            <w:tcMar>
              <w:left w:w="108" w:type="dxa"/>
              <w:right w:w="108" w:type="dxa"/>
            </w:tcMar>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序</w:t>
            </w:r>
          </w:p>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号</w:t>
            </w:r>
          </w:p>
        </w:tc>
        <w:tc>
          <w:tcPr>
            <w:tcW w:w="1843" w:type="dxa"/>
            <w:vMerge w:val="restart"/>
            <w:tcMar>
              <w:left w:w="108" w:type="dxa"/>
              <w:right w:w="108" w:type="dxa"/>
            </w:tcMar>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拟分包项目名称、范围及理由</w:t>
            </w:r>
          </w:p>
        </w:tc>
        <w:tc>
          <w:tcPr>
            <w:tcW w:w="5111" w:type="dxa"/>
            <w:gridSpan w:val="5"/>
            <w:tcMar>
              <w:left w:w="108" w:type="dxa"/>
              <w:right w:w="108" w:type="dxa"/>
            </w:tcMar>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拟选分包人</w:t>
            </w:r>
          </w:p>
        </w:tc>
        <w:tc>
          <w:tcPr>
            <w:tcW w:w="1268" w:type="dxa"/>
            <w:vMerge w:val="restart"/>
            <w:tcMar>
              <w:left w:w="108" w:type="dxa"/>
              <w:right w:w="108" w:type="dxa"/>
            </w:tcMar>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843" w:type="dxa"/>
            <w:vMerge w:val="continue"/>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701" w:type="dxa"/>
            <w:gridSpan w:val="2"/>
            <w:tcMar>
              <w:left w:w="108" w:type="dxa"/>
              <w:right w:w="108" w:type="dxa"/>
            </w:tcMar>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拟选分包人名称</w:t>
            </w:r>
          </w:p>
        </w:tc>
        <w:tc>
          <w:tcPr>
            <w:tcW w:w="1123" w:type="dxa"/>
            <w:tcMar>
              <w:left w:w="108" w:type="dxa"/>
              <w:right w:w="108" w:type="dxa"/>
            </w:tcMar>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注册地点</w:t>
            </w:r>
          </w:p>
        </w:tc>
        <w:tc>
          <w:tcPr>
            <w:tcW w:w="1090" w:type="dxa"/>
            <w:tcMar>
              <w:left w:w="108" w:type="dxa"/>
              <w:right w:w="108" w:type="dxa"/>
            </w:tcMar>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企业资质</w:t>
            </w:r>
          </w:p>
        </w:tc>
        <w:tc>
          <w:tcPr>
            <w:tcW w:w="1197" w:type="dxa"/>
            <w:tcMar>
              <w:left w:w="108" w:type="dxa"/>
              <w:right w:w="108" w:type="dxa"/>
            </w:tcMar>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有关业绩</w:t>
            </w:r>
          </w:p>
        </w:tc>
        <w:tc>
          <w:tcPr>
            <w:tcW w:w="1268" w:type="dxa"/>
            <w:vMerge w:val="continue"/>
            <w:tcMar>
              <w:left w:w="108" w:type="dxa"/>
              <w:right w:w="108" w:type="dxa"/>
            </w:tcMar>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restart"/>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843" w:type="dxa"/>
            <w:vMerge w:val="restart"/>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751" w:type="dxa"/>
            <w:tcMar>
              <w:left w:w="108" w:type="dxa"/>
              <w:right w:w="108" w:type="dxa"/>
            </w:tcMar>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950" w:type="dxa"/>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123" w:type="dxa"/>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090" w:type="dxa"/>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197" w:type="dxa"/>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268" w:type="dxa"/>
            <w:tcMar>
              <w:left w:w="108" w:type="dxa"/>
              <w:right w:w="108" w:type="dxa"/>
            </w:tcMar>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843" w:type="dxa"/>
            <w:vMerge w:val="continue"/>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751" w:type="dxa"/>
            <w:tcMar>
              <w:left w:w="108" w:type="dxa"/>
              <w:right w:w="108" w:type="dxa"/>
            </w:tcMar>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950" w:type="dxa"/>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123" w:type="dxa"/>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090" w:type="dxa"/>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197" w:type="dxa"/>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268" w:type="dxa"/>
            <w:tcMar>
              <w:left w:w="108" w:type="dxa"/>
              <w:right w:w="108" w:type="dxa"/>
            </w:tcMar>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843" w:type="dxa"/>
            <w:vMerge w:val="continue"/>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751" w:type="dxa"/>
            <w:tcMar>
              <w:left w:w="108" w:type="dxa"/>
              <w:right w:w="108" w:type="dxa"/>
            </w:tcMar>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950" w:type="dxa"/>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123" w:type="dxa"/>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090" w:type="dxa"/>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197" w:type="dxa"/>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268" w:type="dxa"/>
            <w:tcMar>
              <w:left w:w="108" w:type="dxa"/>
              <w:right w:w="108" w:type="dxa"/>
            </w:tcMar>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restart"/>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843" w:type="dxa"/>
            <w:vMerge w:val="restart"/>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751" w:type="dxa"/>
            <w:tcMar>
              <w:left w:w="108" w:type="dxa"/>
              <w:right w:w="108" w:type="dxa"/>
            </w:tcMar>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950" w:type="dxa"/>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123" w:type="dxa"/>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090" w:type="dxa"/>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197" w:type="dxa"/>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268" w:type="dxa"/>
            <w:tcMar>
              <w:left w:w="108" w:type="dxa"/>
              <w:right w:w="108" w:type="dxa"/>
            </w:tcMar>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843" w:type="dxa"/>
            <w:vMerge w:val="continue"/>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751" w:type="dxa"/>
            <w:tcMar>
              <w:left w:w="108" w:type="dxa"/>
              <w:right w:w="108" w:type="dxa"/>
            </w:tcMar>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950" w:type="dxa"/>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123" w:type="dxa"/>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090" w:type="dxa"/>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197" w:type="dxa"/>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268" w:type="dxa"/>
            <w:tcMar>
              <w:left w:w="108" w:type="dxa"/>
              <w:right w:w="108" w:type="dxa"/>
            </w:tcMar>
            <w:vAlign w:val="center"/>
          </w:tcPr>
          <w:p>
            <w:pPr>
              <w:wordWrap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843" w:type="dxa"/>
            <w:vMerge w:val="continue"/>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751" w:type="dxa"/>
            <w:tcMar>
              <w:left w:w="108" w:type="dxa"/>
              <w:right w:w="108" w:type="dxa"/>
            </w:tcMar>
            <w:vAlign w:val="center"/>
          </w:tcPr>
          <w:p>
            <w:pPr>
              <w:wordWrap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950" w:type="dxa"/>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123" w:type="dxa"/>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090" w:type="dxa"/>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197" w:type="dxa"/>
            <w:tcMar>
              <w:left w:w="108" w:type="dxa"/>
              <w:right w:w="108" w:type="dxa"/>
            </w:tcMar>
            <w:vAlign w:val="center"/>
          </w:tcPr>
          <w:p>
            <w:pPr>
              <w:wordWrap w:val="0"/>
              <w:jc w:val="center"/>
              <w:rPr>
                <w:color w:val="000000" w:themeColor="text1"/>
                <w:szCs w:val="21"/>
                <w14:textFill>
                  <w14:solidFill>
                    <w14:schemeClr w14:val="tx1"/>
                  </w14:solidFill>
                </w14:textFill>
              </w:rPr>
            </w:pPr>
          </w:p>
        </w:tc>
        <w:tc>
          <w:tcPr>
            <w:tcW w:w="1268" w:type="dxa"/>
            <w:tcMar>
              <w:left w:w="108" w:type="dxa"/>
              <w:right w:w="108" w:type="dxa"/>
            </w:tcMar>
            <w:vAlign w:val="center"/>
          </w:tcPr>
          <w:p>
            <w:pPr>
              <w:wordWrap w:val="0"/>
              <w:jc w:val="center"/>
              <w:rPr>
                <w:color w:val="000000" w:themeColor="text1"/>
                <w:szCs w:val="21"/>
                <w14:textFill>
                  <w14:solidFill>
                    <w14:schemeClr w14:val="tx1"/>
                  </w14:solidFill>
                </w14:textFill>
              </w:rPr>
            </w:pPr>
          </w:p>
        </w:tc>
      </w:tr>
    </w:tbl>
    <w:p>
      <w:pPr>
        <w:wordWrap w:val="0"/>
        <w:spacing w:line="440" w:lineRule="exact"/>
        <w:ind w:right="420"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备注：本表所列分包仅限于承包人</w:t>
      </w:r>
      <w:r>
        <w:rPr>
          <w:rFonts w:hint="eastAsia"/>
          <w:color w:val="000000" w:themeColor="text1"/>
          <w:szCs w:val="21"/>
          <w14:textFill>
            <w14:solidFill>
              <w14:schemeClr w14:val="tx1"/>
            </w14:solidFill>
          </w14:textFill>
        </w:rPr>
        <w:t>其承包工程范围内</w:t>
      </w:r>
      <w:r>
        <w:rPr>
          <w:color w:val="000000" w:themeColor="text1"/>
          <w:szCs w:val="21"/>
          <w14:textFill>
            <w14:solidFill>
              <w14:schemeClr w14:val="tx1"/>
            </w14:solidFill>
          </w14:textFill>
        </w:rPr>
        <w:t>的非主体、非关键工程。</w:t>
      </w:r>
    </w:p>
    <w:p>
      <w:pPr>
        <w:wordWrap w:val="0"/>
        <w:spacing w:line="440" w:lineRule="exact"/>
        <w:ind w:right="420"/>
        <w:jc w:val="right"/>
        <w:rPr>
          <w:color w:val="000000" w:themeColor="text1"/>
          <w:szCs w:val="21"/>
          <w14:textFill>
            <w14:solidFill>
              <w14:schemeClr w14:val="tx1"/>
            </w14:solidFill>
          </w14:textFill>
        </w:rPr>
      </w:pPr>
    </w:p>
    <w:p>
      <w:pPr>
        <w:wordWrap w:val="0"/>
        <w:spacing w:line="440" w:lineRule="exact"/>
        <w:ind w:right="420"/>
        <w:jc w:val="right"/>
        <w:rPr>
          <w:color w:val="000000" w:themeColor="text1"/>
          <w:szCs w:val="21"/>
          <w14:textFill>
            <w14:solidFill>
              <w14:schemeClr w14:val="tx1"/>
            </w14:solidFill>
          </w14:textFill>
        </w:rPr>
      </w:pPr>
      <w:r>
        <w:rPr>
          <w:color w:val="000000" w:themeColor="text1"/>
          <w:szCs w:val="21"/>
          <w14:textFill>
            <w14:solidFill>
              <w14:schemeClr w14:val="tx1"/>
            </w14:solidFill>
          </w14:textFill>
        </w:rPr>
        <w:t>日期：年月日</w:t>
      </w:r>
    </w:p>
    <w:p>
      <w:pPr>
        <w:wordWrap w:val="0"/>
        <w:spacing w:line="360" w:lineRule="auto"/>
        <w:ind w:firstLine="490"/>
        <w:jc w:val="center"/>
        <w:rPr>
          <w:color w:val="000000" w:themeColor="text1"/>
          <w14:textFill>
            <w14:solidFill>
              <w14:schemeClr w14:val="tx1"/>
            </w14:solidFill>
          </w14:textFill>
        </w:rPr>
      </w:pPr>
    </w:p>
    <w:p>
      <w:pPr>
        <w:wordWrap w:val="0"/>
        <w:spacing w:line="360" w:lineRule="auto"/>
        <w:ind w:firstLine="490"/>
        <w:jc w:val="center"/>
        <w:rPr>
          <w:color w:val="000000" w:themeColor="text1"/>
          <w14:textFill>
            <w14:solidFill>
              <w14:schemeClr w14:val="tx1"/>
            </w14:solidFill>
          </w14:textFill>
        </w:rPr>
      </w:pPr>
    </w:p>
    <w:p>
      <w:pPr>
        <w:wordWrap w:val="0"/>
        <w:spacing w:line="460" w:lineRule="exact"/>
        <w:jc w:val="center"/>
        <w:rPr>
          <w:rFonts w:eastAsia="黑体" w:cs="宋体"/>
          <w:color w:val="000000" w:themeColor="text1"/>
          <w:sz w:val="28"/>
          <w:szCs w:val="20"/>
          <w14:textFill>
            <w14:solidFill>
              <w14:schemeClr w14:val="tx1"/>
            </w14:solidFill>
          </w14:textFill>
        </w:rPr>
      </w:pPr>
      <w:r>
        <w:rPr>
          <w:rFonts w:hint="eastAsia" w:eastAsia="黑体" w:cs="宋体"/>
          <w:color w:val="000000" w:themeColor="text1"/>
          <w:sz w:val="28"/>
          <w:szCs w:val="20"/>
          <w14:textFill>
            <w14:solidFill>
              <w14:schemeClr w14:val="tx1"/>
            </w14:solidFill>
          </w14:textFill>
        </w:rPr>
        <w:t>设计文件标</w:t>
      </w:r>
    </w:p>
    <w:p>
      <w:pPr>
        <w:wordWrap w:val="0"/>
        <w:spacing w:line="460" w:lineRule="exact"/>
        <w:jc w:val="center"/>
        <w:rPr>
          <w:rFonts w:ascii="宋体" w:hAnsi="宋体" w:cs="宋体"/>
          <w:color w:val="000000" w:themeColor="text1"/>
          <w:sz w:val="28"/>
          <w:szCs w:val="20"/>
          <w14:textFill>
            <w14:solidFill>
              <w14:schemeClr w14:val="tx1"/>
            </w14:solidFill>
          </w14:textFill>
        </w:rPr>
      </w:pPr>
      <w:r>
        <w:rPr>
          <w:rFonts w:hint="eastAsia" w:ascii="宋体" w:hAnsi="宋体" w:cs="宋体"/>
          <w:color w:val="000000" w:themeColor="text1"/>
          <w:sz w:val="28"/>
          <w:szCs w:val="20"/>
          <w14:textFill>
            <w14:solidFill>
              <w14:schemeClr w14:val="tx1"/>
            </w14:solidFill>
          </w14:textFill>
        </w:rPr>
        <w:t>（指方案设计文件、初步设计文件或者专业工程设计文件）</w:t>
      </w:r>
    </w:p>
    <w:p>
      <w:pPr>
        <w:wordWrap w:val="0"/>
        <w:spacing w:line="360" w:lineRule="auto"/>
        <w:ind w:firstLine="490"/>
        <w:jc w:val="center"/>
        <w:rPr>
          <w:rFonts w:eastAsia="黑体" w:cs="宋体"/>
          <w:color w:val="000000" w:themeColor="text1"/>
          <w:sz w:val="28"/>
          <w:szCs w:val="20"/>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（略）</w:t>
      </w:r>
      <w:r>
        <w:rPr>
          <w:rFonts w:eastAsia="黑体" w:cs="宋体"/>
          <w:color w:val="000000" w:themeColor="text1"/>
          <w:sz w:val="28"/>
          <w:szCs w:val="20"/>
          <w14:textFill>
            <w14:solidFill>
              <w14:schemeClr w14:val="tx1"/>
            </w14:solidFill>
          </w14:textFill>
        </w:rPr>
        <w:br w:type="page"/>
      </w:r>
    </w:p>
    <w:p>
      <w:pPr>
        <w:wordWrap w:val="0"/>
        <w:spacing w:line="360" w:lineRule="auto"/>
        <w:ind w:firstLine="490"/>
        <w:jc w:val="center"/>
        <w:rPr>
          <w:rFonts w:eastAsia="黑体" w:cs="宋体"/>
          <w:color w:val="000000" w:themeColor="text1"/>
          <w:sz w:val="28"/>
          <w:szCs w:val="20"/>
          <w14:textFill>
            <w14:solidFill>
              <w14:schemeClr w14:val="tx1"/>
            </w14:solidFill>
          </w14:textFill>
        </w:rPr>
      </w:pPr>
      <w:r>
        <w:rPr>
          <w:rFonts w:hint="eastAsia" w:eastAsia="黑体" w:cs="宋体"/>
          <w:color w:val="000000" w:themeColor="text1"/>
          <w:sz w:val="28"/>
          <w:szCs w:val="20"/>
          <w14:textFill>
            <w14:solidFill>
              <w14:schemeClr w14:val="tx1"/>
            </w14:solidFill>
          </w14:textFill>
        </w:rPr>
        <w:t>工程总承包报价</w:t>
      </w:r>
    </w:p>
    <w:p>
      <w:pPr>
        <w:wordWrap w:val="0"/>
        <w:spacing w:line="360" w:lineRule="auto"/>
        <w:ind w:firstLine="490"/>
        <w:jc w:val="center"/>
        <w:rPr>
          <w:color w:val="000000" w:themeColor="text1"/>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（略）</w:t>
      </w:r>
    </w:p>
    <w:p>
      <w:pPr>
        <w:wordWrap w:val="0"/>
        <w:spacing w:line="360" w:lineRule="auto"/>
        <w:ind w:firstLine="490"/>
        <w:jc w:val="center"/>
        <w:rPr>
          <w:color w:val="000000" w:themeColor="text1"/>
          <w14:textFill>
            <w14:solidFill>
              <w14:schemeClr w14:val="tx1"/>
            </w14:solidFill>
          </w14:textFill>
        </w:rPr>
      </w:pPr>
    </w:p>
    <w:p>
      <w:pPr>
        <w:wordWrap w:val="0"/>
        <w:spacing w:line="360" w:lineRule="auto"/>
        <w:ind w:firstLine="490"/>
        <w:jc w:val="center"/>
        <w:rPr>
          <w:color w:val="000000" w:themeColor="text1"/>
          <w14:textFill>
            <w14:solidFill>
              <w14:schemeClr w14:val="tx1"/>
            </w14:solidFill>
          </w14:textFill>
        </w:rPr>
      </w:pPr>
    </w:p>
    <w:p>
      <w:pPr>
        <w:wordWrap w:val="0"/>
        <w:spacing w:line="360" w:lineRule="auto"/>
        <w:ind w:firstLine="490"/>
        <w:jc w:val="center"/>
        <w:rPr>
          <w:color w:val="000000" w:themeColor="text1"/>
          <w14:textFill>
            <w14:solidFill>
              <w14:schemeClr w14:val="tx1"/>
            </w14:solidFill>
          </w14:textFill>
        </w:rPr>
      </w:pPr>
    </w:p>
    <w:p>
      <w:pPr>
        <w:wordWrap w:val="0"/>
        <w:spacing w:line="360" w:lineRule="auto"/>
        <w:ind w:firstLine="490"/>
        <w:jc w:val="center"/>
        <w:rPr>
          <w:color w:val="000000" w:themeColor="text1"/>
          <w14:textFill>
            <w14:solidFill>
              <w14:schemeClr w14:val="tx1"/>
            </w14:solidFill>
          </w14:textFill>
        </w:rPr>
      </w:pPr>
    </w:p>
    <w:p>
      <w:pPr>
        <w:wordWrap w:val="0"/>
        <w:autoSpaceDE w:val="0"/>
        <w:autoSpaceDN w:val="0"/>
        <w:adjustRightInd w:val="0"/>
        <w:spacing w:line="360" w:lineRule="auto"/>
        <w:jc w:val="center"/>
        <w:rPr>
          <w:rFonts w:eastAsia="黑体" w:cs="宋体"/>
          <w:color w:val="000000" w:themeColor="text1"/>
          <w:sz w:val="28"/>
          <w:szCs w:val="20"/>
          <w14:textFill>
            <w14:solidFill>
              <w14:schemeClr w14:val="tx1"/>
            </w14:solidFill>
          </w14:textFill>
        </w:rPr>
      </w:pPr>
      <w:r>
        <w:rPr>
          <w:rFonts w:hint="eastAsia" w:eastAsia="黑体" w:cs="宋体"/>
          <w:color w:val="000000" w:themeColor="text1"/>
          <w:sz w:val="28"/>
          <w:szCs w:val="20"/>
          <w14:textFill>
            <w14:solidFill>
              <w14:schemeClr w14:val="tx1"/>
            </w14:solidFill>
          </w14:textFill>
        </w:rPr>
        <w:t>投标分项报</w:t>
      </w:r>
      <w:r>
        <w:rPr>
          <w:rFonts w:eastAsia="黑体" w:cs="宋体"/>
          <w:color w:val="000000" w:themeColor="text1"/>
          <w:sz w:val="28"/>
          <w:szCs w:val="20"/>
          <w14:textFill>
            <w14:solidFill>
              <w14:schemeClr w14:val="tx1"/>
            </w14:solidFill>
          </w14:textFill>
        </w:rPr>
        <w:t>价汇总</w:t>
      </w:r>
      <w:r>
        <w:rPr>
          <w:rFonts w:hint="eastAsia" w:eastAsia="黑体" w:cs="宋体"/>
          <w:color w:val="000000" w:themeColor="text1"/>
          <w:sz w:val="28"/>
          <w:szCs w:val="20"/>
          <w14:textFill>
            <w14:solidFill>
              <w14:schemeClr w14:val="tx1"/>
            </w14:solidFill>
          </w14:textFill>
        </w:rPr>
        <w:t>表</w:t>
      </w:r>
    </w:p>
    <w:p>
      <w:pPr>
        <w:wordWrap w:val="0"/>
        <w:spacing w:line="360" w:lineRule="auto"/>
        <w:ind w:firstLine="49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（略）</w:t>
      </w:r>
    </w:p>
    <w:p>
      <w:pPr>
        <w:wordWrap w:val="0"/>
        <w:spacing w:line="360" w:lineRule="auto"/>
        <w:ind w:firstLine="490"/>
        <w:jc w:val="center"/>
        <w:rPr>
          <w:rFonts w:ascii="宋体" w:hAnsi="宋体" w:cs="宋体"/>
          <w:color w:val="000000" w:themeColor="text1"/>
          <w:kern w:val="0"/>
          <w:szCs w:val="21"/>
          <w14:textFill>
            <w14:solidFill>
              <w14:schemeClr w14:val="tx1"/>
            </w14:solidFill>
          </w14:textFill>
        </w:rPr>
      </w:pPr>
    </w:p>
    <w:p>
      <w:pPr>
        <w:wordWrap w:val="0"/>
        <w:spacing w:line="360" w:lineRule="auto"/>
        <w:ind w:firstLine="490"/>
        <w:jc w:val="center"/>
        <w:rPr>
          <w:rFonts w:ascii="宋体" w:hAnsi="宋体" w:cs="宋体"/>
          <w:color w:val="000000" w:themeColor="text1"/>
          <w:kern w:val="0"/>
          <w:szCs w:val="21"/>
          <w14:textFill>
            <w14:solidFill>
              <w14:schemeClr w14:val="tx1"/>
            </w14:solidFill>
          </w14:textFill>
        </w:rPr>
      </w:pPr>
    </w:p>
    <w:p>
      <w:pPr>
        <w:wordWrap w:val="0"/>
        <w:spacing w:line="360" w:lineRule="auto"/>
        <w:ind w:firstLine="490"/>
        <w:jc w:val="center"/>
        <w:rPr>
          <w:rFonts w:ascii="宋体" w:hAnsi="宋体" w:cs="宋体"/>
          <w:color w:val="000000" w:themeColor="text1"/>
          <w:kern w:val="0"/>
          <w:szCs w:val="21"/>
          <w14:textFill>
            <w14:solidFill>
              <w14:schemeClr w14:val="tx1"/>
            </w14:solidFill>
          </w14:textFill>
        </w:rPr>
      </w:pPr>
    </w:p>
    <w:p>
      <w:pPr>
        <w:wordWrap w:val="0"/>
        <w:spacing w:line="360" w:lineRule="auto"/>
        <w:ind w:firstLine="490"/>
        <w:jc w:val="center"/>
        <w:rPr>
          <w:rFonts w:eastAsia="黑体" w:cs="宋体"/>
          <w:color w:val="000000" w:themeColor="text1"/>
          <w:sz w:val="28"/>
          <w:szCs w:val="20"/>
          <w14:textFill>
            <w14:solidFill>
              <w14:schemeClr w14:val="tx1"/>
            </w14:solidFill>
          </w14:textFill>
        </w:rPr>
      </w:pPr>
      <w:r>
        <w:rPr>
          <w:rFonts w:hint="eastAsia" w:eastAsia="黑体" w:cs="宋体"/>
          <w:color w:val="000000" w:themeColor="text1"/>
          <w:sz w:val="28"/>
          <w:szCs w:val="20"/>
          <w14:textFill>
            <w14:solidFill>
              <w14:schemeClr w14:val="tx1"/>
            </w14:solidFill>
          </w14:textFill>
        </w:rPr>
        <w:t>各投标分项报</w:t>
      </w:r>
      <w:r>
        <w:rPr>
          <w:rFonts w:eastAsia="黑体" w:cs="宋体"/>
          <w:color w:val="000000" w:themeColor="text1"/>
          <w:sz w:val="28"/>
          <w:szCs w:val="20"/>
          <w14:textFill>
            <w14:solidFill>
              <w14:schemeClr w14:val="tx1"/>
            </w14:solidFill>
          </w14:textFill>
        </w:rPr>
        <w:t>价</w:t>
      </w:r>
      <w:r>
        <w:rPr>
          <w:rFonts w:hint="eastAsia" w:eastAsia="黑体" w:cs="宋体"/>
          <w:color w:val="000000" w:themeColor="text1"/>
          <w:sz w:val="28"/>
          <w:szCs w:val="20"/>
          <w14:textFill>
            <w14:solidFill>
              <w14:schemeClr w14:val="tx1"/>
            </w14:solidFill>
          </w14:textFill>
        </w:rPr>
        <w:t>明细表</w:t>
      </w:r>
    </w:p>
    <w:p>
      <w:pPr>
        <w:wordWrap w:val="0"/>
        <w:spacing w:line="360" w:lineRule="auto"/>
        <w:ind w:firstLine="490"/>
        <w:jc w:val="cente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（略）</w:t>
      </w:r>
      <w:r>
        <w:rPr>
          <w:rFonts w:ascii="宋体" w:hAnsi="宋体" w:cs="宋体"/>
          <w:color w:val="000000" w:themeColor="text1"/>
          <w:kern w:val="0"/>
          <w:sz w:val="28"/>
          <w:szCs w:val="28"/>
          <w14:textFill>
            <w14:solidFill>
              <w14:schemeClr w14:val="tx1"/>
            </w14:solidFill>
          </w14:textFill>
        </w:rPr>
        <w:br w:type="page"/>
      </w:r>
    </w:p>
    <w:p>
      <w:pPr>
        <w:wordWrap w:val="0"/>
        <w:spacing w:line="360" w:lineRule="auto"/>
        <w:ind w:firstLine="490"/>
        <w:jc w:val="center"/>
        <w:rPr>
          <w:rFonts w:eastAsia="黑体" w:cs="宋体"/>
          <w:color w:val="000000" w:themeColor="text1"/>
          <w:sz w:val="28"/>
          <w:szCs w:val="20"/>
          <w14:textFill>
            <w14:solidFill>
              <w14:schemeClr w14:val="tx1"/>
            </w14:solidFill>
          </w14:textFill>
        </w:rPr>
      </w:pPr>
      <w:r>
        <w:rPr>
          <w:rFonts w:hint="eastAsia" w:eastAsia="黑体" w:cs="宋体"/>
          <w:color w:val="000000" w:themeColor="text1"/>
          <w:sz w:val="28"/>
          <w:szCs w:val="20"/>
          <w14:textFill>
            <w14:solidFill>
              <w14:schemeClr w14:val="tx1"/>
            </w14:solidFill>
          </w14:textFill>
        </w:rPr>
        <w:t>项目管理组织方案</w:t>
      </w:r>
    </w:p>
    <w:p>
      <w:pPr>
        <w:wordWrap w:val="0"/>
        <w:spacing w:line="360" w:lineRule="auto"/>
        <w:ind w:firstLine="490"/>
        <w:jc w:val="center"/>
        <w:rPr>
          <w:rFonts w:eastAsia="黑体" w:cs="宋体"/>
          <w:color w:val="000000" w:themeColor="text1"/>
          <w:sz w:val="28"/>
          <w:szCs w:val="20"/>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（略）</w:t>
      </w:r>
    </w:p>
    <w:p>
      <w:pPr>
        <w:wordWrap w:val="0"/>
        <w:spacing w:line="360" w:lineRule="auto"/>
        <w:ind w:firstLine="490"/>
        <w:jc w:val="center"/>
        <w:rPr>
          <w:rFonts w:eastAsia="黑体" w:cs="宋体"/>
          <w:color w:val="000000" w:themeColor="text1"/>
          <w:sz w:val="28"/>
          <w:szCs w:val="20"/>
          <w14:textFill>
            <w14:solidFill>
              <w14:schemeClr w14:val="tx1"/>
            </w14:solidFill>
          </w14:textFill>
        </w:rPr>
      </w:pPr>
    </w:p>
    <w:p>
      <w:pPr>
        <w:wordWrap w:val="0"/>
        <w:spacing w:line="360" w:lineRule="auto"/>
        <w:ind w:firstLine="490"/>
        <w:jc w:val="center"/>
        <w:rPr>
          <w:rFonts w:eastAsia="黑体" w:cs="宋体"/>
          <w:color w:val="000000" w:themeColor="text1"/>
          <w:sz w:val="28"/>
          <w:szCs w:val="20"/>
          <w14:textFill>
            <w14:solidFill>
              <w14:schemeClr w14:val="tx1"/>
            </w14:solidFill>
          </w14:textFill>
        </w:rPr>
      </w:pPr>
    </w:p>
    <w:p>
      <w:pPr>
        <w:wordWrap w:val="0"/>
        <w:spacing w:line="360" w:lineRule="auto"/>
        <w:ind w:firstLine="490"/>
        <w:jc w:val="center"/>
        <w:rPr>
          <w:rFonts w:eastAsia="黑体" w:cs="宋体"/>
          <w:color w:val="000000" w:themeColor="text1"/>
          <w:sz w:val="28"/>
          <w:szCs w:val="20"/>
          <w14:textFill>
            <w14:solidFill>
              <w14:schemeClr w14:val="tx1"/>
            </w14:solidFill>
          </w14:textFill>
        </w:rPr>
      </w:pPr>
    </w:p>
    <w:p>
      <w:pPr>
        <w:wordWrap w:val="0"/>
        <w:spacing w:line="360" w:lineRule="auto"/>
        <w:ind w:firstLine="490"/>
        <w:jc w:val="center"/>
        <w:rPr>
          <w:rFonts w:eastAsia="黑体" w:cs="宋体"/>
          <w:color w:val="000000" w:themeColor="text1"/>
          <w:sz w:val="28"/>
          <w:szCs w:val="20"/>
          <w14:textFill>
            <w14:solidFill>
              <w14:schemeClr w14:val="tx1"/>
            </w14:solidFill>
          </w14:textFill>
        </w:rPr>
      </w:pPr>
      <w:r>
        <w:rPr>
          <w:rFonts w:hint="eastAsia" w:eastAsia="黑体" w:cs="宋体"/>
          <w:color w:val="000000" w:themeColor="text1"/>
          <w:sz w:val="28"/>
          <w:szCs w:val="20"/>
          <w14:textFill>
            <w14:solidFill>
              <w14:schemeClr w14:val="tx1"/>
            </w14:solidFill>
          </w14:textFill>
        </w:rPr>
        <w:t>工程业绩</w:t>
      </w:r>
    </w:p>
    <w:p>
      <w:pPr>
        <w:wordWrap w:val="0"/>
        <w:spacing w:line="360" w:lineRule="auto"/>
        <w:ind w:firstLine="490"/>
        <w:jc w:val="center"/>
        <w:rPr>
          <w:color w:val="000000" w:themeColor="text1"/>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（略）</w:t>
      </w:r>
    </w:p>
    <w:p>
      <w:pPr>
        <w:wordWrap w:val="0"/>
        <w:spacing w:line="460" w:lineRule="exact"/>
        <w:rPr>
          <w:color w:val="000000" w:themeColor="text1"/>
          <w:szCs w:val="21"/>
          <w14:textFill>
            <w14:solidFill>
              <w14:schemeClr w14:val="tx1"/>
            </w14:solidFill>
          </w14:textFill>
        </w:rPr>
      </w:pPr>
    </w:p>
    <w:p>
      <w:pPr>
        <w:wordWrap w:val="0"/>
        <w:spacing w:line="460" w:lineRule="exact"/>
        <w:rPr>
          <w:color w:val="000000" w:themeColor="text1"/>
          <w:szCs w:val="21"/>
          <w14:textFill>
            <w14:solidFill>
              <w14:schemeClr w14:val="tx1"/>
            </w14:solidFill>
          </w14:textFill>
        </w:rPr>
      </w:pPr>
    </w:p>
    <w:p>
      <w:pPr>
        <w:wordWrap w:val="0"/>
        <w:spacing w:line="460" w:lineRule="exact"/>
        <w:rPr>
          <w:color w:val="000000" w:themeColor="text1"/>
          <w:szCs w:val="21"/>
          <w14:textFill>
            <w14:solidFill>
              <w14:schemeClr w14:val="tx1"/>
            </w14:solidFill>
          </w14:textFill>
        </w:rPr>
      </w:pPr>
    </w:p>
    <w:p>
      <w:pPr>
        <w:wordWrap w:val="0"/>
        <w:spacing w:line="460" w:lineRule="exact"/>
        <w:rPr>
          <w:color w:val="000000" w:themeColor="text1"/>
          <w:szCs w:val="21"/>
          <w14:textFill>
            <w14:solidFill>
              <w14:schemeClr w14:val="tx1"/>
            </w14:solidFill>
          </w14:textFill>
        </w:rPr>
      </w:pPr>
    </w:p>
    <w:p>
      <w:pPr>
        <w:wordWrap w:val="0"/>
        <w:spacing w:line="460" w:lineRule="exact"/>
        <w:jc w:val="center"/>
        <w:rPr>
          <w:color w:val="000000" w:themeColor="text1"/>
          <w:szCs w:val="21"/>
          <w14:textFill>
            <w14:solidFill>
              <w14:schemeClr w14:val="tx1"/>
            </w14:solidFill>
          </w14:textFill>
        </w:rPr>
      </w:pPr>
      <w:r>
        <w:rPr>
          <w:rFonts w:hint="eastAsia" w:eastAsia="黑体" w:cs="宋体"/>
          <w:color w:val="000000" w:themeColor="text1"/>
          <w:sz w:val="28"/>
          <w:szCs w:val="20"/>
          <w14:textFill>
            <w14:solidFill>
              <w14:schemeClr w14:val="tx1"/>
            </w14:solidFill>
          </w14:textFill>
        </w:rPr>
        <w:t>资格审查资料</w:t>
      </w:r>
    </w:p>
    <w:p>
      <w:pPr>
        <w:wordWrap w:val="0"/>
        <w:spacing w:line="360" w:lineRule="auto"/>
        <w:ind w:firstLine="490"/>
        <w:jc w:val="cente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（略）</w:t>
      </w:r>
    </w:p>
    <w:p>
      <w:pPr>
        <w:wordWrap w:val="0"/>
        <w:spacing w:line="360" w:lineRule="auto"/>
        <w:ind w:firstLine="490"/>
        <w:jc w:val="center"/>
        <w:rPr>
          <w:rFonts w:ascii="宋体" w:hAnsi="宋体" w:cs="宋体"/>
          <w:color w:val="000000" w:themeColor="text1"/>
          <w:kern w:val="0"/>
          <w:sz w:val="28"/>
          <w:szCs w:val="28"/>
          <w14:textFill>
            <w14:solidFill>
              <w14:schemeClr w14:val="tx1"/>
            </w14:solidFill>
          </w14:textFill>
        </w:rPr>
      </w:pPr>
    </w:p>
    <w:p>
      <w:pPr>
        <w:wordWrap w:val="0"/>
        <w:spacing w:line="360" w:lineRule="auto"/>
        <w:ind w:firstLine="490"/>
        <w:jc w:val="center"/>
        <w:rPr>
          <w:rFonts w:ascii="宋体" w:hAnsi="宋体" w:cs="宋体"/>
          <w:color w:val="000000" w:themeColor="text1"/>
          <w:kern w:val="0"/>
          <w:sz w:val="28"/>
          <w:szCs w:val="28"/>
          <w14:textFill>
            <w14:solidFill>
              <w14:schemeClr w14:val="tx1"/>
            </w14:solidFill>
          </w14:textFill>
        </w:rPr>
      </w:pPr>
    </w:p>
    <w:p>
      <w:pPr>
        <w:wordWrap w:val="0"/>
        <w:spacing w:line="360" w:lineRule="auto"/>
        <w:ind w:firstLine="490"/>
        <w:jc w:val="center"/>
        <w:rPr>
          <w:color w:val="000000" w:themeColor="text1"/>
          <w14:textFill>
            <w14:solidFill>
              <w14:schemeClr w14:val="tx1"/>
            </w14:solidFill>
          </w14:textFill>
        </w:rPr>
      </w:pPr>
    </w:p>
    <w:p>
      <w:pPr>
        <w:wordWrap w:val="0"/>
        <w:spacing w:line="460" w:lineRule="exact"/>
        <w:jc w:val="center"/>
        <w:rPr>
          <w:rFonts w:eastAsia="黑体" w:cs="宋体"/>
          <w:color w:val="000000" w:themeColor="text1"/>
          <w:sz w:val="28"/>
          <w:szCs w:val="20"/>
          <w14:textFill>
            <w14:solidFill>
              <w14:schemeClr w14:val="tx1"/>
            </w14:solidFill>
          </w14:textFill>
        </w:rPr>
      </w:pPr>
      <w:r>
        <w:rPr>
          <w:rFonts w:hint="eastAsia" w:eastAsia="黑体" w:cs="宋体"/>
          <w:color w:val="000000" w:themeColor="text1"/>
          <w:sz w:val="28"/>
          <w:szCs w:val="20"/>
          <w14:textFill>
            <w14:solidFill>
              <w14:schemeClr w14:val="tx1"/>
            </w14:solidFill>
          </w14:textFill>
        </w:rPr>
        <w:t>其他资料</w:t>
      </w:r>
    </w:p>
    <w:p>
      <w:pPr>
        <w:wordWrap w:val="0"/>
        <w:spacing w:line="360" w:lineRule="auto"/>
        <w:ind w:firstLine="490"/>
        <w:jc w:val="center"/>
        <w:rPr>
          <w:rFonts w:ascii="宋体" w:hAnsi="宋体" w:cs="宋体"/>
          <w:color w:val="000000" w:themeColor="text1"/>
          <w:kern w:val="0"/>
          <w:sz w:val="28"/>
          <w:szCs w:val="28"/>
          <w14:textFill>
            <w14:solidFill>
              <w14:schemeClr w14:val="tx1"/>
            </w14:solidFill>
          </w14:textFill>
        </w:rPr>
      </w:pPr>
    </w:p>
    <w:p>
      <w:pPr>
        <w:wordWrap w:val="0"/>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1.招标文件要求提交的其他资料；</w:t>
      </w:r>
    </w:p>
    <w:p>
      <w:pPr>
        <w:wordWrap w:val="0"/>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2.投标人认为有必要提供的其他资料。</w:t>
      </w:r>
    </w:p>
    <w:bookmarkEnd w:id="153"/>
    <w:p>
      <w:pPr>
        <w:wordWrap w:val="0"/>
        <w:spacing w:line="460" w:lineRule="exact"/>
        <w:jc w:val="center"/>
        <w:rPr>
          <w:rFonts w:eastAsia="黑体" w:cs="宋体"/>
          <w:color w:val="000000" w:themeColor="text1"/>
          <w:sz w:val="28"/>
          <w:szCs w:val="20"/>
          <w14:textFill>
            <w14:solidFill>
              <w14:schemeClr w14:val="tx1"/>
            </w14:solidFill>
          </w14:textFill>
        </w:rPr>
      </w:pPr>
    </w:p>
    <w:sectPr>
      <w:pgSz w:w="11907" w:h="16840"/>
      <w:pgMar w:top="1440" w:right="1559" w:bottom="1440" w:left="1560" w:header="851" w:footer="851" w:gutter="0"/>
      <w:pgBorders>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MS Gothic">
    <w:panose1 w:val="020B0609070205080204"/>
    <w:charset w:val="80"/>
    <w:family w:val="modern"/>
    <w:pitch w:val="default"/>
    <w:sig w:usb0="E00002FF" w:usb1="6AC7FDFB" w:usb2="08000012" w:usb3="00000000" w:csb0="4002009F" w:csb1="DFD70000"/>
  </w:font>
  <w:font w:name="Wingdings 2">
    <w:panose1 w:val="05020102010507070707"/>
    <w:charset w:val="02"/>
    <w:family w:val="roma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6"/>
      </w:rPr>
    </w:pPr>
    <w:r>
      <w:fldChar w:fldCharType="begin"/>
    </w:r>
    <w:r>
      <w:rPr>
        <w:rStyle w:val="46"/>
      </w:rPr>
      <w:instrText xml:space="preserve">PAGE  </w:instrText>
    </w:r>
    <w:r>
      <w:fldChar w:fldCharType="end"/>
    </w: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6"/>
      </w:rPr>
    </w:pPr>
    <w:r>
      <w:fldChar w:fldCharType="begin"/>
    </w:r>
    <w:r>
      <w:rPr>
        <w:rStyle w:val="46"/>
      </w:rPr>
      <w:instrText xml:space="preserve">PAGE  </w:instrText>
    </w:r>
    <w:r>
      <w:fldChar w:fldCharType="end"/>
    </w:r>
  </w:p>
  <w:p>
    <w:pPr>
      <w:pStyle w:val="2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EDC8E7"/>
    <w:multiLevelType w:val="singleLevel"/>
    <w:tmpl w:val="A8EDC8E7"/>
    <w:lvl w:ilvl="0" w:tentative="0">
      <w:start w:val="6"/>
      <w:numFmt w:val="decimal"/>
      <w:suff w:val="space"/>
      <w:lvlText w:val="%1."/>
      <w:lvlJc w:val="left"/>
    </w:lvl>
  </w:abstractNum>
  <w:abstractNum w:abstractNumId="1">
    <w:nsid w:val="F1DD7897"/>
    <w:multiLevelType w:val="singleLevel"/>
    <w:tmpl w:val="F1DD7897"/>
    <w:lvl w:ilvl="0" w:tentative="0">
      <w:start w:val="1"/>
      <w:numFmt w:val="decimal"/>
      <w:suff w:val="nothing"/>
      <w:lvlText w:val="（%1）"/>
      <w:lvlJc w:val="left"/>
    </w:lvl>
  </w:abstractNum>
  <w:abstractNum w:abstractNumId="2">
    <w:nsid w:val="41774699"/>
    <w:multiLevelType w:val="multilevel"/>
    <w:tmpl w:val="41774699"/>
    <w:lvl w:ilvl="0" w:tentative="0">
      <w:start w:val="5"/>
      <w:numFmt w:val="bullet"/>
      <w:lvlText w:val="□"/>
      <w:lvlJc w:val="left"/>
      <w:pPr>
        <w:ind w:left="840" w:hanging="360"/>
      </w:pPr>
      <w:rPr>
        <w:rFonts w:hint="eastAsia" w:ascii="宋体" w:hAnsi="宋体" w:eastAsia="宋体" w:cs="Times New Roman"/>
        <w:u w:val="none"/>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
    <w:nsid w:val="58B62CEB"/>
    <w:multiLevelType w:val="singleLevel"/>
    <w:tmpl w:val="58B62CEB"/>
    <w:lvl w:ilvl="0" w:tentative="0">
      <w:start w:val="8"/>
      <w:numFmt w:val="decimal"/>
      <w:suff w:val="space"/>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22"/>
    <w:rsid w:val="00003FDF"/>
    <w:rsid w:val="00004B96"/>
    <w:rsid w:val="00021402"/>
    <w:rsid w:val="000350EF"/>
    <w:rsid w:val="00035501"/>
    <w:rsid w:val="000414B0"/>
    <w:rsid w:val="000421F4"/>
    <w:rsid w:val="00042887"/>
    <w:rsid w:val="000553E0"/>
    <w:rsid w:val="0005617E"/>
    <w:rsid w:val="00065046"/>
    <w:rsid w:val="00074994"/>
    <w:rsid w:val="000844B2"/>
    <w:rsid w:val="00093406"/>
    <w:rsid w:val="000A3F34"/>
    <w:rsid w:val="000A5E96"/>
    <w:rsid w:val="000A648A"/>
    <w:rsid w:val="000B2072"/>
    <w:rsid w:val="000B3653"/>
    <w:rsid w:val="000B4B75"/>
    <w:rsid w:val="000C3DE0"/>
    <w:rsid w:val="000C6B96"/>
    <w:rsid w:val="000C7C2A"/>
    <w:rsid w:val="000D15CE"/>
    <w:rsid w:val="000F0C0D"/>
    <w:rsid w:val="001042FB"/>
    <w:rsid w:val="00113654"/>
    <w:rsid w:val="00117C8E"/>
    <w:rsid w:val="00151428"/>
    <w:rsid w:val="00157F40"/>
    <w:rsid w:val="00161522"/>
    <w:rsid w:val="001615FC"/>
    <w:rsid w:val="001622A4"/>
    <w:rsid w:val="00164923"/>
    <w:rsid w:val="00181661"/>
    <w:rsid w:val="00190C6B"/>
    <w:rsid w:val="00191E72"/>
    <w:rsid w:val="001A1924"/>
    <w:rsid w:val="001A1A10"/>
    <w:rsid w:val="001A6534"/>
    <w:rsid w:val="001B19E0"/>
    <w:rsid w:val="001C510C"/>
    <w:rsid w:val="001C6E3B"/>
    <w:rsid w:val="001D14E4"/>
    <w:rsid w:val="001D17A9"/>
    <w:rsid w:val="001D1878"/>
    <w:rsid w:val="001D627C"/>
    <w:rsid w:val="001E2BB9"/>
    <w:rsid w:val="00200F74"/>
    <w:rsid w:val="002031B1"/>
    <w:rsid w:val="00205B22"/>
    <w:rsid w:val="00213773"/>
    <w:rsid w:val="00220DB5"/>
    <w:rsid w:val="00227E44"/>
    <w:rsid w:val="00231B15"/>
    <w:rsid w:val="00240047"/>
    <w:rsid w:val="002411A6"/>
    <w:rsid w:val="00247395"/>
    <w:rsid w:val="00252486"/>
    <w:rsid w:val="00257B74"/>
    <w:rsid w:val="00271632"/>
    <w:rsid w:val="00272831"/>
    <w:rsid w:val="002773CD"/>
    <w:rsid w:val="0027746E"/>
    <w:rsid w:val="0028010A"/>
    <w:rsid w:val="00282401"/>
    <w:rsid w:val="00286910"/>
    <w:rsid w:val="0029127C"/>
    <w:rsid w:val="0029274A"/>
    <w:rsid w:val="00297B3B"/>
    <w:rsid w:val="002A534B"/>
    <w:rsid w:val="002B0D0D"/>
    <w:rsid w:val="002B0D12"/>
    <w:rsid w:val="002B50EC"/>
    <w:rsid w:val="002C4C57"/>
    <w:rsid w:val="002C630B"/>
    <w:rsid w:val="002D05B7"/>
    <w:rsid w:val="002D59EC"/>
    <w:rsid w:val="002E1D37"/>
    <w:rsid w:val="002E3B7F"/>
    <w:rsid w:val="002F7718"/>
    <w:rsid w:val="003059E7"/>
    <w:rsid w:val="003153F4"/>
    <w:rsid w:val="003225A1"/>
    <w:rsid w:val="00326E87"/>
    <w:rsid w:val="0032764D"/>
    <w:rsid w:val="0033271E"/>
    <w:rsid w:val="0034084B"/>
    <w:rsid w:val="0034216B"/>
    <w:rsid w:val="00353025"/>
    <w:rsid w:val="00353513"/>
    <w:rsid w:val="00362622"/>
    <w:rsid w:val="00362875"/>
    <w:rsid w:val="00391743"/>
    <w:rsid w:val="003942EA"/>
    <w:rsid w:val="003A228C"/>
    <w:rsid w:val="003A78A8"/>
    <w:rsid w:val="003C34A3"/>
    <w:rsid w:val="003C3E4A"/>
    <w:rsid w:val="003C424F"/>
    <w:rsid w:val="003C5496"/>
    <w:rsid w:val="003D24F4"/>
    <w:rsid w:val="003E0D22"/>
    <w:rsid w:val="003F382C"/>
    <w:rsid w:val="003F498A"/>
    <w:rsid w:val="0040061B"/>
    <w:rsid w:val="00403C7F"/>
    <w:rsid w:val="00420508"/>
    <w:rsid w:val="00422820"/>
    <w:rsid w:val="00431339"/>
    <w:rsid w:val="004318B5"/>
    <w:rsid w:val="00434CD0"/>
    <w:rsid w:val="00437E21"/>
    <w:rsid w:val="004436E6"/>
    <w:rsid w:val="00443CA6"/>
    <w:rsid w:val="00455850"/>
    <w:rsid w:val="004647AF"/>
    <w:rsid w:val="004752CD"/>
    <w:rsid w:val="004803AA"/>
    <w:rsid w:val="004910FA"/>
    <w:rsid w:val="00491603"/>
    <w:rsid w:val="004A263A"/>
    <w:rsid w:val="004A2920"/>
    <w:rsid w:val="004B04F5"/>
    <w:rsid w:val="004B13E9"/>
    <w:rsid w:val="004C1E02"/>
    <w:rsid w:val="004C52F4"/>
    <w:rsid w:val="004C61D7"/>
    <w:rsid w:val="004D72E5"/>
    <w:rsid w:val="004E0459"/>
    <w:rsid w:val="004E3BA3"/>
    <w:rsid w:val="004F1BD1"/>
    <w:rsid w:val="004F6742"/>
    <w:rsid w:val="00503536"/>
    <w:rsid w:val="005233F2"/>
    <w:rsid w:val="00524386"/>
    <w:rsid w:val="005248B2"/>
    <w:rsid w:val="005455BB"/>
    <w:rsid w:val="0055073B"/>
    <w:rsid w:val="0055468A"/>
    <w:rsid w:val="0056128C"/>
    <w:rsid w:val="00572B5B"/>
    <w:rsid w:val="00572FC7"/>
    <w:rsid w:val="00573433"/>
    <w:rsid w:val="00574AB1"/>
    <w:rsid w:val="005808EE"/>
    <w:rsid w:val="00580AE2"/>
    <w:rsid w:val="005838B4"/>
    <w:rsid w:val="00584AA6"/>
    <w:rsid w:val="0058724E"/>
    <w:rsid w:val="0059002F"/>
    <w:rsid w:val="00593AB1"/>
    <w:rsid w:val="005A0627"/>
    <w:rsid w:val="005A39F9"/>
    <w:rsid w:val="005B32B3"/>
    <w:rsid w:val="005C1BA6"/>
    <w:rsid w:val="005D0BF1"/>
    <w:rsid w:val="005D5EDC"/>
    <w:rsid w:val="005E38BF"/>
    <w:rsid w:val="005F54AF"/>
    <w:rsid w:val="0061317A"/>
    <w:rsid w:val="00614433"/>
    <w:rsid w:val="006166D8"/>
    <w:rsid w:val="00622398"/>
    <w:rsid w:val="0062633C"/>
    <w:rsid w:val="0063219F"/>
    <w:rsid w:val="00634167"/>
    <w:rsid w:val="00634EDF"/>
    <w:rsid w:val="00637C62"/>
    <w:rsid w:val="00642878"/>
    <w:rsid w:val="006548AA"/>
    <w:rsid w:val="00657473"/>
    <w:rsid w:val="00662020"/>
    <w:rsid w:val="00662EED"/>
    <w:rsid w:val="00663185"/>
    <w:rsid w:val="0066740E"/>
    <w:rsid w:val="0067709E"/>
    <w:rsid w:val="006874FE"/>
    <w:rsid w:val="00693422"/>
    <w:rsid w:val="006A3F66"/>
    <w:rsid w:val="006A5524"/>
    <w:rsid w:val="006B50DC"/>
    <w:rsid w:val="006B75E4"/>
    <w:rsid w:val="006C5FBD"/>
    <w:rsid w:val="006D55B6"/>
    <w:rsid w:val="006E0306"/>
    <w:rsid w:val="006E578D"/>
    <w:rsid w:val="006E6B5A"/>
    <w:rsid w:val="006F33C2"/>
    <w:rsid w:val="006F6022"/>
    <w:rsid w:val="00724076"/>
    <w:rsid w:val="00727C58"/>
    <w:rsid w:val="00727CB5"/>
    <w:rsid w:val="00730587"/>
    <w:rsid w:val="00730AA6"/>
    <w:rsid w:val="00745FB2"/>
    <w:rsid w:val="007477DE"/>
    <w:rsid w:val="0076096A"/>
    <w:rsid w:val="00776F31"/>
    <w:rsid w:val="00790E98"/>
    <w:rsid w:val="00793D88"/>
    <w:rsid w:val="007A4514"/>
    <w:rsid w:val="007A711C"/>
    <w:rsid w:val="007B4694"/>
    <w:rsid w:val="007D047F"/>
    <w:rsid w:val="007D1810"/>
    <w:rsid w:val="007D3CD8"/>
    <w:rsid w:val="007D3FAC"/>
    <w:rsid w:val="007E08A4"/>
    <w:rsid w:val="007E2FC8"/>
    <w:rsid w:val="007E597A"/>
    <w:rsid w:val="007E7053"/>
    <w:rsid w:val="00804C1A"/>
    <w:rsid w:val="00817465"/>
    <w:rsid w:val="00825A84"/>
    <w:rsid w:val="00831111"/>
    <w:rsid w:val="0083374D"/>
    <w:rsid w:val="0083438B"/>
    <w:rsid w:val="00834C04"/>
    <w:rsid w:val="0083563C"/>
    <w:rsid w:val="00836DCC"/>
    <w:rsid w:val="00840C47"/>
    <w:rsid w:val="008410C6"/>
    <w:rsid w:val="00844324"/>
    <w:rsid w:val="00846F3F"/>
    <w:rsid w:val="00857CBC"/>
    <w:rsid w:val="00863C46"/>
    <w:rsid w:val="00874ED8"/>
    <w:rsid w:val="008815A6"/>
    <w:rsid w:val="00882352"/>
    <w:rsid w:val="00882F53"/>
    <w:rsid w:val="00887714"/>
    <w:rsid w:val="00893270"/>
    <w:rsid w:val="00896C37"/>
    <w:rsid w:val="008A7E43"/>
    <w:rsid w:val="008C1B8C"/>
    <w:rsid w:val="008C45A6"/>
    <w:rsid w:val="008D370D"/>
    <w:rsid w:val="008E2E4F"/>
    <w:rsid w:val="008E6422"/>
    <w:rsid w:val="008F4DE2"/>
    <w:rsid w:val="008F79D6"/>
    <w:rsid w:val="008F7BB4"/>
    <w:rsid w:val="00921198"/>
    <w:rsid w:val="00923A16"/>
    <w:rsid w:val="00927161"/>
    <w:rsid w:val="00927E5B"/>
    <w:rsid w:val="009301F7"/>
    <w:rsid w:val="00934829"/>
    <w:rsid w:val="00935FD2"/>
    <w:rsid w:val="00940D6F"/>
    <w:rsid w:val="00956636"/>
    <w:rsid w:val="00966317"/>
    <w:rsid w:val="00972716"/>
    <w:rsid w:val="009756D6"/>
    <w:rsid w:val="00982772"/>
    <w:rsid w:val="00990334"/>
    <w:rsid w:val="009A163E"/>
    <w:rsid w:val="009A1B2C"/>
    <w:rsid w:val="009A5003"/>
    <w:rsid w:val="009A7315"/>
    <w:rsid w:val="009B0744"/>
    <w:rsid w:val="009B27E7"/>
    <w:rsid w:val="009C01AA"/>
    <w:rsid w:val="009C25EF"/>
    <w:rsid w:val="009D0B22"/>
    <w:rsid w:val="009D189D"/>
    <w:rsid w:val="009E3D93"/>
    <w:rsid w:val="009E43A0"/>
    <w:rsid w:val="009F5FF8"/>
    <w:rsid w:val="00A066E2"/>
    <w:rsid w:val="00A25354"/>
    <w:rsid w:val="00A27C36"/>
    <w:rsid w:val="00A33975"/>
    <w:rsid w:val="00A409C0"/>
    <w:rsid w:val="00A40DE9"/>
    <w:rsid w:val="00A418A4"/>
    <w:rsid w:val="00A45D2E"/>
    <w:rsid w:val="00A47432"/>
    <w:rsid w:val="00A55CF7"/>
    <w:rsid w:val="00A61C1A"/>
    <w:rsid w:val="00A736FF"/>
    <w:rsid w:val="00A92AEA"/>
    <w:rsid w:val="00A951F8"/>
    <w:rsid w:val="00AA1DF7"/>
    <w:rsid w:val="00AA2783"/>
    <w:rsid w:val="00AA3F5D"/>
    <w:rsid w:val="00AA7275"/>
    <w:rsid w:val="00AB7C1F"/>
    <w:rsid w:val="00AC060A"/>
    <w:rsid w:val="00AC3E18"/>
    <w:rsid w:val="00AC77C0"/>
    <w:rsid w:val="00AE350D"/>
    <w:rsid w:val="00B064FB"/>
    <w:rsid w:val="00B15B9B"/>
    <w:rsid w:val="00B173B5"/>
    <w:rsid w:val="00B178DB"/>
    <w:rsid w:val="00B25685"/>
    <w:rsid w:val="00B61BD0"/>
    <w:rsid w:val="00B63354"/>
    <w:rsid w:val="00B72028"/>
    <w:rsid w:val="00B82F4B"/>
    <w:rsid w:val="00B83BFA"/>
    <w:rsid w:val="00B90E7A"/>
    <w:rsid w:val="00B91030"/>
    <w:rsid w:val="00BA16F9"/>
    <w:rsid w:val="00BA3204"/>
    <w:rsid w:val="00BB6BE0"/>
    <w:rsid w:val="00BB6DFF"/>
    <w:rsid w:val="00BB7226"/>
    <w:rsid w:val="00BC0E2C"/>
    <w:rsid w:val="00BC2B39"/>
    <w:rsid w:val="00BC3194"/>
    <w:rsid w:val="00BC3338"/>
    <w:rsid w:val="00BD4159"/>
    <w:rsid w:val="00BD7123"/>
    <w:rsid w:val="00BF7680"/>
    <w:rsid w:val="00C02B07"/>
    <w:rsid w:val="00C037CD"/>
    <w:rsid w:val="00C04486"/>
    <w:rsid w:val="00C13FB2"/>
    <w:rsid w:val="00C16AB5"/>
    <w:rsid w:val="00C23D85"/>
    <w:rsid w:val="00C31040"/>
    <w:rsid w:val="00C31DA7"/>
    <w:rsid w:val="00C32FEE"/>
    <w:rsid w:val="00C33363"/>
    <w:rsid w:val="00C3490B"/>
    <w:rsid w:val="00C41930"/>
    <w:rsid w:val="00C447B5"/>
    <w:rsid w:val="00C475BC"/>
    <w:rsid w:val="00C5172E"/>
    <w:rsid w:val="00C55081"/>
    <w:rsid w:val="00C656FE"/>
    <w:rsid w:val="00C83522"/>
    <w:rsid w:val="00C85E97"/>
    <w:rsid w:val="00C967CF"/>
    <w:rsid w:val="00CA1957"/>
    <w:rsid w:val="00CA22E3"/>
    <w:rsid w:val="00CB1F4C"/>
    <w:rsid w:val="00CC2086"/>
    <w:rsid w:val="00CC5530"/>
    <w:rsid w:val="00CC64C1"/>
    <w:rsid w:val="00CD101A"/>
    <w:rsid w:val="00CD5614"/>
    <w:rsid w:val="00CE71FB"/>
    <w:rsid w:val="00CF2185"/>
    <w:rsid w:val="00CF2A94"/>
    <w:rsid w:val="00D002E9"/>
    <w:rsid w:val="00D24186"/>
    <w:rsid w:val="00D33B54"/>
    <w:rsid w:val="00D358BD"/>
    <w:rsid w:val="00D47014"/>
    <w:rsid w:val="00D57408"/>
    <w:rsid w:val="00D664BE"/>
    <w:rsid w:val="00D8780F"/>
    <w:rsid w:val="00D94548"/>
    <w:rsid w:val="00DA037A"/>
    <w:rsid w:val="00DA3F47"/>
    <w:rsid w:val="00DA5C91"/>
    <w:rsid w:val="00DA63C2"/>
    <w:rsid w:val="00DA71B5"/>
    <w:rsid w:val="00DB49BE"/>
    <w:rsid w:val="00DB5383"/>
    <w:rsid w:val="00DD081D"/>
    <w:rsid w:val="00DD1BEA"/>
    <w:rsid w:val="00E07EDA"/>
    <w:rsid w:val="00E13836"/>
    <w:rsid w:val="00E13A55"/>
    <w:rsid w:val="00E159D0"/>
    <w:rsid w:val="00E15FC5"/>
    <w:rsid w:val="00E2286C"/>
    <w:rsid w:val="00E35BF5"/>
    <w:rsid w:val="00E43F89"/>
    <w:rsid w:val="00E5680D"/>
    <w:rsid w:val="00E65EC6"/>
    <w:rsid w:val="00E71733"/>
    <w:rsid w:val="00E7340E"/>
    <w:rsid w:val="00E737C2"/>
    <w:rsid w:val="00E80649"/>
    <w:rsid w:val="00E922B4"/>
    <w:rsid w:val="00EA38EF"/>
    <w:rsid w:val="00EC4E17"/>
    <w:rsid w:val="00EE4681"/>
    <w:rsid w:val="00EE4E6A"/>
    <w:rsid w:val="00EF1F24"/>
    <w:rsid w:val="00EF3F2F"/>
    <w:rsid w:val="00F0055D"/>
    <w:rsid w:val="00F027F2"/>
    <w:rsid w:val="00F066D9"/>
    <w:rsid w:val="00F424F8"/>
    <w:rsid w:val="00F452D7"/>
    <w:rsid w:val="00F45B2D"/>
    <w:rsid w:val="00F51E2F"/>
    <w:rsid w:val="00F5769B"/>
    <w:rsid w:val="00F663CC"/>
    <w:rsid w:val="00F72261"/>
    <w:rsid w:val="00F75008"/>
    <w:rsid w:val="00F82A1B"/>
    <w:rsid w:val="00F91DFA"/>
    <w:rsid w:val="00F9322A"/>
    <w:rsid w:val="00F93B4B"/>
    <w:rsid w:val="00FA087F"/>
    <w:rsid w:val="00FA257F"/>
    <w:rsid w:val="00FA3B39"/>
    <w:rsid w:val="00FA6B4D"/>
    <w:rsid w:val="00FB0D2E"/>
    <w:rsid w:val="00FB32A1"/>
    <w:rsid w:val="00FB68A0"/>
    <w:rsid w:val="00FC3076"/>
    <w:rsid w:val="00FC6000"/>
    <w:rsid w:val="00FD2B54"/>
    <w:rsid w:val="00FE61E3"/>
    <w:rsid w:val="024210C5"/>
    <w:rsid w:val="02FC2535"/>
    <w:rsid w:val="03044915"/>
    <w:rsid w:val="035739C7"/>
    <w:rsid w:val="042A43F3"/>
    <w:rsid w:val="04C602CD"/>
    <w:rsid w:val="04D911DD"/>
    <w:rsid w:val="056E677B"/>
    <w:rsid w:val="058257B4"/>
    <w:rsid w:val="05D83BCA"/>
    <w:rsid w:val="067F244E"/>
    <w:rsid w:val="071657E1"/>
    <w:rsid w:val="074844C9"/>
    <w:rsid w:val="078A5A76"/>
    <w:rsid w:val="08480940"/>
    <w:rsid w:val="09A1273A"/>
    <w:rsid w:val="0A1159C6"/>
    <w:rsid w:val="0A191F80"/>
    <w:rsid w:val="0BBC7A29"/>
    <w:rsid w:val="0C5E5E27"/>
    <w:rsid w:val="0C9B5698"/>
    <w:rsid w:val="0CFF69F6"/>
    <w:rsid w:val="0D4D3237"/>
    <w:rsid w:val="0DA6314F"/>
    <w:rsid w:val="0ECC62B1"/>
    <w:rsid w:val="0EFC24E4"/>
    <w:rsid w:val="0F4D143D"/>
    <w:rsid w:val="11782C0D"/>
    <w:rsid w:val="11A62DD1"/>
    <w:rsid w:val="122709FE"/>
    <w:rsid w:val="128C2B25"/>
    <w:rsid w:val="129302FA"/>
    <w:rsid w:val="137D31D1"/>
    <w:rsid w:val="14041A93"/>
    <w:rsid w:val="15311201"/>
    <w:rsid w:val="15756710"/>
    <w:rsid w:val="164E7FB9"/>
    <w:rsid w:val="16CB1BED"/>
    <w:rsid w:val="17AE4BAB"/>
    <w:rsid w:val="17D247F7"/>
    <w:rsid w:val="18DE33F9"/>
    <w:rsid w:val="19A37BA5"/>
    <w:rsid w:val="19B052A1"/>
    <w:rsid w:val="19E55CF1"/>
    <w:rsid w:val="1B7B7127"/>
    <w:rsid w:val="1C2C23A5"/>
    <w:rsid w:val="1DCD37C0"/>
    <w:rsid w:val="1F993E90"/>
    <w:rsid w:val="20737FE2"/>
    <w:rsid w:val="20EE6483"/>
    <w:rsid w:val="22B3330F"/>
    <w:rsid w:val="22CC5D2F"/>
    <w:rsid w:val="23E351CD"/>
    <w:rsid w:val="24674CA6"/>
    <w:rsid w:val="25913D7C"/>
    <w:rsid w:val="26986E18"/>
    <w:rsid w:val="283E24F0"/>
    <w:rsid w:val="283E3FC5"/>
    <w:rsid w:val="289F613A"/>
    <w:rsid w:val="28E04D9C"/>
    <w:rsid w:val="29DE34B1"/>
    <w:rsid w:val="2ABC1C1D"/>
    <w:rsid w:val="2C0149D3"/>
    <w:rsid w:val="2C6153B8"/>
    <w:rsid w:val="2CE87989"/>
    <w:rsid w:val="2D85006C"/>
    <w:rsid w:val="2E5A6CF9"/>
    <w:rsid w:val="2EE558F1"/>
    <w:rsid w:val="31425FBD"/>
    <w:rsid w:val="31A50F78"/>
    <w:rsid w:val="321A2F2E"/>
    <w:rsid w:val="32BF42CE"/>
    <w:rsid w:val="32CB413A"/>
    <w:rsid w:val="339774E9"/>
    <w:rsid w:val="34FC0461"/>
    <w:rsid w:val="353852AA"/>
    <w:rsid w:val="38C27B56"/>
    <w:rsid w:val="3B7B4CCA"/>
    <w:rsid w:val="3C012A5E"/>
    <w:rsid w:val="3CD112FD"/>
    <w:rsid w:val="3D047D6B"/>
    <w:rsid w:val="3D431EEA"/>
    <w:rsid w:val="3D484FBF"/>
    <w:rsid w:val="3D6F6AF2"/>
    <w:rsid w:val="3D70322F"/>
    <w:rsid w:val="3E826AD4"/>
    <w:rsid w:val="3EEB3C1D"/>
    <w:rsid w:val="3F893F03"/>
    <w:rsid w:val="3FC348ED"/>
    <w:rsid w:val="3FDE6583"/>
    <w:rsid w:val="400E7372"/>
    <w:rsid w:val="40BB545F"/>
    <w:rsid w:val="420A0F6D"/>
    <w:rsid w:val="427E04F5"/>
    <w:rsid w:val="429A4F55"/>
    <w:rsid w:val="43C248C4"/>
    <w:rsid w:val="44B356F5"/>
    <w:rsid w:val="45E644AF"/>
    <w:rsid w:val="47D24C45"/>
    <w:rsid w:val="47FE28A1"/>
    <w:rsid w:val="48795834"/>
    <w:rsid w:val="489F7F75"/>
    <w:rsid w:val="48E52C0C"/>
    <w:rsid w:val="49004208"/>
    <w:rsid w:val="492E0EEB"/>
    <w:rsid w:val="49331DE4"/>
    <w:rsid w:val="493B72F9"/>
    <w:rsid w:val="49927375"/>
    <w:rsid w:val="49AA2A70"/>
    <w:rsid w:val="49CD492A"/>
    <w:rsid w:val="4A6A3C8C"/>
    <w:rsid w:val="4B66236B"/>
    <w:rsid w:val="4B731C59"/>
    <w:rsid w:val="4C132760"/>
    <w:rsid w:val="4C3473A6"/>
    <w:rsid w:val="4C402F9C"/>
    <w:rsid w:val="4C8F13AE"/>
    <w:rsid w:val="4CA13A3B"/>
    <w:rsid w:val="4CA613E0"/>
    <w:rsid w:val="4D153C5C"/>
    <w:rsid w:val="4D2C2228"/>
    <w:rsid w:val="4D4E1345"/>
    <w:rsid w:val="4D6774E6"/>
    <w:rsid w:val="4D692797"/>
    <w:rsid w:val="4E5528C1"/>
    <w:rsid w:val="4F9E469C"/>
    <w:rsid w:val="4FA703CD"/>
    <w:rsid w:val="50241C4F"/>
    <w:rsid w:val="5058493A"/>
    <w:rsid w:val="5068381A"/>
    <w:rsid w:val="51B32B04"/>
    <w:rsid w:val="52E857BB"/>
    <w:rsid w:val="531530F8"/>
    <w:rsid w:val="54AA492A"/>
    <w:rsid w:val="54CB7865"/>
    <w:rsid w:val="55746B0D"/>
    <w:rsid w:val="55B053C8"/>
    <w:rsid w:val="5651048E"/>
    <w:rsid w:val="567A0776"/>
    <w:rsid w:val="56EB51A7"/>
    <w:rsid w:val="56FC29CC"/>
    <w:rsid w:val="5777712B"/>
    <w:rsid w:val="58037FF6"/>
    <w:rsid w:val="58751C38"/>
    <w:rsid w:val="58CE4CE7"/>
    <w:rsid w:val="59A706C4"/>
    <w:rsid w:val="5A442DF5"/>
    <w:rsid w:val="5AEC714A"/>
    <w:rsid w:val="5C3D0A6C"/>
    <w:rsid w:val="5C7C64EB"/>
    <w:rsid w:val="5E2C1EB4"/>
    <w:rsid w:val="5E2D16BD"/>
    <w:rsid w:val="5ED17561"/>
    <w:rsid w:val="60377A1E"/>
    <w:rsid w:val="60A15BF4"/>
    <w:rsid w:val="621A794E"/>
    <w:rsid w:val="62A846EC"/>
    <w:rsid w:val="62B73A84"/>
    <w:rsid w:val="62F1470C"/>
    <w:rsid w:val="62F276C0"/>
    <w:rsid w:val="632B7853"/>
    <w:rsid w:val="63CB634C"/>
    <w:rsid w:val="65BA6C90"/>
    <w:rsid w:val="65F37D6B"/>
    <w:rsid w:val="66055BA0"/>
    <w:rsid w:val="667D1950"/>
    <w:rsid w:val="66C07984"/>
    <w:rsid w:val="673B4A1B"/>
    <w:rsid w:val="6748611A"/>
    <w:rsid w:val="68174580"/>
    <w:rsid w:val="68A164FB"/>
    <w:rsid w:val="68A41373"/>
    <w:rsid w:val="69572F69"/>
    <w:rsid w:val="6A6A6652"/>
    <w:rsid w:val="6B7E14B8"/>
    <w:rsid w:val="6BD51D0D"/>
    <w:rsid w:val="6C801C55"/>
    <w:rsid w:val="6D4F3A89"/>
    <w:rsid w:val="6D907326"/>
    <w:rsid w:val="6DDB43E0"/>
    <w:rsid w:val="6DF3081F"/>
    <w:rsid w:val="6E5E7445"/>
    <w:rsid w:val="6FB30AAA"/>
    <w:rsid w:val="6FF04E1F"/>
    <w:rsid w:val="710326DB"/>
    <w:rsid w:val="71386683"/>
    <w:rsid w:val="71893517"/>
    <w:rsid w:val="721A123B"/>
    <w:rsid w:val="734F591D"/>
    <w:rsid w:val="73E033D8"/>
    <w:rsid w:val="740041BA"/>
    <w:rsid w:val="74197FD2"/>
    <w:rsid w:val="741E194C"/>
    <w:rsid w:val="7425710E"/>
    <w:rsid w:val="74920950"/>
    <w:rsid w:val="756C19BE"/>
    <w:rsid w:val="77326EA2"/>
    <w:rsid w:val="776C1524"/>
    <w:rsid w:val="78EB36F2"/>
    <w:rsid w:val="78FD596B"/>
    <w:rsid w:val="7A3D55EE"/>
    <w:rsid w:val="7A63132D"/>
    <w:rsid w:val="7BD0524A"/>
    <w:rsid w:val="7BEE224E"/>
    <w:rsid w:val="7CA038CF"/>
    <w:rsid w:val="7CA777EF"/>
    <w:rsid w:val="7CFB6315"/>
    <w:rsid w:val="7DB20677"/>
    <w:rsid w:val="7F3E3C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7"/>
    <w:qFormat/>
    <w:uiPriority w:val="0"/>
    <w:pPr>
      <w:keepNext/>
      <w:keepLines/>
      <w:spacing w:line="360" w:lineRule="auto"/>
      <w:outlineLvl w:val="0"/>
    </w:pPr>
    <w:rPr>
      <w:rFonts w:eastAsia="黑体"/>
      <w:b/>
      <w:bCs/>
      <w:kern w:val="44"/>
      <w:sz w:val="32"/>
      <w:szCs w:val="44"/>
    </w:rPr>
  </w:style>
  <w:style w:type="paragraph" w:styleId="4">
    <w:name w:val="heading 2"/>
    <w:basedOn w:val="1"/>
    <w:next w:val="1"/>
    <w:link w:val="105"/>
    <w:qFormat/>
    <w:uiPriority w:val="0"/>
    <w:pPr>
      <w:keepNext/>
      <w:keepLines/>
      <w:spacing w:before="60" w:after="60" w:line="413" w:lineRule="auto"/>
      <w:outlineLvl w:val="1"/>
    </w:pPr>
    <w:rPr>
      <w:rFonts w:ascii="Arial" w:hAnsi="Arial" w:eastAsia="黑体"/>
      <w:b/>
      <w:bCs/>
      <w:szCs w:val="32"/>
    </w:rPr>
  </w:style>
  <w:style w:type="paragraph" w:styleId="5">
    <w:name w:val="heading 3"/>
    <w:basedOn w:val="1"/>
    <w:next w:val="1"/>
    <w:link w:val="84"/>
    <w:qFormat/>
    <w:uiPriority w:val="0"/>
    <w:pPr>
      <w:keepNext/>
      <w:keepLines/>
      <w:spacing w:line="360" w:lineRule="auto"/>
      <w:outlineLvl w:val="2"/>
    </w:pPr>
    <w:rPr>
      <w:rFonts w:eastAsia="黑体"/>
      <w:b/>
      <w:bCs/>
      <w:szCs w:val="32"/>
    </w:rPr>
  </w:style>
  <w:style w:type="paragraph" w:styleId="6">
    <w:name w:val="heading 4"/>
    <w:basedOn w:val="1"/>
    <w:next w:val="1"/>
    <w:link w:val="106"/>
    <w:qFormat/>
    <w:uiPriority w:val="0"/>
    <w:pPr>
      <w:keepNext/>
      <w:keepLines/>
      <w:spacing w:line="360" w:lineRule="auto"/>
      <w:outlineLvl w:val="3"/>
    </w:pPr>
    <w:rPr>
      <w:rFonts w:ascii="Arial" w:hAnsi="Arial"/>
      <w:b/>
      <w:bCs/>
      <w:szCs w:val="28"/>
    </w:rPr>
  </w:style>
  <w:style w:type="paragraph" w:styleId="7">
    <w:name w:val="heading 5"/>
    <w:basedOn w:val="1"/>
    <w:next w:val="1"/>
    <w:link w:val="55"/>
    <w:qFormat/>
    <w:uiPriority w:val="0"/>
    <w:pPr>
      <w:keepNext/>
      <w:keepLines/>
      <w:spacing w:before="280" w:after="290" w:line="376" w:lineRule="auto"/>
      <w:outlineLvl w:val="4"/>
    </w:pPr>
    <w:rPr>
      <w:b/>
      <w:bCs/>
      <w:sz w:val="28"/>
      <w:szCs w:val="28"/>
    </w:rPr>
  </w:style>
  <w:style w:type="paragraph" w:styleId="8">
    <w:name w:val="heading 6"/>
    <w:basedOn w:val="1"/>
    <w:next w:val="1"/>
    <w:link w:val="162"/>
    <w:qFormat/>
    <w:uiPriority w:val="0"/>
    <w:pPr>
      <w:keepNext/>
      <w:keepLines/>
      <w:spacing w:before="240" w:after="64" w:line="317" w:lineRule="auto"/>
      <w:outlineLvl w:val="5"/>
    </w:pPr>
    <w:rPr>
      <w:rFonts w:ascii="Cambria" w:hAnsi="Cambria"/>
      <w:b/>
      <w:bCs/>
      <w:sz w:val="24"/>
    </w:rPr>
  </w:style>
  <w:style w:type="paragraph" w:styleId="9">
    <w:name w:val="heading 7"/>
    <w:basedOn w:val="1"/>
    <w:next w:val="1"/>
    <w:link w:val="163"/>
    <w:qFormat/>
    <w:uiPriority w:val="0"/>
    <w:pPr>
      <w:keepNext/>
      <w:keepLines/>
      <w:spacing w:before="240" w:after="64" w:line="317" w:lineRule="auto"/>
      <w:outlineLvl w:val="6"/>
    </w:pPr>
    <w:rPr>
      <w:rFonts w:ascii="Calibri" w:hAnsi="Calibri"/>
      <w:b/>
      <w:bCs/>
      <w:sz w:val="24"/>
    </w:rPr>
  </w:style>
  <w:style w:type="paragraph" w:styleId="10">
    <w:name w:val="heading 8"/>
    <w:basedOn w:val="1"/>
    <w:next w:val="1"/>
    <w:link w:val="164"/>
    <w:qFormat/>
    <w:uiPriority w:val="0"/>
    <w:pPr>
      <w:keepNext/>
      <w:keepLines/>
      <w:spacing w:before="240" w:after="64" w:line="317" w:lineRule="auto"/>
      <w:outlineLvl w:val="7"/>
    </w:pPr>
    <w:rPr>
      <w:rFonts w:ascii="Cambria" w:hAnsi="Cambria"/>
      <w:sz w:val="24"/>
    </w:rPr>
  </w:style>
  <w:style w:type="paragraph" w:styleId="11">
    <w:name w:val="heading 9"/>
    <w:basedOn w:val="1"/>
    <w:next w:val="1"/>
    <w:link w:val="165"/>
    <w:qFormat/>
    <w:uiPriority w:val="0"/>
    <w:pPr>
      <w:keepNext/>
      <w:keepLines/>
      <w:spacing w:before="240" w:after="64" w:line="317" w:lineRule="auto"/>
      <w:outlineLvl w:val="8"/>
    </w:pPr>
    <w:rPr>
      <w:rFonts w:ascii="Cambria" w:hAnsi="Cambria"/>
      <w:szCs w:val="21"/>
    </w:rPr>
  </w:style>
  <w:style w:type="character" w:default="1" w:styleId="44">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75"/>
    <w:qFormat/>
    <w:uiPriority w:val="0"/>
    <w:pPr>
      <w:shd w:val="clear" w:color="auto" w:fill="000080"/>
    </w:pPr>
    <w:rPr>
      <w:shd w:val="clear" w:color="auto" w:fill="000080"/>
    </w:rPr>
  </w:style>
  <w:style w:type="paragraph" w:styleId="12">
    <w:name w:val="toc 7"/>
    <w:basedOn w:val="1"/>
    <w:next w:val="1"/>
    <w:qFormat/>
    <w:uiPriority w:val="39"/>
    <w:pPr>
      <w:ind w:left="2520" w:leftChars="1200"/>
    </w:pPr>
    <w:rPr>
      <w:rFonts w:ascii="Calibri" w:hAnsi="Calibri"/>
      <w:szCs w:val="22"/>
    </w:rPr>
  </w:style>
  <w:style w:type="paragraph" w:styleId="13">
    <w:name w:val="Normal Indent"/>
    <w:basedOn w:val="1"/>
    <w:qFormat/>
    <w:uiPriority w:val="0"/>
    <w:pPr>
      <w:widowControl/>
      <w:ind w:firstLine="420"/>
      <w:jc w:val="left"/>
    </w:pPr>
    <w:rPr>
      <w:sz w:val="20"/>
    </w:rPr>
  </w:style>
  <w:style w:type="paragraph" w:styleId="14">
    <w:name w:val="caption"/>
    <w:basedOn w:val="1"/>
    <w:next w:val="1"/>
    <w:qFormat/>
    <w:uiPriority w:val="0"/>
    <w:rPr>
      <w:rFonts w:ascii="Cambria" w:hAnsi="Cambria" w:eastAsia="黑体"/>
      <w:sz w:val="20"/>
      <w:szCs w:val="20"/>
    </w:rPr>
  </w:style>
  <w:style w:type="paragraph" w:styleId="15">
    <w:name w:val="annotation text"/>
    <w:basedOn w:val="1"/>
    <w:link w:val="65"/>
    <w:qFormat/>
    <w:uiPriority w:val="0"/>
    <w:pPr>
      <w:jc w:val="left"/>
    </w:pPr>
  </w:style>
  <w:style w:type="paragraph" w:styleId="16">
    <w:name w:val="Body Text 3"/>
    <w:basedOn w:val="1"/>
    <w:link w:val="168"/>
    <w:qFormat/>
    <w:uiPriority w:val="0"/>
    <w:pPr>
      <w:spacing w:after="120"/>
    </w:pPr>
    <w:rPr>
      <w:sz w:val="16"/>
      <w:szCs w:val="16"/>
    </w:rPr>
  </w:style>
  <w:style w:type="paragraph" w:styleId="17">
    <w:name w:val="Body Text"/>
    <w:basedOn w:val="1"/>
    <w:link w:val="112"/>
    <w:qFormat/>
    <w:uiPriority w:val="0"/>
    <w:pPr>
      <w:adjustRightInd w:val="0"/>
      <w:spacing w:after="60" w:line="360" w:lineRule="atLeast"/>
      <w:ind w:left="72" w:leftChars="30" w:right="30" w:rightChars="30"/>
      <w:jc w:val="center"/>
      <w:textAlignment w:val="baseline"/>
    </w:pPr>
    <w:rPr>
      <w:szCs w:val="22"/>
    </w:rPr>
  </w:style>
  <w:style w:type="paragraph" w:styleId="18">
    <w:name w:val="Body Text Indent"/>
    <w:basedOn w:val="1"/>
    <w:link w:val="118"/>
    <w:qFormat/>
    <w:uiPriority w:val="0"/>
    <w:pPr>
      <w:spacing w:before="240" w:line="360" w:lineRule="auto"/>
      <w:ind w:firstLine="552" w:firstLineChars="263"/>
    </w:pPr>
    <w:rPr>
      <w:rFonts w:ascii="宋体" w:hAnsi="宋体"/>
      <w:szCs w:val="20"/>
    </w:rPr>
  </w:style>
  <w:style w:type="paragraph" w:styleId="19">
    <w:name w:val="index 4"/>
    <w:basedOn w:val="1"/>
    <w:next w:val="1"/>
    <w:qFormat/>
    <w:uiPriority w:val="0"/>
    <w:pPr>
      <w:ind w:left="600" w:leftChars="600"/>
    </w:pPr>
  </w:style>
  <w:style w:type="paragraph" w:styleId="20">
    <w:name w:val="toc 5"/>
    <w:basedOn w:val="1"/>
    <w:next w:val="1"/>
    <w:qFormat/>
    <w:uiPriority w:val="39"/>
    <w:pPr>
      <w:ind w:left="1680" w:leftChars="800"/>
    </w:pPr>
    <w:rPr>
      <w:rFonts w:ascii="Calibri" w:hAnsi="Calibri"/>
      <w:szCs w:val="22"/>
    </w:rPr>
  </w:style>
  <w:style w:type="paragraph" w:styleId="21">
    <w:name w:val="toc 3"/>
    <w:basedOn w:val="22"/>
    <w:next w:val="22"/>
    <w:qFormat/>
    <w:uiPriority w:val="39"/>
    <w:pPr>
      <w:ind w:left="840" w:leftChars="400"/>
    </w:pPr>
  </w:style>
  <w:style w:type="paragraph" w:customStyle="1" w:styleId="22">
    <w:name w:val="正文_0"/>
    <w:qFormat/>
    <w:uiPriority w:val="0"/>
    <w:pPr>
      <w:widowControl w:val="0"/>
      <w:jc w:val="both"/>
    </w:pPr>
    <w:rPr>
      <w:rFonts w:ascii="Calibri" w:hAnsi="Calibri" w:eastAsia="宋体" w:cs="Times New Roman"/>
      <w:kern w:val="2"/>
      <w:sz w:val="21"/>
      <w:szCs w:val="22"/>
      <w:lang w:val="en-US" w:eastAsia="zh-CN" w:bidi="ar-SA"/>
    </w:rPr>
  </w:style>
  <w:style w:type="paragraph" w:styleId="23">
    <w:name w:val="Plain Text"/>
    <w:basedOn w:val="1"/>
    <w:link w:val="66"/>
    <w:qFormat/>
    <w:uiPriority w:val="0"/>
    <w:rPr>
      <w:rFonts w:ascii="宋体" w:hAnsi="Courier New"/>
    </w:rPr>
  </w:style>
  <w:style w:type="paragraph" w:styleId="24">
    <w:name w:val="toc 8"/>
    <w:basedOn w:val="1"/>
    <w:next w:val="1"/>
    <w:qFormat/>
    <w:uiPriority w:val="39"/>
    <w:pPr>
      <w:ind w:left="2940" w:leftChars="1400"/>
    </w:pPr>
    <w:rPr>
      <w:rFonts w:ascii="Calibri" w:hAnsi="Calibri"/>
      <w:szCs w:val="22"/>
    </w:rPr>
  </w:style>
  <w:style w:type="paragraph" w:styleId="25">
    <w:name w:val="Date"/>
    <w:basedOn w:val="1"/>
    <w:next w:val="1"/>
    <w:link w:val="54"/>
    <w:qFormat/>
    <w:uiPriority w:val="0"/>
    <w:pPr>
      <w:ind w:left="100" w:leftChars="2500"/>
    </w:pPr>
  </w:style>
  <w:style w:type="paragraph" w:styleId="26">
    <w:name w:val="Body Text Indent 2"/>
    <w:basedOn w:val="1"/>
    <w:link w:val="125"/>
    <w:qFormat/>
    <w:uiPriority w:val="0"/>
    <w:pPr>
      <w:spacing w:after="120" w:line="480" w:lineRule="auto"/>
      <w:ind w:left="420" w:leftChars="200"/>
    </w:pPr>
  </w:style>
  <w:style w:type="paragraph" w:styleId="27">
    <w:name w:val="Balloon Text"/>
    <w:basedOn w:val="1"/>
    <w:link w:val="63"/>
    <w:qFormat/>
    <w:uiPriority w:val="0"/>
    <w:rPr>
      <w:sz w:val="18"/>
      <w:szCs w:val="18"/>
    </w:rPr>
  </w:style>
  <w:style w:type="paragraph" w:styleId="28">
    <w:name w:val="footer"/>
    <w:basedOn w:val="1"/>
    <w:link w:val="56"/>
    <w:qFormat/>
    <w:uiPriority w:val="99"/>
    <w:pPr>
      <w:tabs>
        <w:tab w:val="center" w:pos="4153"/>
        <w:tab w:val="right" w:pos="8306"/>
      </w:tabs>
      <w:snapToGrid w:val="0"/>
      <w:jc w:val="left"/>
    </w:pPr>
    <w:rPr>
      <w:sz w:val="18"/>
      <w:szCs w:val="18"/>
    </w:rPr>
  </w:style>
  <w:style w:type="paragraph" w:styleId="29">
    <w:name w:val="header"/>
    <w:basedOn w:val="1"/>
    <w:link w:val="114"/>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pPr>
      <w:spacing w:before="60" w:line="400" w:lineRule="exact"/>
    </w:pPr>
    <w:rPr>
      <w:rFonts w:eastAsia="黑体"/>
    </w:rPr>
  </w:style>
  <w:style w:type="paragraph" w:styleId="31">
    <w:name w:val="toc 4"/>
    <w:basedOn w:val="22"/>
    <w:next w:val="22"/>
    <w:qFormat/>
    <w:uiPriority w:val="39"/>
    <w:pPr>
      <w:ind w:left="1260" w:leftChars="600"/>
    </w:pPr>
  </w:style>
  <w:style w:type="paragraph" w:styleId="32">
    <w:name w:val="Subtitle"/>
    <w:basedOn w:val="1"/>
    <w:next w:val="1"/>
    <w:link w:val="166"/>
    <w:qFormat/>
    <w:uiPriority w:val="0"/>
    <w:pPr>
      <w:spacing w:before="240" w:after="60" w:line="312" w:lineRule="auto"/>
      <w:jc w:val="center"/>
      <w:outlineLvl w:val="1"/>
    </w:pPr>
    <w:rPr>
      <w:rFonts w:ascii="Cambria" w:hAnsi="Cambria"/>
      <w:b/>
      <w:bCs/>
      <w:kern w:val="28"/>
      <w:sz w:val="32"/>
      <w:szCs w:val="32"/>
    </w:rPr>
  </w:style>
  <w:style w:type="paragraph" w:styleId="33">
    <w:name w:val="footnote text"/>
    <w:basedOn w:val="1"/>
    <w:link w:val="88"/>
    <w:qFormat/>
    <w:uiPriority w:val="0"/>
    <w:pPr>
      <w:adjustRightInd w:val="0"/>
      <w:spacing w:line="312" w:lineRule="atLeast"/>
      <w:jc w:val="left"/>
      <w:textAlignment w:val="baseline"/>
    </w:pPr>
    <w:rPr>
      <w:kern w:val="0"/>
      <w:sz w:val="18"/>
      <w:szCs w:val="20"/>
    </w:rPr>
  </w:style>
  <w:style w:type="paragraph" w:styleId="34">
    <w:name w:val="toc 6"/>
    <w:basedOn w:val="1"/>
    <w:next w:val="1"/>
    <w:qFormat/>
    <w:uiPriority w:val="39"/>
    <w:pPr>
      <w:ind w:left="2100" w:leftChars="1000"/>
    </w:pPr>
    <w:rPr>
      <w:rFonts w:ascii="Calibri" w:hAnsi="Calibri"/>
      <w:szCs w:val="22"/>
    </w:rPr>
  </w:style>
  <w:style w:type="paragraph" w:styleId="35">
    <w:name w:val="Body Text Indent 3"/>
    <w:basedOn w:val="1"/>
    <w:link w:val="172"/>
    <w:qFormat/>
    <w:uiPriority w:val="0"/>
    <w:pPr>
      <w:spacing w:after="120"/>
      <w:ind w:left="420" w:leftChars="200"/>
    </w:pPr>
    <w:rPr>
      <w:sz w:val="16"/>
      <w:szCs w:val="16"/>
    </w:rPr>
  </w:style>
  <w:style w:type="paragraph" w:styleId="36">
    <w:name w:val="toc 2"/>
    <w:basedOn w:val="1"/>
    <w:next w:val="1"/>
    <w:qFormat/>
    <w:uiPriority w:val="39"/>
    <w:pPr>
      <w:ind w:left="420" w:leftChars="200"/>
    </w:pPr>
    <w:rPr>
      <w:rFonts w:ascii="Calibri" w:hAnsi="Calibri"/>
      <w:szCs w:val="22"/>
    </w:rPr>
  </w:style>
  <w:style w:type="paragraph" w:styleId="37">
    <w:name w:val="toc 9"/>
    <w:basedOn w:val="1"/>
    <w:next w:val="1"/>
    <w:qFormat/>
    <w:uiPriority w:val="39"/>
    <w:pPr>
      <w:ind w:left="3360" w:leftChars="1600"/>
    </w:pPr>
    <w:rPr>
      <w:rFonts w:ascii="Calibri" w:hAnsi="Calibri"/>
      <w:szCs w:val="22"/>
    </w:rPr>
  </w:style>
  <w:style w:type="paragraph" w:styleId="3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9">
    <w:name w:val="index 1"/>
    <w:basedOn w:val="1"/>
    <w:next w:val="1"/>
    <w:qFormat/>
    <w:uiPriority w:val="0"/>
    <w:pPr>
      <w:spacing w:line="220" w:lineRule="exact"/>
      <w:jc w:val="center"/>
    </w:pPr>
    <w:rPr>
      <w:rFonts w:ascii="仿宋_GB2312" w:eastAsia="仿宋_GB2312"/>
      <w:szCs w:val="21"/>
    </w:rPr>
  </w:style>
  <w:style w:type="paragraph" w:styleId="40">
    <w:name w:val="Title"/>
    <w:basedOn w:val="1"/>
    <w:next w:val="1"/>
    <w:link w:val="124"/>
    <w:qFormat/>
    <w:uiPriority w:val="0"/>
    <w:pPr>
      <w:spacing w:before="240" w:after="60"/>
      <w:jc w:val="center"/>
      <w:outlineLvl w:val="0"/>
    </w:pPr>
    <w:rPr>
      <w:rFonts w:ascii="Cambria" w:hAnsi="Cambria"/>
      <w:b/>
      <w:bCs/>
      <w:sz w:val="32"/>
      <w:szCs w:val="32"/>
    </w:rPr>
  </w:style>
  <w:style w:type="paragraph" w:styleId="41">
    <w:name w:val="annotation subject"/>
    <w:basedOn w:val="15"/>
    <w:next w:val="15"/>
    <w:link w:val="62"/>
    <w:qFormat/>
    <w:uiPriority w:val="0"/>
    <w:rPr>
      <w:b/>
      <w:bCs/>
    </w:rPr>
  </w:style>
  <w:style w:type="paragraph" w:styleId="42">
    <w:name w:val="Body Text First Indent"/>
    <w:basedOn w:val="1"/>
    <w:link w:val="170"/>
    <w:qFormat/>
    <w:uiPriority w:val="0"/>
    <w:pPr>
      <w:spacing w:line="312" w:lineRule="auto"/>
      <w:ind w:firstLine="420"/>
    </w:pPr>
  </w:style>
  <w:style w:type="character" w:styleId="45">
    <w:name w:val="Strong"/>
    <w:qFormat/>
    <w:uiPriority w:val="0"/>
    <w:rPr>
      <w:b/>
      <w:bCs/>
    </w:rPr>
  </w:style>
  <w:style w:type="character" w:styleId="46">
    <w:name w:val="page number"/>
    <w:basedOn w:val="44"/>
    <w:qFormat/>
    <w:uiPriority w:val="0"/>
  </w:style>
  <w:style w:type="character" w:styleId="47">
    <w:name w:val="FollowedHyperlink"/>
    <w:qFormat/>
    <w:uiPriority w:val="99"/>
    <w:rPr>
      <w:color w:val="DD8905"/>
      <w:u w:val="none"/>
    </w:rPr>
  </w:style>
  <w:style w:type="character" w:styleId="48">
    <w:name w:val="Emphasis"/>
    <w:qFormat/>
    <w:uiPriority w:val="0"/>
    <w:rPr>
      <w:i/>
      <w:iCs/>
    </w:rPr>
  </w:style>
  <w:style w:type="character" w:styleId="49">
    <w:name w:val="Hyperlink"/>
    <w:qFormat/>
    <w:uiPriority w:val="99"/>
    <w:rPr>
      <w:color w:val="000000"/>
      <w:u w:val="none"/>
    </w:rPr>
  </w:style>
  <w:style w:type="character" w:styleId="50">
    <w:name w:val="annotation reference"/>
    <w:qFormat/>
    <w:uiPriority w:val="0"/>
    <w:rPr>
      <w:sz w:val="21"/>
      <w:szCs w:val="21"/>
    </w:rPr>
  </w:style>
  <w:style w:type="character" w:styleId="51">
    <w:name w:val="footnote reference"/>
    <w:basedOn w:val="44"/>
    <w:qFormat/>
    <w:uiPriority w:val="0"/>
    <w:rPr>
      <w:vertAlign w:val="superscript"/>
    </w:rPr>
  </w:style>
  <w:style w:type="character" w:customStyle="1" w:styleId="52">
    <w:name w:val="Char Char91"/>
    <w:qFormat/>
    <w:uiPriority w:val="0"/>
    <w:rPr>
      <w:rFonts w:eastAsia="宋体"/>
      <w:b/>
      <w:bCs/>
      <w:kern w:val="44"/>
      <w:sz w:val="32"/>
      <w:szCs w:val="44"/>
      <w:lang w:val="en-US" w:eastAsia="zh-CN" w:bidi="ar-SA"/>
    </w:rPr>
  </w:style>
  <w:style w:type="character" w:customStyle="1" w:styleId="53">
    <w:name w:val="纯文本 Char1"/>
    <w:qFormat/>
    <w:uiPriority w:val="0"/>
    <w:rPr>
      <w:rFonts w:ascii="宋体" w:hAnsi="Courier New" w:eastAsia="宋体" w:cs="Courier New"/>
      <w:szCs w:val="21"/>
    </w:rPr>
  </w:style>
  <w:style w:type="character" w:customStyle="1" w:styleId="54">
    <w:name w:val="日期 字符"/>
    <w:link w:val="25"/>
    <w:qFormat/>
    <w:uiPriority w:val="0"/>
    <w:rPr>
      <w:kern w:val="2"/>
      <w:sz w:val="21"/>
      <w:szCs w:val="24"/>
      <w:lang w:bidi="ar-SA"/>
    </w:rPr>
  </w:style>
  <w:style w:type="character" w:customStyle="1" w:styleId="55">
    <w:name w:val="标题 5 字符"/>
    <w:link w:val="7"/>
    <w:qFormat/>
    <w:uiPriority w:val="0"/>
    <w:rPr>
      <w:rFonts w:eastAsia="宋体"/>
      <w:b/>
      <w:bCs/>
      <w:kern w:val="2"/>
      <w:sz w:val="28"/>
      <w:szCs w:val="28"/>
      <w:lang w:val="en-US" w:eastAsia="zh-CN" w:bidi="ar-SA"/>
    </w:rPr>
  </w:style>
  <w:style w:type="character" w:customStyle="1" w:styleId="56">
    <w:name w:val="页脚 字符"/>
    <w:link w:val="28"/>
    <w:qFormat/>
    <w:uiPriority w:val="99"/>
    <w:rPr>
      <w:kern w:val="2"/>
      <w:sz w:val="18"/>
      <w:szCs w:val="18"/>
      <w:lang w:bidi="ar-SA"/>
    </w:rPr>
  </w:style>
  <w:style w:type="character" w:customStyle="1" w:styleId="57">
    <w:name w:val="批注框文本 Char1"/>
    <w:qFormat/>
    <w:uiPriority w:val="0"/>
    <w:rPr>
      <w:rFonts w:ascii="Times New Roman" w:hAnsi="Times New Roman" w:eastAsia="宋体" w:cs="Times New Roman"/>
      <w:sz w:val="18"/>
      <w:szCs w:val="18"/>
    </w:rPr>
  </w:style>
  <w:style w:type="character" w:customStyle="1" w:styleId="58">
    <w:name w:val="Plain Text Char"/>
    <w:qFormat/>
    <w:uiPriority w:val="0"/>
    <w:rPr>
      <w:rFonts w:ascii="宋体" w:hAnsi="Courier New" w:eastAsia="宋体"/>
      <w:sz w:val="24"/>
      <w:lang w:bidi="ar-SA"/>
    </w:rPr>
  </w:style>
  <w:style w:type="character" w:customStyle="1" w:styleId="59">
    <w:name w:val="Body Text Indent Char"/>
    <w:qFormat/>
    <w:uiPriority w:val="0"/>
    <w:rPr>
      <w:rFonts w:ascii="宋体" w:hAnsi="宋体" w:eastAsia="宋体"/>
      <w:kern w:val="2"/>
      <w:sz w:val="21"/>
      <w:lang w:val="en-US" w:eastAsia="zh-CN" w:bidi="ar-SA"/>
    </w:rPr>
  </w:style>
  <w:style w:type="character" w:customStyle="1" w:styleId="60">
    <w:name w:val="批注文字 Char1"/>
    <w:qFormat/>
    <w:uiPriority w:val="0"/>
    <w:rPr>
      <w:rFonts w:ascii="Times New Roman" w:hAnsi="Times New Roman" w:eastAsia="宋体" w:cs="Times New Roman"/>
      <w:szCs w:val="24"/>
    </w:rPr>
  </w:style>
  <w:style w:type="character" w:customStyle="1" w:styleId="61">
    <w:name w:val="Body Text Indent 2 Char"/>
    <w:qFormat/>
    <w:uiPriority w:val="0"/>
    <w:rPr>
      <w:rFonts w:eastAsia="宋体"/>
      <w:kern w:val="2"/>
      <w:sz w:val="21"/>
      <w:szCs w:val="24"/>
      <w:lang w:val="en-US" w:eastAsia="zh-CN" w:bidi="ar-SA"/>
    </w:rPr>
  </w:style>
  <w:style w:type="character" w:customStyle="1" w:styleId="62">
    <w:name w:val="批注主题 字符"/>
    <w:link w:val="41"/>
    <w:qFormat/>
    <w:uiPriority w:val="0"/>
    <w:rPr>
      <w:b/>
      <w:bCs/>
      <w:kern w:val="2"/>
      <w:sz w:val="21"/>
      <w:szCs w:val="24"/>
      <w:lang w:bidi="ar-SA"/>
    </w:rPr>
  </w:style>
  <w:style w:type="character" w:customStyle="1" w:styleId="63">
    <w:name w:val="批注框文本 字符"/>
    <w:link w:val="27"/>
    <w:qFormat/>
    <w:uiPriority w:val="0"/>
    <w:rPr>
      <w:kern w:val="2"/>
      <w:sz w:val="18"/>
      <w:szCs w:val="18"/>
      <w:lang w:bidi="ar-SA"/>
    </w:rPr>
  </w:style>
  <w:style w:type="character" w:customStyle="1" w:styleId="64">
    <w:name w:val="Char Char23"/>
    <w:qFormat/>
    <w:uiPriority w:val="0"/>
    <w:rPr>
      <w:rFonts w:eastAsia="宋体"/>
      <w:b/>
      <w:bCs/>
      <w:kern w:val="44"/>
      <w:sz w:val="32"/>
      <w:szCs w:val="44"/>
      <w:lang w:val="en-US" w:eastAsia="zh-CN" w:bidi="ar-SA"/>
    </w:rPr>
  </w:style>
  <w:style w:type="character" w:customStyle="1" w:styleId="65">
    <w:name w:val="批注文字 字符"/>
    <w:link w:val="15"/>
    <w:qFormat/>
    <w:uiPriority w:val="0"/>
    <w:rPr>
      <w:rFonts w:eastAsia="宋体"/>
      <w:kern w:val="2"/>
      <w:sz w:val="21"/>
      <w:szCs w:val="24"/>
      <w:lang w:val="en-US" w:eastAsia="zh-CN" w:bidi="ar-SA"/>
    </w:rPr>
  </w:style>
  <w:style w:type="character" w:customStyle="1" w:styleId="66">
    <w:name w:val="纯文本 字符"/>
    <w:link w:val="23"/>
    <w:qFormat/>
    <w:uiPriority w:val="0"/>
    <w:rPr>
      <w:rFonts w:ascii="宋体" w:hAnsi="Courier New" w:eastAsia="宋体"/>
      <w:kern w:val="2"/>
      <w:sz w:val="21"/>
      <w:szCs w:val="24"/>
      <w:lang w:val="en-US" w:eastAsia="zh-CN" w:bidi="ar-SA"/>
    </w:rPr>
  </w:style>
  <w:style w:type="character" w:customStyle="1" w:styleId="67">
    <w:name w:val="Heading 4 Char"/>
    <w:qFormat/>
    <w:uiPriority w:val="0"/>
    <w:rPr>
      <w:rFonts w:ascii="Arial" w:hAnsi="Arial" w:eastAsia="宋体"/>
      <w:b/>
      <w:bCs/>
      <w:kern w:val="2"/>
      <w:sz w:val="21"/>
      <w:szCs w:val="28"/>
      <w:lang w:val="en-US" w:eastAsia="zh-CN" w:bidi="ar-SA"/>
    </w:rPr>
  </w:style>
  <w:style w:type="character" w:customStyle="1" w:styleId="68">
    <w:name w:val="书籍标题1"/>
    <w:qFormat/>
    <w:uiPriority w:val="0"/>
    <w:rPr>
      <w:b/>
      <w:bCs/>
      <w:smallCaps/>
      <w:spacing w:val="5"/>
    </w:rPr>
  </w:style>
  <w:style w:type="character" w:customStyle="1" w:styleId="69">
    <w:name w:val="Heading 3 Char"/>
    <w:qFormat/>
    <w:uiPriority w:val="0"/>
    <w:rPr>
      <w:rFonts w:cs="Times New Roman"/>
      <w:b/>
      <w:bCs/>
      <w:kern w:val="2"/>
      <w:sz w:val="32"/>
      <w:szCs w:val="32"/>
    </w:rPr>
  </w:style>
  <w:style w:type="character" w:customStyle="1" w:styleId="70">
    <w:name w:val="明显强调1"/>
    <w:qFormat/>
    <w:uiPriority w:val="0"/>
    <w:rPr>
      <w:b/>
      <w:bCs/>
      <w:i/>
      <w:iCs/>
      <w:color w:val="4F81BD"/>
    </w:rPr>
  </w:style>
  <w:style w:type="character" w:customStyle="1" w:styleId="71">
    <w:name w:val="标题4 Char Char"/>
    <w:link w:val="72"/>
    <w:qFormat/>
    <w:uiPriority w:val="0"/>
    <w:rPr>
      <w:rFonts w:ascii="Arial" w:hAnsi="Arial"/>
      <w:b/>
      <w:bCs/>
      <w:sz w:val="24"/>
      <w:szCs w:val="32"/>
      <w:lang w:bidi="ar-SA"/>
    </w:rPr>
  </w:style>
  <w:style w:type="paragraph" w:customStyle="1" w:styleId="72">
    <w:name w:val="标题4"/>
    <w:basedOn w:val="4"/>
    <w:next w:val="19"/>
    <w:link w:val="71"/>
    <w:qFormat/>
    <w:uiPriority w:val="0"/>
    <w:rPr>
      <w:rFonts w:eastAsia="宋体"/>
      <w:kern w:val="0"/>
      <w:sz w:val="24"/>
    </w:rPr>
  </w:style>
  <w:style w:type="character" w:customStyle="1" w:styleId="73">
    <w:name w:val="正文文本 Char1"/>
    <w:qFormat/>
    <w:uiPriority w:val="0"/>
    <w:rPr>
      <w:kern w:val="2"/>
      <w:sz w:val="21"/>
      <w:szCs w:val="22"/>
    </w:rPr>
  </w:style>
  <w:style w:type="character" w:customStyle="1" w:styleId="74">
    <w:name w:val="Footnote Text Char"/>
    <w:qFormat/>
    <w:uiPriority w:val="0"/>
    <w:rPr>
      <w:rFonts w:eastAsia="宋体"/>
      <w:sz w:val="18"/>
      <w:lang w:val="en-US" w:eastAsia="zh-CN" w:bidi="ar-SA"/>
    </w:rPr>
  </w:style>
  <w:style w:type="character" w:customStyle="1" w:styleId="75">
    <w:name w:val="文档结构图 字符"/>
    <w:link w:val="2"/>
    <w:qFormat/>
    <w:uiPriority w:val="0"/>
    <w:rPr>
      <w:kern w:val="2"/>
      <w:sz w:val="21"/>
      <w:szCs w:val="24"/>
      <w:shd w:val="clear" w:color="auto" w:fill="000080"/>
      <w:lang w:bidi="ar-SA"/>
    </w:rPr>
  </w:style>
  <w:style w:type="character" w:customStyle="1" w:styleId="76">
    <w:name w:val="Comment Subject Char"/>
    <w:qFormat/>
    <w:uiPriority w:val="0"/>
    <w:rPr>
      <w:b/>
      <w:sz w:val="24"/>
      <w:lang w:bidi="ar-SA"/>
    </w:rPr>
  </w:style>
  <w:style w:type="character" w:customStyle="1" w:styleId="77">
    <w:name w:val="明显引用 Char1"/>
    <w:qFormat/>
    <w:uiPriority w:val="30"/>
    <w:rPr>
      <w:rFonts w:ascii="Times New Roman" w:hAnsi="Times New Roman" w:eastAsia="宋体" w:cs="Times New Roman"/>
      <w:b/>
      <w:bCs/>
      <w:i/>
      <w:iCs/>
      <w:color w:val="4F81BD"/>
      <w:szCs w:val="24"/>
    </w:rPr>
  </w:style>
  <w:style w:type="character" w:customStyle="1" w:styleId="78">
    <w:name w:val="Char Char18"/>
    <w:qFormat/>
    <w:uiPriority w:val="0"/>
    <w:rPr>
      <w:rFonts w:ascii="Times New Roman" w:hAnsi="Times New Roman" w:eastAsia="宋体" w:cs="Times New Roman"/>
      <w:b/>
      <w:bCs/>
      <w:sz w:val="28"/>
      <w:szCs w:val="28"/>
    </w:rPr>
  </w:style>
  <w:style w:type="character" w:customStyle="1" w:styleId="79">
    <w:name w:val="明显参考1"/>
    <w:qFormat/>
    <w:uiPriority w:val="0"/>
    <w:rPr>
      <w:b/>
      <w:bCs/>
      <w:smallCaps/>
      <w:color w:val="C0504D"/>
      <w:spacing w:val="5"/>
      <w:u w:val="single"/>
    </w:rPr>
  </w:style>
  <w:style w:type="character" w:customStyle="1" w:styleId="80">
    <w:name w:val="超链接_0"/>
    <w:qFormat/>
    <w:uiPriority w:val="99"/>
    <w:rPr>
      <w:rFonts w:ascii="Calibri" w:hAnsi="Calibri" w:cs="Times New Roman"/>
      <w:color w:val="0000FF"/>
      <w:u w:val="single"/>
    </w:rPr>
  </w:style>
  <w:style w:type="character" w:customStyle="1" w:styleId="81">
    <w:name w:val="Title Char"/>
    <w:qFormat/>
    <w:uiPriority w:val="0"/>
    <w:rPr>
      <w:rFonts w:ascii="Cambria" w:hAnsi="Cambria"/>
      <w:b/>
      <w:sz w:val="32"/>
      <w:lang w:bidi="ar-SA"/>
    </w:rPr>
  </w:style>
  <w:style w:type="character" w:customStyle="1" w:styleId="82">
    <w:name w:val="Balloon Text Char"/>
    <w:qFormat/>
    <w:uiPriority w:val="0"/>
    <w:rPr>
      <w:sz w:val="18"/>
      <w:lang w:bidi="ar-SA"/>
    </w:rPr>
  </w:style>
  <w:style w:type="character" w:customStyle="1" w:styleId="83">
    <w:name w:val="Char Char20"/>
    <w:qFormat/>
    <w:uiPriority w:val="0"/>
    <w:rPr>
      <w:rFonts w:ascii="Times New Roman" w:hAnsi="Times New Roman" w:eastAsia="宋体" w:cs="Times New Roman"/>
      <w:b/>
      <w:bCs/>
      <w:sz w:val="24"/>
      <w:szCs w:val="32"/>
    </w:rPr>
  </w:style>
  <w:style w:type="character" w:customStyle="1" w:styleId="84">
    <w:name w:val="标题 3 字符"/>
    <w:link w:val="5"/>
    <w:qFormat/>
    <w:uiPriority w:val="0"/>
    <w:rPr>
      <w:rFonts w:eastAsia="黑体"/>
      <w:b/>
      <w:bCs/>
      <w:kern w:val="2"/>
      <w:sz w:val="21"/>
      <w:szCs w:val="32"/>
      <w:lang w:bidi="ar-SA"/>
    </w:rPr>
  </w:style>
  <w:style w:type="character" w:customStyle="1" w:styleId="85">
    <w:name w:val="Header Char"/>
    <w:qFormat/>
    <w:uiPriority w:val="0"/>
    <w:rPr>
      <w:rFonts w:eastAsia="宋体"/>
      <w:kern w:val="2"/>
      <w:sz w:val="18"/>
      <w:szCs w:val="18"/>
      <w:lang w:val="en-US" w:eastAsia="zh-CN" w:bidi="ar-SA"/>
    </w:rPr>
  </w:style>
  <w:style w:type="character" w:customStyle="1" w:styleId="86">
    <w:name w:val="文档结构图 Char1"/>
    <w:qFormat/>
    <w:uiPriority w:val="0"/>
    <w:rPr>
      <w:rFonts w:ascii="宋体" w:hAnsi="Times New Roman" w:eastAsia="宋体" w:cs="Times New Roman"/>
      <w:sz w:val="18"/>
      <w:szCs w:val="18"/>
    </w:rPr>
  </w:style>
  <w:style w:type="character" w:customStyle="1" w:styleId="87">
    <w:name w:val="标题 1 字符"/>
    <w:link w:val="3"/>
    <w:qFormat/>
    <w:uiPriority w:val="0"/>
    <w:rPr>
      <w:rFonts w:eastAsia="黑体"/>
      <w:b/>
      <w:bCs/>
      <w:kern w:val="44"/>
      <w:sz w:val="32"/>
      <w:szCs w:val="44"/>
      <w:lang w:bidi="ar-SA"/>
    </w:rPr>
  </w:style>
  <w:style w:type="character" w:customStyle="1" w:styleId="88">
    <w:name w:val="脚注文本 字符"/>
    <w:link w:val="33"/>
    <w:qFormat/>
    <w:uiPriority w:val="0"/>
    <w:rPr>
      <w:sz w:val="18"/>
      <w:lang w:bidi="ar-SA"/>
    </w:rPr>
  </w:style>
  <w:style w:type="character" w:customStyle="1" w:styleId="89">
    <w:name w:val="Heading 5 Char"/>
    <w:qFormat/>
    <w:uiPriority w:val="0"/>
    <w:rPr>
      <w:rFonts w:eastAsia="宋体"/>
      <w:b/>
      <w:bCs/>
      <w:kern w:val="2"/>
      <w:sz w:val="28"/>
      <w:szCs w:val="28"/>
      <w:lang w:val="en-US" w:eastAsia="zh-CN" w:bidi="ar-SA"/>
    </w:rPr>
  </w:style>
  <w:style w:type="character" w:customStyle="1" w:styleId="90">
    <w:name w:val="Heading 1 Char"/>
    <w:qFormat/>
    <w:uiPriority w:val="0"/>
    <w:rPr>
      <w:rFonts w:eastAsia="宋体"/>
      <w:b/>
      <w:bCs/>
      <w:kern w:val="44"/>
      <w:sz w:val="32"/>
      <w:szCs w:val="44"/>
      <w:lang w:val="en-US" w:eastAsia="zh-CN" w:bidi="ar-SA"/>
    </w:rPr>
  </w:style>
  <w:style w:type="character" w:customStyle="1" w:styleId="91">
    <w:name w:val="引用 字符"/>
    <w:link w:val="92"/>
    <w:qFormat/>
    <w:uiPriority w:val="0"/>
    <w:rPr>
      <w:i/>
      <w:iCs/>
      <w:color w:val="000000"/>
      <w:lang w:bidi="ar-SA"/>
    </w:rPr>
  </w:style>
  <w:style w:type="paragraph" w:styleId="92">
    <w:name w:val="Quote"/>
    <w:basedOn w:val="1"/>
    <w:next w:val="1"/>
    <w:link w:val="91"/>
    <w:qFormat/>
    <w:uiPriority w:val="0"/>
    <w:rPr>
      <w:i/>
      <w:iCs/>
      <w:color w:val="000000"/>
      <w:kern w:val="0"/>
      <w:sz w:val="20"/>
      <w:szCs w:val="20"/>
    </w:rPr>
  </w:style>
  <w:style w:type="character" w:customStyle="1" w:styleId="93">
    <w:name w:val="Char Char22"/>
    <w:qFormat/>
    <w:uiPriority w:val="0"/>
    <w:rPr>
      <w:rFonts w:ascii="Times New Roman" w:hAnsi="Times New Roman" w:eastAsia="宋体" w:cs="Times New Roman"/>
      <w:b/>
      <w:bCs/>
      <w:kern w:val="44"/>
      <w:sz w:val="32"/>
      <w:szCs w:val="44"/>
    </w:rPr>
  </w:style>
  <w:style w:type="character" w:customStyle="1" w:styleId="94">
    <w:name w:val="Heading 3 Char1"/>
    <w:qFormat/>
    <w:uiPriority w:val="0"/>
    <w:rPr>
      <w:rFonts w:eastAsia="宋体"/>
      <w:b/>
      <w:bCs/>
      <w:kern w:val="2"/>
      <w:sz w:val="24"/>
      <w:szCs w:val="32"/>
      <w:lang w:val="en-US" w:eastAsia="zh-CN" w:bidi="ar-SA"/>
    </w:rPr>
  </w:style>
  <w:style w:type="character" w:customStyle="1" w:styleId="95">
    <w:name w:val="明显引用 字符"/>
    <w:link w:val="96"/>
    <w:qFormat/>
    <w:uiPriority w:val="0"/>
    <w:rPr>
      <w:b/>
      <w:bCs/>
      <w:i/>
      <w:iCs/>
      <w:color w:val="4F81BD"/>
      <w:lang w:bidi="ar-SA"/>
    </w:rPr>
  </w:style>
  <w:style w:type="paragraph" w:styleId="96">
    <w:name w:val="Intense Quote"/>
    <w:basedOn w:val="1"/>
    <w:next w:val="1"/>
    <w:link w:val="95"/>
    <w:qFormat/>
    <w:uiPriority w:val="0"/>
    <w:pPr>
      <w:pBdr>
        <w:bottom w:val="single" w:color="4F81BD" w:sz="4" w:space="4"/>
      </w:pBdr>
      <w:spacing w:before="200" w:after="280"/>
      <w:ind w:left="936" w:right="936"/>
    </w:pPr>
    <w:rPr>
      <w:b/>
      <w:bCs/>
      <w:i/>
      <w:iCs/>
      <w:color w:val="4F81BD"/>
      <w:kern w:val="0"/>
      <w:sz w:val="20"/>
      <w:szCs w:val="20"/>
    </w:rPr>
  </w:style>
  <w:style w:type="character" w:customStyle="1" w:styleId="97">
    <w:name w:val="标题5 Char Char"/>
    <w:link w:val="98"/>
    <w:qFormat/>
    <w:uiPriority w:val="0"/>
    <w:rPr>
      <w:rFonts w:ascii="Arial" w:hAnsi="Arial"/>
      <w:b/>
      <w:bCs/>
      <w:sz w:val="24"/>
      <w:szCs w:val="32"/>
      <w:lang w:bidi="ar-SA"/>
    </w:rPr>
  </w:style>
  <w:style w:type="paragraph" w:customStyle="1" w:styleId="98">
    <w:name w:val="标题5"/>
    <w:basedOn w:val="5"/>
    <w:link w:val="97"/>
    <w:qFormat/>
    <w:uiPriority w:val="0"/>
    <w:pPr>
      <w:spacing w:before="260" w:after="260" w:line="413" w:lineRule="auto"/>
    </w:pPr>
    <w:rPr>
      <w:rFonts w:ascii="Arial" w:hAnsi="Arial" w:eastAsia="宋体"/>
      <w:kern w:val="0"/>
      <w:sz w:val="24"/>
    </w:rPr>
  </w:style>
  <w:style w:type="character" w:customStyle="1" w:styleId="99">
    <w:name w:val="Char Char181"/>
    <w:qFormat/>
    <w:uiPriority w:val="0"/>
    <w:rPr>
      <w:b/>
      <w:bCs/>
      <w:kern w:val="44"/>
      <w:sz w:val="44"/>
      <w:szCs w:val="44"/>
    </w:rPr>
  </w:style>
  <w:style w:type="character" w:customStyle="1" w:styleId="100">
    <w:name w:val="Char Char9"/>
    <w:qFormat/>
    <w:uiPriority w:val="0"/>
    <w:rPr>
      <w:rFonts w:eastAsia="宋体"/>
      <w:b/>
      <w:bCs/>
      <w:kern w:val="44"/>
      <w:sz w:val="32"/>
      <w:szCs w:val="44"/>
      <w:lang w:val="en-US" w:eastAsia="zh-CN" w:bidi="ar-SA"/>
    </w:rPr>
  </w:style>
  <w:style w:type="character" w:customStyle="1" w:styleId="101">
    <w:name w:val="Char Char19"/>
    <w:qFormat/>
    <w:uiPriority w:val="0"/>
    <w:rPr>
      <w:rFonts w:ascii="Arial" w:hAnsi="Arial" w:eastAsia="宋体" w:cs="Times New Roman"/>
      <w:b/>
      <w:bCs/>
      <w:szCs w:val="28"/>
    </w:rPr>
  </w:style>
  <w:style w:type="character" w:customStyle="1" w:styleId="102">
    <w:name w:val="标题 Char1"/>
    <w:qFormat/>
    <w:uiPriority w:val="10"/>
    <w:rPr>
      <w:rFonts w:ascii="Cambria" w:hAnsi="Cambria" w:eastAsia="宋体" w:cs="Times New Roman"/>
      <w:b/>
      <w:bCs/>
      <w:sz w:val="32"/>
      <w:szCs w:val="32"/>
    </w:rPr>
  </w:style>
  <w:style w:type="character" w:customStyle="1" w:styleId="103">
    <w:name w:val="Document Map Char"/>
    <w:qFormat/>
    <w:uiPriority w:val="0"/>
    <w:rPr>
      <w:rFonts w:eastAsia="宋体"/>
      <w:kern w:val="2"/>
      <w:sz w:val="21"/>
      <w:szCs w:val="24"/>
      <w:lang w:val="en-US" w:eastAsia="zh-CN" w:bidi="ar-SA"/>
    </w:rPr>
  </w:style>
  <w:style w:type="character" w:customStyle="1" w:styleId="104">
    <w:name w:val="标题 Char2"/>
    <w:qFormat/>
    <w:uiPriority w:val="0"/>
    <w:rPr>
      <w:rFonts w:ascii="Cambria" w:hAnsi="Cambria" w:eastAsia="宋体" w:cs="Times New Roman"/>
      <w:b/>
      <w:bCs/>
      <w:sz w:val="32"/>
      <w:szCs w:val="32"/>
    </w:rPr>
  </w:style>
  <w:style w:type="character" w:customStyle="1" w:styleId="105">
    <w:name w:val="标题 2 字符"/>
    <w:link w:val="4"/>
    <w:qFormat/>
    <w:uiPriority w:val="9"/>
    <w:rPr>
      <w:rFonts w:ascii="Arial" w:hAnsi="Arial" w:eastAsia="黑体"/>
      <w:b/>
      <w:bCs/>
      <w:kern w:val="2"/>
      <w:sz w:val="21"/>
      <w:szCs w:val="32"/>
      <w:lang w:bidi="ar-SA"/>
    </w:rPr>
  </w:style>
  <w:style w:type="character" w:customStyle="1" w:styleId="106">
    <w:name w:val="标题 4 字符"/>
    <w:link w:val="6"/>
    <w:qFormat/>
    <w:uiPriority w:val="0"/>
    <w:rPr>
      <w:rFonts w:ascii="Arial" w:hAnsi="Arial" w:eastAsia="宋体"/>
      <w:b/>
      <w:bCs/>
      <w:kern w:val="2"/>
      <w:sz w:val="21"/>
      <w:szCs w:val="28"/>
      <w:lang w:val="en-US" w:eastAsia="zh-CN" w:bidi="ar-SA"/>
    </w:rPr>
  </w:style>
  <w:style w:type="character" w:customStyle="1" w:styleId="107">
    <w:name w:val="批注文字 Char"/>
    <w:qFormat/>
    <w:uiPriority w:val="0"/>
    <w:rPr>
      <w:kern w:val="2"/>
      <w:sz w:val="21"/>
      <w:szCs w:val="24"/>
    </w:rPr>
  </w:style>
  <w:style w:type="character" w:customStyle="1" w:styleId="108">
    <w:name w:val="Comment Text Char1"/>
    <w:qFormat/>
    <w:uiPriority w:val="0"/>
    <w:rPr>
      <w:sz w:val="24"/>
      <w:lang w:bidi="ar-SA"/>
    </w:rPr>
  </w:style>
  <w:style w:type="character" w:customStyle="1" w:styleId="109">
    <w:name w:val="批注主题 Char1"/>
    <w:qFormat/>
    <w:uiPriority w:val="0"/>
    <w:rPr>
      <w:rFonts w:ascii="Times New Roman" w:hAnsi="Times New Roman" w:eastAsia="宋体" w:cs="Times New Roman"/>
      <w:b/>
      <w:bCs/>
      <w:szCs w:val="24"/>
    </w:rPr>
  </w:style>
  <w:style w:type="character" w:customStyle="1" w:styleId="110">
    <w:name w:val="批注文字 Char Char"/>
    <w:qFormat/>
    <w:uiPriority w:val="0"/>
    <w:rPr>
      <w:rFonts w:ascii="宋体" w:hAnsi="Times New Roman" w:eastAsia="宋体" w:cs="Times New Roman"/>
      <w:sz w:val="28"/>
      <w:szCs w:val="20"/>
    </w:rPr>
  </w:style>
  <w:style w:type="character" w:customStyle="1" w:styleId="111">
    <w:name w:val="Footer Char"/>
    <w:qFormat/>
    <w:uiPriority w:val="0"/>
    <w:rPr>
      <w:rFonts w:eastAsia="宋体"/>
      <w:kern w:val="2"/>
      <w:sz w:val="18"/>
      <w:szCs w:val="18"/>
      <w:lang w:val="en-US" w:eastAsia="zh-CN" w:bidi="ar-SA"/>
    </w:rPr>
  </w:style>
  <w:style w:type="character" w:customStyle="1" w:styleId="112">
    <w:name w:val="正文文本 字符"/>
    <w:link w:val="17"/>
    <w:qFormat/>
    <w:uiPriority w:val="0"/>
    <w:rPr>
      <w:rFonts w:eastAsia="宋体"/>
      <w:kern w:val="2"/>
      <w:sz w:val="21"/>
      <w:szCs w:val="22"/>
      <w:lang w:val="en-US" w:eastAsia="zh-CN" w:bidi="ar-SA"/>
    </w:rPr>
  </w:style>
  <w:style w:type="character" w:customStyle="1" w:styleId="113">
    <w:name w:val="Char Char6"/>
    <w:qFormat/>
    <w:uiPriority w:val="0"/>
    <w:rPr>
      <w:rFonts w:eastAsia="宋体"/>
      <w:b/>
      <w:bCs/>
      <w:kern w:val="44"/>
      <w:sz w:val="32"/>
      <w:szCs w:val="44"/>
      <w:lang w:val="en-US" w:eastAsia="zh-CN" w:bidi="ar-SA"/>
    </w:rPr>
  </w:style>
  <w:style w:type="character" w:customStyle="1" w:styleId="114">
    <w:name w:val="页眉 字符"/>
    <w:link w:val="29"/>
    <w:qFormat/>
    <w:uiPriority w:val="0"/>
    <w:rPr>
      <w:kern w:val="2"/>
      <w:sz w:val="18"/>
      <w:szCs w:val="18"/>
      <w:lang w:bidi="ar-SA"/>
    </w:rPr>
  </w:style>
  <w:style w:type="character" w:customStyle="1" w:styleId="115">
    <w:name w:val="日期 Char1"/>
    <w:qFormat/>
    <w:uiPriority w:val="0"/>
    <w:rPr>
      <w:rFonts w:ascii="Times New Roman" w:hAnsi="Times New Roman" w:eastAsia="宋体" w:cs="Times New Roman"/>
      <w:szCs w:val="24"/>
    </w:rPr>
  </w:style>
  <w:style w:type="character" w:customStyle="1" w:styleId="116">
    <w:name w:val="不明显强调1"/>
    <w:qFormat/>
    <w:uiPriority w:val="0"/>
    <w:rPr>
      <w:i/>
      <w:iCs/>
      <w:color w:val="808080"/>
    </w:rPr>
  </w:style>
  <w:style w:type="character" w:customStyle="1" w:styleId="117">
    <w:name w:val="不明显参考1"/>
    <w:qFormat/>
    <w:uiPriority w:val="0"/>
    <w:rPr>
      <w:smallCaps/>
      <w:color w:val="C0504D"/>
      <w:u w:val="single"/>
    </w:rPr>
  </w:style>
  <w:style w:type="character" w:customStyle="1" w:styleId="118">
    <w:name w:val="正文文本缩进 字符"/>
    <w:link w:val="18"/>
    <w:qFormat/>
    <w:uiPriority w:val="0"/>
    <w:rPr>
      <w:rFonts w:ascii="宋体" w:hAnsi="宋体"/>
      <w:kern w:val="2"/>
      <w:sz w:val="21"/>
      <w:lang w:bidi="ar-SA"/>
    </w:rPr>
  </w:style>
  <w:style w:type="character" w:customStyle="1" w:styleId="119">
    <w:name w:val="Char Char21"/>
    <w:qFormat/>
    <w:uiPriority w:val="0"/>
    <w:rPr>
      <w:rFonts w:ascii="Arial" w:hAnsi="Arial" w:eastAsia="黑体" w:cs="Times New Roman"/>
      <w:b/>
      <w:bCs/>
      <w:sz w:val="32"/>
      <w:szCs w:val="32"/>
    </w:rPr>
  </w:style>
  <w:style w:type="character" w:customStyle="1" w:styleId="120">
    <w:name w:val="Heading 2 Char"/>
    <w:qFormat/>
    <w:uiPriority w:val="0"/>
    <w:rPr>
      <w:rFonts w:ascii="Arial" w:hAnsi="Arial" w:eastAsia="黑体"/>
      <w:b/>
      <w:bCs/>
      <w:kern w:val="2"/>
      <w:sz w:val="32"/>
      <w:szCs w:val="32"/>
      <w:lang w:val="en-US" w:eastAsia="zh-CN" w:bidi="ar-SA"/>
    </w:rPr>
  </w:style>
  <w:style w:type="character" w:customStyle="1" w:styleId="121">
    <w:name w:val="Comment Text Char"/>
    <w:qFormat/>
    <w:uiPriority w:val="0"/>
    <w:rPr>
      <w:rFonts w:cs="Times New Roman"/>
      <w:sz w:val="24"/>
      <w:szCs w:val="24"/>
    </w:rPr>
  </w:style>
  <w:style w:type="character" w:customStyle="1" w:styleId="122">
    <w:name w:val="引用 Char1"/>
    <w:qFormat/>
    <w:uiPriority w:val="29"/>
    <w:rPr>
      <w:rFonts w:ascii="Times New Roman" w:hAnsi="Times New Roman" w:eastAsia="宋体" w:cs="Times New Roman"/>
      <w:i/>
      <w:iCs/>
      <w:color w:val="000000"/>
      <w:szCs w:val="24"/>
    </w:rPr>
  </w:style>
  <w:style w:type="character" w:customStyle="1" w:styleId="123">
    <w:name w:val="Date Char"/>
    <w:qFormat/>
    <w:uiPriority w:val="0"/>
    <w:rPr>
      <w:rFonts w:eastAsia="宋体"/>
      <w:kern w:val="2"/>
      <w:sz w:val="21"/>
      <w:szCs w:val="24"/>
      <w:lang w:val="en-US" w:eastAsia="zh-CN" w:bidi="ar-SA"/>
    </w:rPr>
  </w:style>
  <w:style w:type="character" w:customStyle="1" w:styleId="124">
    <w:name w:val="标题 字符"/>
    <w:link w:val="40"/>
    <w:qFormat/>
    <w:uiPriority w:val="0"/>
    <w:rPr>
      <w:rFonts w:ascii="Cambria" w:hAnsi="Cambria"/>
      <w:b/>
      <w:bCs/>
      <w:kern w:val="2"/>
      <w:sz w:val="32"/>
      <w:szCs w:val="32"/>
      <w:lang w:bidi="ar-SA"/>
    </w:rPr>
  </w:style>
  <w:style w:type="character" w:customStyle="1" w:styleId="125">
    <w:name w:val="正文文本缩进 2 字符"/>
    <w:link w:val="26"/>
    <w:qFormat/>
    <w:uiPriority w:val="0"/>
    <w:rPr>
      <w:kern w:val="2"/>
      <w:sz w:val="21"/>
      <w:szCs w:val="24"/>
      <w:lang w:bidi="ar-SA"/>
    </w:rPr>
  </w:style>
  <w:style w:type="character" w:customStyle="1" w:styleId="126">
    <w:name w:val="textcontents"/>
    <w:qFormat/>
    <w:uiPriority w:val="0"/>
    <w:rPr>
      <w:rFonts w:cs="Times New Roman"/>
    </w:rPr>
  </w:style>
  <w:style w:type="character" w:customStyle="1" w:styleId="127">
    <w:name w:val="Char Char24"/>
    <w:qFormat/>
    <w:uiPriority w:val="0"/>
    <w:rPr>
      <w:rFonts w:eastAsia="宋体"/>
      <w:b/>
      <w:bCs/>
      <w:kern w:val="44"/>
      <w:sz w:val="32"/>
      <w:szCs w:val="44"/>
      <w:lang w:val="en-US" w:eastAsia="zh-CN" w:bidi="ar-SA"/>
    </w:rPr>
  </w:style>
  <w:style w:type="paragraph" w:customStyle="1" w:styleId="128">
    <w:name w:val="标题_0"/>
    <w:basedOn w:val="129"/>
    <w:qFormat/>
    <w:uiPriority w:val="0"/>
    <w:pPr>
      <w:spacing w:before="120" w:after="120" w:line="360" w:lineRule="auto"/>
      <w:jc w:val="center"/>
      <w:outlineLvl w:val="0"/>
    </w:pPr>
    <w:rPr>
      <w:rFonts w:ascii="黑体" w:hAnsi="Arial" w:eastAsia="黑体"/>
      <w:b/>
      <w:bCs/>
      <w:kern w:val="2"/>
      <w:sz w:val="32"/>
      <w:szCs w:val="32"/>
    </w:rPr>
  </w:style>
  <w:style w:type="paragraph" w:customStyle="1" w:styleId="129">
    <w:name w:val="正文_1"/>
    <w:qFormat/>
    <w:uiPriority w:val="0"/>
    <w:rPr>
      <w:rFonts w:ascii="Times New Roman" w:hAnsi="Times New Roman" w:eastAsia="宋体" w:cs="Times New Roman"/>
      <w:sz w:val="21"/>
      <w:szCs w:val="22"/>
      <w:lang w:val="en-US" w:eastAsia="zh-CN" w:bidi="ar-SA"/>
    </w:rPr>
  </w:style>
  <w:style w:type="paragraph" w:customStyle="1" w:styleId="130">
    <w:name w:val="1"/>
    <w:basedOn w:val="1"/>
    <w:next w:val="1"/>
    <w:qFormat/>
    <w:uiPriority w:val="0"/>
  </w:style>
  <w:style w:type="paragraph" w:customStyle="1" w:styleId="131">
    <w:name w:val="p0"/>
    <w:basedOn w:val="1"/>
    <w:qFormat/>
    <w:uiPriority w:val="0"/>
    <w:pPr>
      <w:widowControl/>
    </w:pPr>
    <w:rPr>
      <w:rFonts w:ascii="Calibri" w:hAnsi="Calibri" w:cs="宋体"/>
      <w:kern w:val="0"/>
      <w:szCs w:val="21"/>
    </w:rPr>
  </w:style>
  <w:style w:type="paragraph" w:customStyle="1" w:styleId="132">
    <w:name w:val="样式 标题 3 + (中文) 黑体 小四 非加粗 段前: 7.8 磅 段后: 0 磅 行距: 固定值 20 磅"/>
    <w:basedOn w:val="5"/>
    <w:qFormat/>
    <w:uiPriority w:val="0"/>
    <w:pPr>
      <w:spacing w:line="400" w:lineRule="exact"/>
    </w:pPr>
    <w:rPr>
      <w:rFonts w:cs="宋体"/>
      <w:b w:val="0"/>
      <w:bCs w:val="0"/>
      <w:szCs w:val="20"/>
    </w:rPr>
  </w:style>
  <w:style w:type="paragraph" w:customStyle="1" w:styleId="133">
    <w:name w:val="标题 3_0"/>
    <w:basedOn w:val="22"/>
    <w:next w:val="22"/>
    <w:qFormat/>
    <w:uiPriority w:val="0"/>
    <w:pPr>
      <w:keepNext/>
      <w:keepLines/>
      <w:spacing w:before="260" w:after="260" w:line="413" w:lineRule="auto"/>
      <w:outlineLvl w:val="2"/>
    </w:pPr>
    <w:rPr>
      <w:rFonts w:ascii="Times New Roman" w:hAnsi="Times New Roman"/>
      <w:b/>
      <w:bCs/>
      <w:sz w:val="32"/>
      <w:szCs w:val="32"/>
    </w:rPr>
  </w:style>
  <w:style w:type="paragraph" w:customStyle="1" w:styleId="134">
    <w:name w:val="样式1"/>
    <w:basedOn w:val="1"/>
    <w:next w:val="6"/>
    <w:qFormat/>
    <w:uiPriority w:val="0"/>
    <w:pPr>
      <w:spacing w:line="360" w:lineRule="auto"/>
      <w:ind w:firstLine="420" w:firstLineChars="200"/>
    </w:pPr>
    <w:rPr>
      <w:rFonts w:ascii="宋体" w:hAnsi="宋体"/>
      <w:szCs w:val="21"/>
    </w:rPr>
  </w:style>
  <w:style w:type="paragraph" w:customStyle="1" w:styleId="135">
    <w:name w:val="Char Char Char Char"/>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136">
    <w:name w:val="正文缩进_0"/>
    <w:basedOn w:val="129"/>
    <w:qFormat/>
    <w:uiPriority w:val="0"/>
    <w:pPr>
      <w:widowControl w:val="0"/>
      <w:ind w:firstLine="420"/>
      <w:jc w:val="both"/>
    </w:pPr>
    <w:rPr>
      <w:kern w:val="2"/>
      <w:u w:val="single"/>
    </w:rPr>
  </w:style>
  <w:style w:type="paragraph" w:customStyle="1" w:styleId="137">
    <w:name w:val="标题 4_0"/>
    <w:basedOn w:val="22"/>
    <w:next w:val="22"/>
    <w:qFormat/>
    <w:uiPriority w:val="0"/>
    <w:pPr>
      <w:keepNext/>
      <w:keepLines/>
      <w:spacing w:before="280" w:after="290" w:line="372" w:lineRule="auto"/>
      <w:outlineLvl w:val="3"/>
    </w:pPr>
    <w:rPr>
      <w:rFonts w:ascii="Cambria" w:hAnsi="Cambria"/>
      <w:b/>
      <w:bCs/>
      <w:sz w:val="28"/>
      <w:szCs w:val="28"/>
    </w:rPr>
  </w:style>
  <w:style w:type="paragraph" w:customStyle="1" w:styleId="138">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39">
    <w:name w:val="修订1"/>
    <w:qFormat/>
    <w:uiPriority w:val="0"/>
    <w:rPr>
      <w:rFonts w:ascii="Times New Roman" w:hAnsi="Times New Roman" w:eastAsia="宋体" w:cs="Times New Roman"/>
      <w:kern w:val="2"/>
      <w:sz w:val="21"/>
      <w:szCs w:val="24"/>
      <w:lang w:val="en-US" w:eastAsia="zh-CN" w:bidi="ar-SA"/>
    </w:rPr>
  </w:style>
  <w:style w:type="paragraph" w:customStyle="1" w:styleId="140">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1">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42">
    <w:name w:val="TOC 标题1"/>
    <w:basedOn w:val="3"/>
    <w:next w:val="1"/>
    <w:qFormat/>
    <w:uiPriority w:val="0"/>
    <w:pPr>
      <w:spacing w:before="340" w:after="330" w:line="576" w:lineRule="auto"/>
      <w:outlineLvl w:val="9"/>
    </w:pPr>
    <w:rPr>
      <w:rFonts w:ascii="Calibri" w:hAnsi="Calibri"/>
      <w:sz w:val="44"/>
    </w:rPr>
  </w:style>
  <w:style w:type="paragraph" w:customStyle="1" w:styleId="143">
    <w:name w:val="正文文本_0"/>
    <w:basedOn w:val="22"/>
    <w:qFormat/>
    <w:uiPriority w:val="0"/>
    <w:pPr>
      <w:adjustRightInd w:val="0"/>
      <w:spacing w:after="60" w:line="360" w:lineRule="atLeast"/>
      <w:ind w:left="72" w:leftChars="30" w:right="30" w:rightChars="30"/>
      <w:jc w:val="center"/>
      <w:textAlignment w:val="baseline"/>
    </w:pPr>
    <w:rPr>
      <w:rFonts w:ascii="Times New Roman" w:hAnsi="Times New Roman"/>
      <w:kern w:val="0"/>
      <w:sz w:val="20"/>
      <w:szCs w:val="20"/>
    </w:rPr>
  </w:style>
  <w:style w:type="paragraph" w:customStyle="1" w:styleId="144">
    <w:name w:val="Char Char Char Char Char Char Char"/>
    <w:basedOn w:val="1"/>
    <w:qFormat/>
    <w:uiPriority w:val="0"/>
    <w:pPr>
      <w:widowControl/>
      <w:spacing w:after="160" w:line="240" w:lineRule="exact"/>
      <w:jc w:val="left"/>
    </w:pPr>
  </w:style>
  <w:style w:type="paragraph" w:styleId="145">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6">
    <w:name w:val="列出段落1"/>
    <w:basedOn w:val="1"/>
    <w:qFormat/>
    <w:uiPriority w:val="0"/>
    <w:pPr>
      <w:ind w:firstLine="420" w:firstLineChars="200"/>
    </w:pPr>
    <w:rPr>
      <w:rFonts w:ascii="Calibri" w:hAnsi="Calibri"/>
      <w:szCs w:val="22"/>
    </w:rPr>
  </w:style>
  <w:style w:type="paragraph" w:customStyle="1" w:styleId="147">
    <w:name w:val="_Style 37"/>
    <w:basedOn w:val="1"/>
    <w:next w:val="1"/>
    <w:qFormat/>
    <w:uiPriority w:val="0"/>
  </w:style>
  <w:style w:type="paragraph" w:customStyle="1" w:styleId="148">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kern w:val="0"/>
      <w:sz w:val="28"/>
      <w:szCs w:val="20"/>
    </w:rPr>
  </w:style>
  <w:style w:type="paragraph" w:customStyle="1" w:styleId="149">
    <w:name w:val="2-2ji"/>
    <w:basedOn w:val="4"/>
    <w:qFormat/>
    <w:uiPriority w:val="0"/>
    <w:pPr>
      <w:spacing w:before="0" w:after="0" w:line="360" w:lineRule="auto"/>
      <w:jc w:val="center"/>
    </w:pPr>
    <w:rPr>
      <w:rFonts w:ascii="宋体" w:hAnsi="宋体" w:eastAsia="宋体"/>
      <w:sz w:val="36"/>
      <w:szCs w:val="24"/>
    </w:rPr>
  </w:style>
  <w:style w:type="paragraph" w:customStyle="1" w:styleId="150">
    <w:name w:val="Char"/>
    <w:basedOn w:val="1"/>
    <w:qFormat/>
    <w:uiPriority w:val="0"/>
    <w:pPr>
      <w:widowControl/>
      <w:spacing w:after="160" w:line="240" w:lineRule="exact"/>
      <w:jc w:val="left"/>
    </w:pPr>
  </w:style>
  <w:style w:type="paragraph" w:customStyle="1" w:styleId="151">
    <w:name w:val="Char1"/>
    <w:basedOn w:val="1"/>
    <w:qFormat/>
    <w:uiPriority w:val="0"/>
    <w:pPr>
      <w:widowControl/>
      <w:spacing w:after="160" w:line="240" w:lineRule="exact"/>
      <w:jc w:val="left"/>
    </w:pPr>
  </w:style>
  <w:style w:type="paragraph" w:customStyle="1" w:styleId="152">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styleId="153">
    <w:name w:val="List Paragraph"/>
    <w:basedOn w:val="1"/>
    <w:qFormat/>
    <w:uiPriority w:val="0"/>
    <w:pPr>
      <w:ind w:firstLine="420" w:firstLineChars="200"/>
    </w:pPr>
    <w:rPr>
      <w:rFonts w:ascii="Calibri" w:hAnsi="Calibri"/>
      <w:szCs w:val="22"/>
    </w:rPr>
  </w:style>
  <w:style w:type="paragraph" w:customStyle="1" w:styleId="154">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customStyle="1" w:styleId="155">
    <w:name w:val="TOC 标题_0"/>
    <w:basedOn w:val="156"/>
    <w:next w:val="22"/>
    <w:qFormat/>
    <w:uiPriority w:val="0"/>
    <w:pPr>
      <w:outlineLvl w:val="9"/>
    </w:pPr>
    <w:rPr>
      <w:rFonts w:ascii="Calibri" w:hAnsi="Calibri"/>
    </w:rPr>
  </w:style>
  <w:style w:type="paragraph" w:customStyle="1" w:styleId="156">
    <w:name w:val="标题 1_0"/>
    <w:basedOn w:val="22"/>
    <w:next w:val="22"/>
    <w:qFormat/>
    <w:uiPriority w:val="0"/>
    <w:pPr>
      <w:keepNext/>
      <w:keepLines/>
      <w:spacing w:before="340" w:after="330" w:line="576" w:lineRule="auto"/>
      <w:outlineLvl w:val="0"/>
    </w:pPr>
    <w:rPr>
      <w:rFonts w:ascii="Times New Roman" w:hAnsi="Times New Roman"/>
      <w:b/>
      <w:bCs/>
      <w:kern w:val="44"/>
      <w:sz w:val="44"/>
      <w:szCs w:val="44"/>
    </w:rPr>
  </w:style>
  <w:style w:type="character" w:customStyle="1" w:styleId="157">
    <w:name w:val="标题 2 Char1"/>
    <w:qFormat/>
    <w:uiPriority w:val="0"/>
    <w:rPr>
      <w:rFonts w:ascii="Arial" w:hAnsi="Arial" w:eastAsia="黑体" w:cs="Calibri"/>
      <w:b/>
      <w:kern w:val="0"/>
      <w:sz w:val="32"/>
      <w:szCs w:val="20"/>
    </w:rPr>
  </w:style>
  <w:style w:type="character" w:customStyle="1" w:styleId="158">
    <w:name w:val="标题 1 Char1"/>
    <w:qFormat/>
    <w:uiPriority w:val="0"/>
    <w:rPr>
      <w:rFonts w:ascii="Calibri" w:hAnsi="Calibri" w:eastAsia="宋体" w:cs="Arial"/>
      <w:b/>
      <w:kern w:val="44"/>
      <w:sz w:val="44"/>
      <w:szCs w:val="20"/>
    </w:rPr>
  </w:style>
  <w:style w:type="character" w:customStyle="1" w:styleId="159">
    <w:name w:val="标题 3 Char1"/>
    <w:qFormat/>
    <w:uiPriority w:val="0"/>
    <w:rPr>
      <w:rFonts w:ascii="Calibri" w:hAnsi="Calibri" w:eastAsia="宋体" w:cs="Arial"/>
      <w:b/>
      <w:kern w:val="0"/>
      <w:sz w:val="32"/>
      <w:szCs w:val="20"/>
    </w:rPr>
  </w:style>
  <w:style w:type="character" w:customStyle="1" w:styleId="160">
    <w:name w:val="样式 Char"/>
    <w:link w:val="161"/>
    <w:qFormat/>
    <w:locked/>
    <w:uiPriority w:val="0"/>
    <w:rPr>
      <w:rFonts w:ascii="宋体" w:hAnsi="宋体" w:cs="宋体"/>
      <w:sz w:val="24"/>
      <w:szCs w:val="24"/>
    </w:rPr>
  </w:style>
  <w:style w:type="paragraph" w:customStyle="1" w:styleId="161">
    <w:name w:val="样式"/>
    <w:link w:val="160"/>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162">
    <w:name w:val="标题 6 字符"/>
    <w:link w:val="8"/>
    <w:qFormat/>
    <w:uiPriority w:val="0"/>
    <w:rPr>
      <w:rFonts w:ascii="Cambria" w:hAnsi="Cambria"/>
      <w:b/>
      <w:bCs/>
      <w:kern w:val="2"/>
      <w:sz w:val="24"/>
      <w:szCs w:val="24"/>
    </w:rPr>
  </w:style>
  <w:style w:type="character" w:customStyle="1" w:styleId="163">
    <w:name w:val="标题 7 字符"/>
    <w:link w:val="9"/>
    <w:qFormat/>
    <w:uiPriority w:val="0"/>
    <w:rPr>
      <w:rFonts w:ascii="Calibri" w:hAnsi="Calibri"/>
      <w:b/>
      <w:bCs/>
      <w:kern w:val="2"/>
      <w:sz w:val="24"/>
      <w:szCs w:val="24"/>
    </w:rPr>
  </w:style>
  <w:style w:type="character" w:customStyle="1" w:styleId="164">
    <w:name w:val="标题 8 字符"/>
    <w:link w:val="10"/>
    <w:qFormat/>
    <w:uiPriority w:val="0"/>
    <w:rPr>
      <w:rFonts w:ascii="Cambria" w:hAnsi="Cambria"/>
      <w:kern w:val="2"/>
      <w:sz w:val="24"/>
      <w:szCs w:val="24"/>
    </w:rPr>
  </w:style>
  <w:style w:type="character" w:customStyle="1" w:styleId="165">
    <w:name w:val="标题 9 字符"/>
    <w:link w:val="11"/>
    <w:qFormat/>
    <w:uiPriority w:val="0"/>
    <w:rPr>
      <w:rFonts w:ascii="Cambria" w:hAnsi="Cambria"/>
      <w:kern w:val="2"/>
      <w:sz w:val="21"/>
      <w:szCs w:val="21"/>
    </w:rPr>
  </w:style>
  <w:style w:type="character" w:customStyle="1" w:styleId="166">
    <w:name w:val="副标题 字符"/>
    <w:link w:val="32"/>
    <w:qFormat/>
    <w:uiPriority w:val="0"/>
    <w:rPr>
      <w:rFonts w:ascii="Cambria" w:hAnsi="Cambria"/>
      <w:b/>
      <w:bCs/>
      <w:kern w:val="28"/>
      <w:sz w:val="32"/>
      <w:szCs w:val="32"/>
    </w:rPr>
  </w:style>
  <w:style w:type="character" w:customStyle="1" w:styleId="167">
    <w:name w:val="副标题 Char1"/>
    <w:qFormat/>
    <w:uiPriority w:val="11"/>
    <w:rPr>
      <w:rFonts w:hint="default" w:ascii="Cambria" w:hAnsi="Cambria" w:cs="Times New Roman"/>
      <w:b/>
      <w:bCs/>
      <w:kern w:val="28"/>
      <w:sz w:val="32"/>
      <w:szCs w:val="32"/>
    </w:rPr>
  </w:style>
  <w:style w:type="character" w:customStyle="1" w:styleId="168">
    <w:name w:val="正文文本 3 字符"/>
    <w:basedOn w:val="44"/>
    <w:link w:val="16"/>
    <w:qFormat/>
    <w:uiPriority w:val="0"/>
    <w:rPr>
      <w:kern w:val="2"/>
      <w:sz w:val="16"/>
      <w:szCs w:val="16"/>
    </w:rPr>
  </w:style>
  <w:style w:type="character" w:customStyle="1" w:styleId="169">
    <w:name w:val="font161"/>
    <w:basedOn w:val="44"/>
    <w:qFormat/>
    <w:uiPriority w:val="0"/>
    <w:rPr>
      <w:b/>
      <w:bCs/>
      <w:sz w:val="32"/>
      <w:szCs w:val="32"/>
    </w:rPr>
  </w:style>
  <w:style w:type="character" w:customStyle="1" w:styleId="170">
    <w:name w:val="正文文本首行缩进 字符"/>
    <w:basedOn w:val="112"/>
    <w:link w:val="42"/>
    <w:qFormat/>
    <w:uiPriority w:val="0"/>
    <w:rPr>
      <w:rFonts w:eastAsia="宋体"/>
      <w:kern w:val="2"/>
      <w:sz w:val="21"/>
      <w:szCs w:val="24"/>
      <w:lang w:val="en-US" w:eastAsia="zh-CN" w:bidi="ar-SA"/>
    </w:rPr>
  </w:style>
  <w:style w:type="character" w:customStyle="1" w:styleId="171">
    <w:name w:val="正文首行缩进 Char1"/>
    <w:basedOn w:val="112"/>
    <w:qFormat/>
    <w:uiPriority w:val="0"/>
    <w:rPr>
      <w:rFonts w:eastAsia="宋体"/>
      <w:kern w:val="2"/>
      <w:sz w:val="21"/>
      <w:szCs w:val="24"/>
      <w:lang w:val="en-US" w:eastAsia="zh-CN" w:bidi="ar-SA"/>
    </w:rPr>
  </w:style>
  <w:style w:type="character" w:customStyle="1" w:styleId="172">
    <w:name w:val="正文文本缩进 3 字符"/>
    <w:basedOn w:val="44"/>
    <w:link w:val="35"/>
    <w:qFormat/>
    <w:uiPriority w:val="0"/>
    <w:rPr>
      <w:kern w:val="2"/>
      <w:sz w:val="16"/>
      <w:szCs w:val="16"/>
    </w:rPr>
  </w:style>
  <w:style w:type="paragraph" w:customStyle="1" w:styleId="173">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74">
    <w:name w:val="表格文字"/>
    <w:basedOn w:val="1"/>
    <w:qFormat/>
    <w:uiPriority w:val="0"/>
    <w:pPr>
      <w:adjustRightInd w:val="0"/>
      <w:spacing w:line="420" w:lineRule="atLeast"/>
      <w:jc w:val="left"/>
      <w:textAlignment w:val="baseline"/>
    </w:pPr>
    <w:rPr>
      <w:kern w:val="0"/>
      <w:szCs w:val="20"/>
    </w:rPr>
  </w:style>
  <w:style w:type="paragraph" w:customStyle="1" w:styleId="175">
    <w:name w:val="样式 标题 1 + 黑体 三号 非加粗 居中 段前: 6 磅 段后: 6 磅 行距: 固定值 20 磅"/>
    <w:basedOn w:val="3"/>
    <w:qFormat/>
    <w:uiPriority w:val="0"/>
    <w:pPr>
      <w:spacing w:before="120" w:after="120" w:line="400" w:lineRule="exact"/>
      <w:jc w:val="center"/>
    </w:pPr>
    <w:rPr>
      <w:rFonts w:ascii="黑体" w:hAnsi="黑体" w:cs="宋体"/>
      <w:b w:val="0"/>
      <w:bCs w:val="0"/>
      <w:szCs w:val="20"/>
    </w:rPr>
  </w:style>
  <w:style w:type="paragraph" w:customStyle="1" w:styleId="176">
    <w:name w:val="修订11"/>
    <w:qFormat/>
    <w:uiPriority w:val="0"/>
    <w:rPr>
      <w:rFonts w:ascii="Times New Roman" w:hAnsi="Times New Roman" w:eastAsia="宋体" w:cs="Times New Roman"/>
      <w:kern w:val="2"/>
      <w:sz w:val="21"/>
      <w:szCs w:val="24"/>
      <w:lang w:val="en-US" w:eastAsia="zh-CN" w:bidi="ar-SA"/>
    </w:rPr>
  </w:style>
  <w:style w:type="paragraph" w:customStyle="1" w:styleId="177">
    <w:name w:val="表格"/>
    <w:basedOn w:val="1"/>
    <w:qFormat/>
    <w:uiPriority w:val="0"/>
    <w:pPr>
      <w:jc w:val="center"/>
      <w:textAlignment w:val="center"/>
    </w:pPr>
    <w:rPr>
      <w:rFonts w:ascii="华文细黑" w:hAnsi="华文细黑"/>
      <w:kern w:val="0"/>
      <w:szCs w:val="20"/>
    </w:rPr>
  </w:style>
  <w:style w:type="paragraph" w:customStyle="1" w:styleId="178">
    <w:name w:val="样式2"/>
    <w:basedOn w:val="5"/>
    <w:qFormat/>
    <w:uiPriority w:val="0"/>
    <w:pPr>
      <w:spacing w:before="260" w:after="260" w:line="415" w:lineRule="auto"/>
      <w:ind w:firstLine="137" w:firstLineChars="49"/>
    </w:pPr>
    <w:rPr>
      <w:rFonts w:ascii="黑体" w:hAnsi="宋体"/>
      <w:b w:val="0"/>
      <w:i/>
      <w:sz w:val="28"/>
      <w:szCs w:val="28"/>
    </w:rPr>
  </w:style>
  <w:style w:type="character" w:customStyle="1" w:styleId="179">
    <w:name w:val="news_contentstyle1"/>
    <w:qFormat/>
    <w:uiPriority w:val="0"/>
    <w:rPr>
      <w:color w:val="000000"/>
      <w:sz w:val="21"/>
      <w:szCs w:val="21"/>
    </w:rPr>
  </w:style>
  <w:style w:type="paragraph" w:customStyle="1" w:styleId="180">
    <w:name w:val="tableparagraph"/>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129</Pages>
  <Words>15231</Words>
  <Characters>86817</Characters>
  <Lines>723</Lines>
  <Paragraphs>203</Paragraphs>
  <TotalTime>64</TotalTime>
  <ScaleCrop>false</ScaleCrop>
  <LinksUpToDate>false</LinksUpToDate>
  <CharactersWithSpaces>101845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2020-03-10T04:53:00Z</dcterms:created>
  <dc:creator>微软用户</dc:creator>
  <cp:lastModifiedBy>朱海燕</cp:lastModifiedBy>
  <cp:lastPrinted>2018-01-31T03:35:00Z</cp:lastPrinted>
  <dcterms:modified xsi:type="dcterms:W3CDTF">2020-04-03T09:47:44Z</dcterms:modified>
  <dc:title>广西壮族自治区房屋建筑和市政工程施工电子招标文件范本（2015年版）</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