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asciiTheme="minorEastAsia" w:hAnsiTheme="minorEastAsia" w:eastAsiaTheme="minorEastAsia" w:cstheme="minorEastAsia"/>
          <w:b/>
          <w:bCs/>
          <w:color w:val="000000" w:themeColor="text1"/>
          <w:sz w:val="44"/>
          <w:szCs w:val="44"/>
          <w14:textFill>
            <w14:solidFill>
              <w14:schemeClr w14:val="tx1"/>
            </w14:solidFill>
          </w14:textFill>
        </w:rPr>
      </w:pPr>
      <w:bookmarkStart w:id="0" w:name="_Toc398107835"/>
    </w:p>
    <w:p>
      <w:pPr>
        <w:spacing w:line="900" w:lineRule="exact"/>
        <w:jc w:val="center"/>
        <w:rPr>
          <w:rFonts w:hint="eastAsia" w:asciiTheme="minorEastAsia" w:hAnsiTheme="minorEastAsia" w:eastAsiaTheme="minorEastAsia" w:cstheme="minorEastAsia"/>
          <w:b/>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大中街道2021年西河口社区房屋征收搬迁项目</w:t>
      </w:r>
    </w:p>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color w:val="000000" w:themeColor="text1"/>
          <w:sz w:val="72"/>
          <w:szCs w:val="72"/>
          <w14:textFill>
            <w14:solidFill>
              <w14:schemeClr w14:val="tx1"/>
            </w14:solidFill>
          </w14:textFill>
        </w:rPr>
      </w:pPr>
    </w:p>
    <w:p>
      <w:pPr>
        <w:pStyle w:val="52"/>
        <w:rPr>
          <w:rFonts w:asciiTheme="minorEastAsia" w:hAnsiTheme="minorEastAsia" w:eastAsiaTheme="minorEastAsia" w:cstheme="minorEastAsia"/>
          <w:color w:val="000000" w:themeColor="text1"/>
          <w:sz w:val="72"/>
          <w:szCs w:val="72"/>
          <w14:textFill>
            <w14:solidFill>
              <w14:schemeClr w14:val="tx1"/>
            </w14:solidFill>
          </w14:textFill>
        </w:rPr>
      </w:pPr>
    </w:p>
    <w:p>
      <w:pPr>
        <w:jc w:val="center"/>
        <w:rPr>
          <w:rFonts w:asciiTheme="minorEastAsia" w:hAnsiTheme="minorEastAsia" w:eastAsiaTheme="minorEastAsia" w:cstheme="minorEastAsia"/>
          <w:color w:val="000000" w:themeColor="text1"/>
          <w:sz w:val="72"/>
          <w:szCs w:val="72"/>
          <w14:textFill>
            <w14:solidFill>
              <w14:schemeClr w14:val="tx1"/>
            </w14:solidFill>
          </w14:textFill>
        </w:rPr>
      </w:pPr>
    </w:p>
    <w:p>
      <w:pPr>
        <w:jc w:val="center"/>
        <w:rPr>
          <w:rFonts w:asciiTheme="minorEastAsia" w:hAnsiTheme="minorEastAsia" w:eastAsiaTheme="minorEastAsia" w:cstheme="minorEastAsia"/>
          <w:color w:val="000000" w:themeColor="text1"/>
          <w:sz w:val="100"/>
          <w:szCs w:val="100"/>
          <w14:textFill>
            <w14:solidFill>
              <w14:schemeClr w14:val="tx1"/>
            </w14:solidFill>
          </w14:textFill>
        </w:rPr>
      </w:pPr>
      <w:r>
        <w:rPr>
          <w:rFonts w:hint="eastAsia" w:asciiTheme="minorEastAsia" w:hAnsiTheme="minorEastAsia" w:eastAsiaTheme="minorEastAsia" w:cstheme="minorEastAsia"/>
          <w:color w:val="000000" w:themeColor="text1"/>
          <w:sz w:val="100"/>
          <w:szCs w:val="100"/>
          <w14:textFill>
            <w14:solidFill>
              <w14:schemeClr w14:val="tx1"/>
            </w14:solidFill>
          </w14:textFill>
        </w:rPr>
        <w:t>招标文件</w:t>
      </w:r>
    </w:p>
    <w:p>
      <w:pPr>
        <w:spacing w:line="400" w:lineRule="exact"/>
        <w:ind w:firstLine="2570" w:firstLineChars="800"/>
        <w:rPr>
          <w:rFonts w:asciiTheme="minorEastAsia" w:hAnsiTheme="minorEastAsia" w:eastAsiaTheme="minorEastAsia" w:cstheme="minorEastAsia"/>
          <w:b/>
          <w:color w:val="000000" w:themeColor="text1"/>
          <w:sz w:val="32"/>
          <w:szCs w:val="32"/>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400" w:lineRule="exact"/>
        <w:rPr>
          <w:rFonts w:asciiTheme="minorEastAsia" w:hAnsiTheme="minorEastAsia" w:eastAsiaTheme="minorEastAsia" w:cstheme="minorEastAsia"/>
          <w:color w:val="000000" w:themeColor="text1"/>
          <w14:textFill>
            <w14:solidFill>
              <w14:schemeClr w14:val="tx1"/>
            </w14:solidFill>
          </w14:textFill>
        </w:rPr>
      </w:pPr>
    </w:p>
    <w:p>
      <w:pPr>
        <w:spacing w:line="1100" w:lineRule="exact"/>
        <w:ind w:firstLine="1078" w:firstLineChars="385"/>
        <w:jc w:val="left"/>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   标   人：</w:t>
      </w:r>
      <w:r>
        <w:rPr>
          <w:rFonts w:hint="eastAsia" w:ascii="黑体" w:eastAsia="黑体"/>
          <w:color w:val="000000" w:themeColor="text1"/>
          <w:sz w:val="28"/>
          <w:szCs w:val="28"/>
          <w:u w:val="single"/>
          <w:lang w:eastAsia="zh-CN"/>
          <w14:textFill>
            <w14:solidFill>
              <w14:schemeClr w14:val="tx1"/>
            </w14:solidFill>
          </w14:textFill>
        </w:rPr>
        <w:t>盐城市大丰区人民政府大中街道办事处</w:t>
      </w:r>
    </w:p>
    <w:p>
      <w:pPr>
        <w:spacing w:line="1100" w:lineRule="exact"/>
        <w:ind w:firstLine="1078" w:firstLineChars="385"/>
        <w:jc w:val="left"/>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招标代理机构：</w:t>
      </w:r>
      <w:r>
        <w:rPr>
          <w:rFonts w:hint="eastAsia" w:ascii="黑体" w:eastAsia="黑体"/>
          <w:color w:val="000000" w:themeColor="text1"/>
          <w:sz w:val="28"/>
          <w:szCs w:val="28"/>
          <w:u w:val="single"/>
          <w14:textFill>
            <w14:solidFill>
              <w14:schemeClr w14:val="tx1"/>
            </w14:solidFill>
          </w14:textFill>
        </w:rPr>
        <w:t>盐城市同洲工程咨询有限公司</w:t>
      </w:r>
    </w:p>
    <w:p>
      <w:pPr>
        <w:spacing w:line="11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二〇二一年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p>
    <w:p>
      <w:pPr>
        <w:snapToGrid w:val="0"/>
        <w:jc w:val="center"/>
        <w:rPr>
          <w:rFonts w:ascii="宋体" w:hAnsi="宋体" w:cs="宋体"/>
          <w:color w:val="000000" w:themeColor="text1"/>
          <w:sz w:val="36"/>
          <w:szCs w:val="36"/>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r>
        <w:rPr>
          <w:rFonts w:hint="eastAsia" w:ascii="宋体" w:hAnsi="宋体" w:cs="宋体"/>
          <w:b/>
          <w:bCs/>
          <w:color w:val="000000" w:themeColor="text1"/>
          <w:kern w:val="44"/>
          <w:sz w:val="36"/>
          <w:szCs w:val="36"/>
          <w14:textFill>
            <w14:solidFill>
              <w14:schemeClr w14:val="tx1"/>
            </w14:solidFill>
          </w14:textFill>
        </w:rPr>
        <w:t>盐城市大丰区建设工程项目招标文件备案表</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   标   人：</w:t>
      </w:r>
      <w:r>
        <w:rPr>
          <w:rFonts w:hint="eastAsia" w:ascii="宋体" w:hAnsi="宋体" w:cs="宋体"/>
          <w:color w:val="000000" w:themeColor="text1"/>
          <w:szCs w:val="21"/>
          <w:lang w:eastAsia="zh-CN"/>
          <w14:textFill>
            <w14:solidFill>
              <w14:schemeClr w14:val="tx1"/>
            </w14:solidFill>
          </w14:textFill>
        </w:rPr>
        <w:t>盐城市大丰区人民政府大中街道办事处</w:t>
      </w:r>
    </w:p>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招标代理机构：盐城市同洲工程咨询有限公司</w:t>
      </w:r>
    </w:p>
    <w:tbl>
      <w:tblPr>
        <w:tblStyle w:val="42"/>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115"/>
        <w:gridCol w:w="1890"/>
        <w:gridCol w:w="137"/>
        <w:gridCol w:w="1417"/>
        <w:gridCol w:w="126"/>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工程名称</w:t>
            </w:r>
          </w:p>
        </w:tc>
        <w:tc>
          <w:tcPr>
            <w:tcW w:w="4142" w:type="dxa"/>
            <w:gridSpan w:val="3"/>
            <w:vAlign w:val="center"/>
          </w:tcPr>
          <w:p>
            <w:pPr>
              <w:jc w:val="center"/>
              <w:rPr>
                <w:rFonts w:hint="eastAsia" w:ascii="宋体" w:hAnsi="宋体" w:eastAsia="宋体" w:cs="宋体"/>
                <w:color w:val="000000" w:themeColor="text1"/>
                <w:szCs w:val="21"/>
                <w:lang w:val="zh-CN" w:eastAsia="zh-CN"/>
                <w14:textFill>
                  <w14:solidFill>
                    <w14:schemeClr w14:val="tx1"/>
                  </w14:solidFill>
                </w14:textFill>
              </w:rPr>
            </w:pPr>
            <w:r>
              <w:rPr>
                <w:rFonts w:hint="eastAsia" w:ascii="宋体" w:hAnsi="宋体"/>
                <w:color w:val="000000"/>
                <w:szCs w:val="21"/>
                <w:lang w:eastAsia="zh-CN"/>
              </w:rPr>
              <w:t>大中街道2021年西河口社区房屋征收搬迁项目</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工程地址</w:t>
            </w:r>
          </w:p>
        </w:tc>
        <w:tc>
          <w:tcPr>
            <w:tcW w:w="2529" w:type="dxa"/>
            <w:gridSpan w:val="2"/>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lang w:eastAsia="zh-CN"/>
              </w:rPr>
              <w:t>西河口社区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w:t>
            </w:r>
            <w:r>
              <w:rPr>
                <w:rFonts w:hint="eastAsia" w:ascii="宋体" w:hAnsi="宋体" w:cs="宋体"/>
                <w:color w:val="000000" w:themeColor="text1"/>
                <w:szCs w:val="21"/>
                <w14:textFill>
                  <w14:solidFill>
                    <w14:schemeClr w14:val="tx1"/>
                  </w14:solidFill>
                </w14:textFill>
              </w:rPr>
              <w:t>投资额（万元）</w:t>
            </w:r>
          </w:p>
        </w:tc>
        <w:tc>
          <w:tcPr>
            <w:tcW w:w="4142" w:type="dxa"/>
            <w:gridSpan w:val="3"/>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olor w:val="000000"/>
                <w:szCs w:val="21"/>
                <w:lang w:val="en-US" w:eastAsia="zh-CN"/>
              </w:rPr>
              <w:t xml:space="preserve">987万 </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建筑面积（M2）</w:t>
            </w:r>
          </w:p>
        </w:tc>
        <w:tc>
          <w:tcPr>
            <w:tcW w:w="2529" w:type="dxa"/>
            <w:gridSpan w:val="2"/>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 标 人</w:t>
            </w: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tc>
        <w:tc>
          <w:tcPr>
            <w:tcW w:w="4142" w:type="dxa"/>
            <w:gridSpan w:val="3"/>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盐城市大丰区人民政府大中街道办事处</w:t>
            </w:r>
          </w:p>
        </w:tc>
        <w:tc>
          <w:tcPr>
            <w:tcW w:w="1417" w:type="dxa"/>
            <w:vAlign w:val="center"/>
          </w:tcPr>
          <w:p>
            <w:pPr>
              <w:jc w:val="center"/>
              <w:rPr>
                <w:rFonts w:ascii="宋体" w:hAnsi="宋体"/>
                <w:color w:val="000000"/>
                <w:szCs w:val="21"/>
              </w:rPr>
            </w:pPr>
            <w:r>
              <w:rPr>
                <w:rFonts w:hint="eastAsia" w:ascii="宋体" w:hAnsi="宋体"/>
                <w:color w:val="000000"/>
                <w:szCs w:val="21"/>
              </w:rPr>
              <w:t>招</w:t>
            </w:r>
            <w:r>
              <w:rPr>
                <w:rFonts w:ascii="宋体" w:hAnsi="宋体"/>
                <w:color w:val="000000"/>
                <w:szCs w:val="21"/>
              </w:rPr>
              <w:t xml:space="preserve"> </w:t>
            </w:r>
            <w:r>
              <w:rPr>
                <w:rFonts w:hint="eastAsia" w:ascii="宋体" w:hAnsi="宋体"/>
                <w:color w:val="000000"/>
                <w:szCs w:val="21"/>
              </w:rPr>
              <w:t>标</w:t>
            </w:r>
            <w:r>
              <w:rPr>
                <w:rFonts w:ascii="宋体" w:hAnsi="宋体"/>
                <w:color w:val="000000"/>
                <w:szCs w:val="21"/>
              </w:rPr>
              <w:t xml:space="preserve"> </w:t>
            </w:r>
            <w:r>
              <w:rPr>
                <w:rFonts w:hint="eastAsia" w:ascii="宋体" w:hAnsi="宋体"/>
                <w:color w:val="000000"/>
                <w:szCs w:val="21"/>
              </w:rPr>
              <w:t>人</w:t>
            </w:r>
          </w:p>
          <w:p>
            <w:pPr>
              <w:jc w:val="center"/>
              <w:rPr>
                <w:rFonts w:ascii="宋体" w:hAnsi="宋体" w:cs="宋体"/>
                <w:color w:val="000000" w:themeColor="text1"/>
                <w:szCs w:val="21"/>
                <w:lang w:val="zh-CN"/>
                <w14:textFill>
                  <w14:solidFill>
                    <w14:schemeClr w14:val="tx1"/>
                  </w14:solidFill>
                </w14:textFill>
              </w:rPr>
            </w:pPr>
            <w:r>
              <w:rPr>
                <w:rFonts w:hint="eastAsia" w:ascii="宋体" w:hAnsi="宋体"/>
                <w:color w:val="000000"/>
                <w:szCs w:val="21"/>
              </w:rPr>
              <w:t>联系电话</w:t>
            </w:r>
          </w:p>
        </w:tc>
        <w:tc>
          <w:tcPr>
            <w:tcW w:w="2529" w:type="dxa"/>
            <w:gridSpan w:val="2"/>
            <w:vAlign w:val="center"/>
          </w:tcPr>
          <w:p>
            <w:pPr>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eastAsia="zh-CN"/>
              </w:rPr>
              <w:t>薛广忠</w:t>
            </w:r>
          </w:p>
          <w:p>
            <w:pPr>
              <w:jc w:val="center"/>
              <w:rPr>
                <w:rFonts w:hint="eastAsia" w:ascii="宋体" w:hAnsi="宋体" w:eastAsia="宋体" w:cs="宋体"/>
                <w:color w:val="000000" w:themeColor="text1"/>
                <w:szCs w:val="21"/>
                <w:lang w:val="zh-CN" w:eastAsia="zh-CN"/>
                <w14:textFill>
                  <w14:solidFill>
                    <w14:schemeClr w14:val="tx1"/>
                  </w14:solidFill>
                </w14:textFill>
              </w:rPr>
            </w:pPr>
            <w:r>
              <w:rPr>
                <w:rFonts w:hint="eastAsia" w:ascii="宋体" w:hAnsi="宋体"/>
                <w:szCs w:val="21"/>
                <w:lang w:eastAsia="zh-CN"/>
              </w:rPr>
              <w:t>13651581718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代理机构</w:t>
            </w: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tc>
        <w:tc>
          <w:tcPr>
            <w:tcW w:w="4142" w:type="dxa"/>
            <w:gridSpan w:val="3"/>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大丰区常新南路上海花园18幢104号</w:t>
            </w:r>
          </w:p>
        </w:tc>
        <w:tc>
          <w:tcPr>
            <w:tcW w:w="141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szCs w:val="21"/>
              </w:rPr>
              <w:t>代理机构联系电话</w:t>
            </w:r>
          </w:p>
        </w:tc>
        <w:tc>
          <w:tcPr>
            <w:tcW w:w="2529" w:type="dxa"/>
            <w:gridSpan w:val="2"/>
            <w:vAlign w:val="center"/>
          </w:tcPr>
          <w:p>
            <w:pPr>
              <w:jc w:val="center"/>
              <w:rPr>
                <w:rFonts w:hint="eastAsia" w:ascii="宋体" w:hAnsi="宋体" w:eastAsia="宋体"/>
                <w:color w:val="000000"/>
                <w:szCs w:val="21"/>
                <w:lang w:eastAsia="zh-CN"/>
              </w:rPr>
            </w:pPr>
            <w:r>
              <w:rPr>
                <w:rFonts w:hint="eastAsia" w:ascii="宋体" w:hAnsi="宋体"/>
                <w:color w:val="000000"/>
                <w:szCs w:val="21"/>
                <w:lang w:eastAsia="zh-CN"/>
              </w:rPr>
              <w:t>乔军</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olor w:val="000000"/>
                <w:szCs w:val="21"/>
                <w:lang w:eastAsia="zh-CN"/>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1353" w:type="dxa"/>
            <w:vMerge w:val="restart"/>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代理机构资    质</w:t>
            </w:r>
          </w:p>
        </w:tc>
        <w:tc>
          <w:tcPr>
            <w:tcW w:w="211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资质证书号</w:t>
            </w:r>
          </w:p>
        </w:tc>
        <w:tc>
          <w:tcPr>
            <w:tcW w:w="5973" w:type="dxa"/>
            <w:gridSpan w:val="5"/>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F232000921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1353" w:type="dxa"/>
            <w:vMerge w:val="continue"/>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211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资质等级</w:t>
            </w:r>
          </w:p>
        </w:tc>
        <w:tc>
          <w:tcPr>
            <w:tcW w:w="5973" w:type="dxa"/>
            <w:gridSpan w:val="5"/>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 办 人</w:t>
            </w:r>
          </w:p>
        </w:tc>
        <w:tc>
          <w:tcPr>
            <w:tcW w:w="4005" w:type="dxa"/>
            <w:gridSpan w:val="2"/>
            <w:vAlign w:val="center"/>
          </w:tcPr>
          <w:p>
            <w:pPr>
              <w:spacing w:line="4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乔军</w:t>
            </w:r>
          </w:p>
        </w:tc>
        <w:tc>
          <w:tcPr>
            <w:tcW w:w="1680" w:type="dxa"/>
            <w:gridSpan w:val="3"/>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w:t>
            </w:r>
          </w:p>
        </w:tc>
        <w:tc>
          <w:tcPr>
            <w:tcW w:w="2403" w:type="dxa"/>
            <w:vAlign w:val="center"/>
          </w:tcPr>
          <w:p>
            <w:pPr>
              <w:spacing w:line="4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135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 案</w:t>
            </w:r>
          </w:p>
          <w:p>
            <w:pPr>
              <w:spacing w:line="440" w:lineRule="exact"/>
              <w:jc w:val="center"/>
              <w:rPr>
                <w:rFonts w:ascii="宋体" w:hAnsi="宋体" w:cs="宋体"/>
                <w:color w:val="000000" w:themeColor="text1"/>
                <w:szCs w:val="21"/>
                <w14:textFill>
                  <w14:solidFill>
                    <w14:schemeClr w14:val="tx1"/>
                  </w14:solidFill>
                </w14:textFill>
              </w:rPr>
            </w:pP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机 关</w:t>
            </w:r>
          </w:p>
          <w:p>
            <w:pPr>
              <w:spacing w:line="440" w:lineRule="exact"/>
              <w:jc w:val="center"/>
              <w:rPr>
                <w:rFonts w:ascii="宋体" w:hAnsi="宋体" w:cs="宋体"/>
                <w:color w:val="000000" w:themeColor="text1"/>
                <w:szCs w:val="21"/>
                <w14:textFill>
                  <w14:solidFill>
                    <w14:schemeClr w14:val="tx1"/>
                  </w14:solidFill>
                </w14:textFill>
              </w:rPr>
            </w:pPr>
          </w:p>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意 见</w:t>
            </w:r>
          </w:p>
        </w:tc>
        <w:tc>
          <w:tcPr>
            <w:tcW w:w="8088" w:type="dxa"/>
            <w:gridSpan w:val="6"/>
          </w:tcPr>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本工程项目招标文件备案材料于2021年</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日收讫。</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ind w:right="420"/>
              <w:rPr>
                <w:rFonts w:ascii="宋体" w:hAnsi="宋体" w:cs="宋体"/>
                <w:color w:val="000000" w:themeColor="text1"/>
                <w:szCs w:val="21"/>
                <w14:textFill>
                  <w14:solidFill>
                    <w14:schemeClr w14:val="tx1"/>
                  </w14:solidFill>
                </w14:textFill>
              </w:rPr>
            </w:pPr>
          </w:p>
          <w:p>
            <w:pPr>
              <w:spacing w:line="440" w:lineRule="exact"/>
              <w:ind w:right="420"/>
              <w:rPr>
                <w:rFonts w:ascii="宋体" w:hAnsi="宋体" w:cs="宋体"/>
                <w:color w:val="000000" w:themeColor="text1"/>
                <w:szCs w:val="21"/>
                <w14:textFill>
                  <w14:solidFill>
                    <w14:schemeClr w14:val="tx1"/>
                  </w14:solidFill>
                </w14:textFill>
              </w:rPr>
            </w:pPr>
          </w:p>
          <w:p>
            <w:pPr>
              <w:spacing w:line="440" w:lineRule="exact"/>
              <w:ind w:right="420" w:firstLine="4410" w:firstLineChars="2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备案机关（公章）</w:t>
            </w:r>
          </w:p>
          <w:p>
            <w:pPr>
              <w:spacing w:line="440" w:lineRule="exact"/>
              <w:jc w:val="left"/>
              <w:rPr>
                <w:rFonts w:ascii="宋体" w:hAnsi="宋体" w:cs="宋体"/>
                <w:color w:val="000000" w:themeColor="text1"/>
                <w:szCs w:val="21"/>
                <w14:textFill>
                  <w14:solidFill>
                    <w14:schemeClr w14:val="tx1"/>
                  </w14:solidFill>
                </w14:textFill>
              </w:rPr>
            </w:pPr>
          </w:p>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监督投诉电话：0515-83927228</w:t>
            </w:r>
          </w:p>
          <w:p>
            <w:pPr>
              <w:spacing w:line="440" w:lineRule="exact"/>
              <w:jc w:val="center"/>
              <w:rPr>
                <w:rFonts w:ascii="宋体" w:hAnsi="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Theme="minorEastAsia" w:hAnsiTheme="minorEastAsia" w:eastAsiaTheme="minorEastAsia" w:cstheme="minorEastAsia"/>
          <w:b/>
          <w:color w:val="000000" w:themeColor="text1"/>
          <w:sz w:val="36"/>
          <w14:textFill>
            <w14:solidFill>
              <w14:schemeClr w14:val="tx1"/>
            </w14:solidFill>
          </w14:textFill>
        </w:rPr>
      </w:pPr>
      <w:r>
        <w:rPr>
          <w:rFonts w:hint="eastAsia" w:asciiTheme="minorEastAsia" w:hAnsiTheme="minorEastAsia" w:eastAsiaTheme="minorEastAsia" w:cstheme="minorEastAsia"/>
          <w:b/>
          <w:color w:val="000000" w:themeColor="text1"/>
          <w:sz w:val="36"/>
          <w14:textFill>
            <w14:solidFill>
              <w14:schemeClr w14:val="tx1"/>
            </w14:solidFill>
          </w14:textFill>
        </w:rPr>
        <w:t>第一章</w:t>
      </w:r>
      <w:bookmarkStart w:id="1" w:name="OLE_LINK1"/>
      <w:bookmarkStart w:id="2" w:name="OLE_LINK2"/>
      <w:r>
        <w:rPr>
          <w:rFonts w:hint="eastAsia" w:asciiTheme="minorEastAsia" w:hAnsiTheme="minorEastAsia" w:eastAsiaTheme="minorEastAsia" w:cstheme="minorEastAsia"/>
          <w:b/>
          <w:color w:val="000000" w:themeColor="text1"/>
          <w:sz w:val="36"/>
          <w14:textFill>
            <w14:solidFill>
              <w14:schemeClr w14:val="tx1"/>
            </w14:solidFill>
          </w14:textFill>
        </w:rPr>
        <w:t>招标公告</w:t>
      </w:r>
    </w:p>
    <w:p>
      <w:pPr>
        <w:widowControl/>
        <w:spacing w:line="480" w:lineRule="exact"/>
        <w:jc w:val="center"/>
        <w:rPr>
          <w:rFonts w:asciiTheme="minorEastAsia" w:hAnsiTheme="minorEastAsia" w:eastAsiaTheme="minorEastAsia" w:cstheme="minorEastAsia"/>
          <w:color w:val="000000" w:themeColor="text1"/>
          <w:sz w:val="24"/>
          <w14:textFill>
            <w14:solidFill>
              <w14:schemeClr w14:val="tx1"/>
            </w14:solidFill>
          </w14:textFill>
        </w:rPr>
      </w:pP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一、根据《中华人民共和国招标投标法》等有关法律规定，</w:t>
      </w:r>
      <w:r>
        <w:rPr>
          <w:rFonts w:hint="eastAsia" w:ascii="黑体" w:eastAsia="新宋体"/>
          <w:color w:val="000000" w:themeColor="text1"/>
          <w:szCs w:val="21"/>
          <w:u w:val="single"/>
          <w:lang w:eastAsia="zh-CN"/>
          <w14:textFill>
            <w14:solidFill>
              <w14:schemeClr w14:val="tx1"/>
            </w14:solidFill>
          </w14:textFill>
        </w:rPr>
        <w:t>盐城市大丰区人民政府大中街道办事处</w:t>
      </w:r>
      <w:r>
        <w:rPr>
          <w:rFonts w:hint="eastAsia" w:asciiTheme="minorEastAsia" w:hAnsiTheme="minorEastAsia" w:eastAsiaTheme="minorEastAsia" w:cstheme="minorEastAsia"/>
          <w:color w:val="000000" w:themeColor="text1"/>
          <w:kern w:val="0"/>
          <w:szCs w:val="21"/>
          <w14:textFill>
            <w14:solidFill>
              <w14:schemeClr w14:val="tx1"/>
            </w14:solidFill>
          </w14:textFill>
        </w:rPr>
        <w:t>决定对</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大中街道2021年西河口社区房屋征收搬迁项目</w:t>
      </w:r>
      <w:r>
        <w:rPr>
          <w:rFonts w:hint="eastAsia" w:asciiTheme="minorEastAsia" w:hAnsiTheme="minorEastAsia" w:eastAsiaTheme="minorEastAsia" w:cstheme="minorEastAsia"/>
          <w:color w:val="000000" w:themeColor="text1"/>
          <w:kern w:val="0"/>
          <w:szCs w:val="21"/>
          <w14:textFill>
            <w14:solidFill>
              <w14:schemeClr w14:val="tx1"/>
            </w14:solidFill>
          </w14:textFill>
        </w:rPr>
        <w:t>进行</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公开招标</w:t>
      </w:r>
      <w:r>
        <w:rPr>
          <w:rFonts w:hint="eastAsia" w:asciiTheme="minorEastAsia" w:hAnsiTheme="minorEastAsia" w:eastAsiaTheme="minorEastAsia" w:cstheme="minorEastAsia"/>
          <w:color w:val="000000" w:themeColor="text1"/>
          <w:kern w:val="0"/>
          <w:szCs w:val="21"/>
          <w14:textFill>
            <w14:solidFill>
              <w14:schemeClr w14:val="tx1"/>
            </w14:solidFill>
          </w14:textFill>
        </w:rPr>
        <w:t>，诚邀合格的企业前来报名参加本项目的投标。</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盐城市同洲工程咨询有限公司</w:t>
      </w:r>
      <w:r>
        <w:rPr>
          <w:rFonts w:hint="eastAsia" w:asciiTheme="minorEastAsia" w:hAnsiTheme="minorEastAsia" w:eastAsiaTheme="minorEastAsia" w:cstheme="minorEastAsia"/>
          <w:color w:val="000000" w:themeColor="text1"/>
          <w:kern w:val="0"/>
          <w:szCs w:val="21"/>
          <w14:textFill>
            <w14:solidFill>
              <w14:schemeClr w14:val="tx1"/>
            </w14:solidFill>
          </w14:textFill>
        </w:rPr>
        <w:t>受</w:t>
      </w:r>
      <w:r>
        <w:rPr>
          <w:rFonts w:hint="eastAsia" w:ascii="黑体" w:eastAsia="新宋体"/>
          <w:color w:val="000000" w:themeColor="text1"/>
          <w:szCs w:val="21"/>
          <w:u w:val="single"/>
          <w:lang w:eastAsia="zh-CN"/>
          <w14:textFill>
            <w14:solidFill>
              <w14:schemeClr w14:val="tx1"/>
            </w14:solidFill>
          </w14:textFill>
        </w:rPr>
        <w:t>盐城市大丰区人民政府大中街道办事处</w:t>
      </w:r>
      <w:r>
        <w:rPr>
          <w:rFonts w:hint="eastAsia" w:asciiTheme="minorEastAsia" w:hAnsiTheme="minorEastAsia" w:eastAsiaTheme="minorEastAsia" w:cstheme="minorEastAsia"/>
          <w:color w:val="000000" w:themeColor="text1"/>
          <w:kern w:val="0"/>
          <w:szCs w:val="21"/>
          <w14:textFill>
            <w14:solidFill>
              <w14:schemeClr w14:val="tx1"/>
            </w14:solidFill>
          </w14:textFill>
        </w:rPr>
        <w:t>的委托具体负责本项目的招标事宜。</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二、项目概况</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（1）项目名称：</w:t>
      </w:r>
      <w:r>
        <w:rPr>
          <w:rFonts w:hint="eastAsia" w:eastAsia="新宋体" w:asciiTheme="minorEastAsia" w:hAnsiTheme="minorEastAsia" w:cstheme="minorEastAsia"/>
          <w:color w:val="000000" w:themeColor="text1"/>
          <w:kern w:val="0"/>
          <w:szCs w:val="21"/>
          <w:u w:val="single"/>
          <w:lang w:eastAsia="zh-CN"/>
          <w14:textFill>
            <w14:solidFill>
              <w14:schemeClr w14:val="tx1"/>
            </w14:solidFill>
          </w14:textFill>
        </w:rPr>
        <w:t>大中街道2021年西河口社区房屋征收搬迁项目</w:t>
      </w:r>
    </w:p>
    <w:p>
      <w:pPr>
        <w:widowControl/>
        <w:spacing w:line="480" w:lineRule="exact"/>
        <w:ind w:firstLine="420" w:firstLineChars="200"/>
        <w:jc w:val="left"/>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（2）项目编号：</w:t>
      </w:r>
      <w:r>
        <w:rPr>
          <w:rFonts w:hint="eastAsia" w:eastAsia="新宋体" w:asciiTheme="minorEastAsia" w:hAnsiTheme="minorEastAsia" w:cstheme="minorEastAsia"/>
          <w:color w:val="000000" w:themeColor="text1"/>
          <w:kern w:val="0"/>
          <w:szCs w:val="21"/>
          <w:u w:val="single"/>
          <w:lang w:val="en-US" w:eastAsia="zh-CN"/>
          <w14:textFill>
            <w14:solidFill>
              <w14:schemeClr w14:val="tx1"/>
            </w14:solidFill>
          </w14:textFill>
        </w:rPr>
        <w:t>DFGC20210036</w:t>
      </w:r>
    </w:p>
    <w:p>
      <w:pPr>
        <w:widowControl/>
        <w:spacing w:line="480" w:lineRule="exact"/>
        <w:ind w:firstLine="420" w:firstLineChars="200"/>
        <w:jc w:val="left"/>
        <w:rPr>
          <w:rFonts w:eastAsia="新宋体" w:asciiTheme="minorEastAsia" w:hAnsi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（3）项目地址：</w:t>
      </w:r>
      <w:r>
        <w:rPr>
          <w:rFonts w:hint="eastAsia" w:eastAsia="新宋体" w:asciiTheme="minorEastAsia" w:hAnsiTheme="minorEastAsia" w:cstheme="minorEastAsia"/>
          <w:color w:val="000000" w:themeColor="text1"/>
          <w:kern w:val="0"/>
          <w:szCs w:val="21"/>
          <w:u w:val="single"/>
          <w14:textFill>
            <w14:solidFill>
              <w14:schemeClr w14:val="tx1"/>
            </w14:solidFill>
          </w14:textFill>
        </w:rPr>
        <w:t>西河口社区</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（4）服务限期：</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60天</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（5）项目规模：</w:t>
      </w:r>
      <w:r>
        <w:rPr>
          <w:rFonts w:hint="eastAsia" w:eastAsiaTheme="minorEastAsia"/>
          <w:color w:val="000000"/>
          <w:u w:val="single"/>
          <w:lang w:eastAsia="zh-CN"/>
        </w:rPr>
        <w:t>住宅户</w:t>
      </w:r>
      <w:r>
        <w:rPr>
          <w:rFonts w:hint="eastAsia" w:eastAsiaTheme="minorEastAsia"/>
          <w:color w:val="000000"/>
          <w:u w:val="single"/>
          <w:lang w:val="en-US" w:eastAsia="zh-CN"/>
        </w:rPr>
        <w:t>974户，非住宅户9户</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（6）招标内容：</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1.征收搬迁补偿方案编制前，协助对征收搬迁范围内房屋的权属、区位、用途、建筑面积等现状进行调查、登记、预丈量；向相关部门调取被征收搬迁范围内房屋的土地、规划、房产等手续；向民政部门、街道办事处（居委会）、社区调取被征收搬迁人是否符合住房保障条件情况。2.协助编制、报批、公示征收搬迁补偿方案，进行房屋征收搬迁与补偿政策的宣传、解释。3.协助编制社会稳定风险评估报告。4.组织对征收搬迁补偿方案进行征求意见、听证、论证、公示等工作。5.组织选择房地产价格评估机构对被征收搬迁房屋价值进行预评估，并提供相关材料。6.确定拟被征收房屋搬迁补偿、临时安置补偿、停产停业损失补偿的标准。7.确定拟被征收搬迁范围内符合住房保障条件的户数。8.按照《房屋征收补偿方案》，就征收搬迁补偿的具体问题与被征收搬迁人协商，并签订征收搬迁补偿协议。9.协助开展征收搬迁补偿决定下发前的有关工作。10.根据《房屋征收补偿方案》和《征收补偿协议》落实补偿安置。11.其他房屋征收搬迁与补偿的具体工作事项。</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（7）质量要求：</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合格</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（8）资金来源：</w:t>
      </w:r>
      <w:r>
        <w:rPr>
          <w:rFonts w:hint="eastAsia" w:asciiTheme="minorEastAsia" w:hAnsiTheme="minorEastAsia" w:eastAsiaTheme="minorEastAsia" w:cstheme="minorEastAsia"/>
          <w:color w:val="000000" w:themeColor="text1"/>
          <w:kern w:val="0"/>
          <w:szCs w:val="21"/>
          <w:u w:val="single"/>
          <w:lang w:eastAsia="zh-CN"/>
          <w14:textFill>
            <w14:solidFill>
              <w14:schemeClr w14:val="tx1"/>
            </w14:solidFill>
          </w14:textFill>
        </w:rPr>
        <w:t>财政资金</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三、标段划分：本招标项目共分</w:t>
      </w:r>
      <w:r>
        <w:rPr>
          <w:rFonts w:hint="eastAsia" w:asciiTheme="minorEastAsia" w:hAnsiTheme="minorEastAsia" w:eastAsiaTheme="minorEastAsia" w:cstheme="minorEastAsia"/>
          <w:color w:val="000000" w:themeColor="text1"/>
          <w:kern w:val="0"/>
          <w:szCs w:val="21"/>
          <w14:textFill>
            <w14:solidFill>
              <w14:schemeClr w14:val="tx1"/>
            </w14:solidFill>
          </w14:textFill>
        </w:rPr>
        <w:softHyphen/>
      </w:r>
      <w:r>
        <w:rPr>
          <w:rFonts w:hint="eastAsia" w:asciiTheme="minorEastAsia" w:hAnsiTheme="minorEastAsia" w:eastAsiaTheme="minorEastAsia" w:cstheme="minorEastAsia"/>
          <w:color w:val="000000" w:themeColor="text1"/>
          <w:kern w:val="0"/>
          <w:szCs w:val="21"/>
          <w14:textFill>
            <w14:solidFill>
              <w14:schemeClr w14:val="tx1"/>
            </w14:solidFill>
          </w14:textFill>
        </w:rPr>
        <w:softHyphen/>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Cs w:val="21"/>
          <w14:textFill>
            <w14:solidFill>
              <w14:schemeClr w14:val="tx1"/>
            </w14:solidFill>
          </w14:textFill>
        </w:rPr>
        <w:t>个标段，</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，凡具备承担本招标项目的能力并具备规定的资格条件的企业，均可以参加上述一个或多个标段的投标，但同一投标人只能中其中一个标段。按1标段→2标段→3标段→</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标段→</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标段的顺序依次进行，在前面1个标段评审过程中被评标委员会确定排名第一的中标候选人的投标人将不作为后续标段中标候选人的推荐，但其有效投标报价仍参加后续标段的评审，以此类推。</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招标内容如下：</w:t>
      </w:r>
    </w:p>
    <w:tbl>
      <w:tblPr>
        <w:tblStyle w:val="42"/>
        <w:tblpPr w:leftFromText="180" w:rightFromText="180" w:vertAnchor="text" w:horzAnchor="page" w:tblpX="1632" w:tblpY="597"/>
        <w:tblOverlap w:val="never"/>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2146"/>
        <w:gridCol w:w="805"/>
        <w:gridCol w:w="805"/>
        <w:gridCol w:w="805"/>
        <w:gridCol w:w="805"/>
        <w:gridCol w:w="805"/>
        <w:gridCol w:w="908"/>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440" w:type="dxa"/>
            <w:gridSpan w:val="9"/>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24"/>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大中街道2021年西河口社区房屋征收</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搬迁</w:t>
            </w:r>
            <w:r>
              <w:rPr>
                <w:rFonts w:hint="eastAsia" w:asciiTheme="minorEastAsia" w:hAnsiTheme="minorEastAsia" w:eastAsiaTheme="minorEastAsia" w:cstheme="minorEastAsia"/>
                <w:color w:val="000000" w:themeColor="text1"/>
                <w:kern w:val="0"/>
                <w:szCs w:val="21"/>
                <w14:textFill>
                  <w14:solidFill>
                    <w14:schemeClr w14:val="tx1"/>
                  </w14:solidFill>
                </w14:textFill>
              </w:rPr>
              <w:t>项目情况一览表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21"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rPr>
              <w:t>标段</w:t>
            </w:r>
          </w:p>
        </w:tc>
        <w:tc>
          <w:tcPr>
            <w:tcW w:w="2146"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4025" w:type="dxa"/>
            <w:gridSpan w:val="5"/>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房屋基本情况</w:t>
            </w:r>
          </w:p>
        </w:tc>
        <w:tc>
          <w:tcPr>
            <w:tcW w:w="908" w:type="dxa"/>
            <w:vMerge w:val="restart"/>
            <w:tcBorders>
              <w:tl2br w:val="nil"/>
              <w:tr2bl w:val="nil"/>
            </w:tcBorders>
            <w:noWrap/>
            <w:tcMar>
              <w:top w:w="15" w:type="dxa"/>
              <w:left w:w="15" w:type="dxa"/>
              <w:right w:w="15" w:type="dxa"/>
            </w:tcMar>
            <w:vAlign w:val="center"/>
          </w:tcPr>
          <w:p>
            <w:pPr>
              <w:widowControl/>
              <w:spacing w:line="400" w:lineRule="exact"/>
              <w:jc w:val="center"/>
              <w:textAlignment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lang w:eastAsia="zh-CN"/>
              </w:rPr>
              <w:t>持证人数量（</w:t>
            </w:r>
            <w:r>
              <w:rPr>
                <w:rFonts w:hint="eastAsia" w:ascii="宋体" w:hAnsi="宋体" w:cs="宋体"/>
                <w:b/>
                <w:color w:val="000000"/>
                <w:kern w:val="0"/>
                <w:sz w:val="20"/>
                <w:szCs w:val="20"/>
                <w:lang w:val="en-US" w:eastAsia="zh-CN"/>
              </w:rPr>
              <w:t>至少</w:t>
            </w:r>
            <w:r>
              <w:rPr>
                <w:rFonts w:hint="eastAsia" w:ascii="宋体" w:hAnsi="宋体" w:cs="宋体"/>
                <w:b/>
                <w:color w:val="000000"/>
                <w:kern w:val="0"/>
                <w:sz w:val="20"/>
                <w:szCs w:val="20"/>
                <w:lang w:eastAsia="zh-CN"/>
              </w:rPr>
              <w:t>）</w:t>
            </w:r>
          </w:p>
        </w:tc>
        <w:tc>
          <w:tcPr>
            <w:tcW w:w="1740" w:type="dxa"/>
            <w:vMerge w:val="restart"/>
            <w:tcBorders>
              <w:tl2br w:val="nil"/>
              <w:tr2bl w:val="nil"/>
            </w:tcBorders>
            <w:noWrap/>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24"/>
              </w:rPr>
            </w:pPr>
            <w:r>
              <w:rPr>
                <w:rFonts w:hint="eastAsia" w:ascii="宋体" w:hAnsi="宋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21"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b/>
                <w:color w:val="000000"/>
                <w:sz w:val="20"/>
                <w:szCs w:val="20"/>
              </w:rPr>
            </w:pPr>
          </w:p>
        </w:tc>
        <w:tc>
          <w:tcPr>
            <w:tcW w:w="2146"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b/>
                <w:color w:val="000000"/>
                <w:sz w:val="20"/>
                <w:szCs w:val="20"/>
              </w:rPr>
            </w:pPr>
          </w:p>
        </w:tc>
        <w:tc>
          <w:tcPr>
            <w:tcW w:w="805"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Style w:val="184"/>
                <w:rFonts w:hint="default"/>
              </w:rPr>
              <w:t>总面积</w:t>
            </w:r>
            <w:r>
              <w:rPr>
                <w:rStyle w:val="184"/>
                <w:rFonts w:hint="default"/>
              </w:rPr>
              <w:br w:type="textWrapping"/>
            </w:r>
            <w:r>
              <w:rPr>
                <w:rStyle w:val="184"/>
                <w:rFonts w:hint="default"/>
              </w:rPr>
              <w:t>(m</w:t>
            </w:r>
            <w:r>
              <w:rPr>
                <w:rStyle w:val="185"/>
                <w:rFonts w:hint="default"/>
              </w:rPr>
              <w:t>2</w:t>
            </w:r>
            <w:r>
              <w:rPr>
                <w:rStyle w:val="184"/>
                <w:rFonts w:hint="default"/>
              </w:rPr>
              <w:t>)</w:t>
            </w:r>
          </w:p>
        </w:tc>
        <w:tc>
          <w:tcPr>
            <w:tcW w:w="805" w:type="dxa"/>
            <w:tcBorders>
              <w:tl2br w:val="nil"/>
              <w:tr2bl w:val="nil"/>
            </w:tcBorders>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住宅户数</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(户)</w:t>
            </w:r>
          </w:p>
        </w:tc>
        <w:tc>
          <w:tcPr>
            <w:tcW w:w="8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lang w:val="en-US" w:eastAsia="zh-CN"/>
              </w:rPr>
            </w:pPr>
            <w:r>
              <w:rPr>
                <w:rFonts w:hint="eastAsia" w:ascii="宋体" w:hAnsi="宋体" w:cs="宋体"/>
                <w:b/>
                <w:color w:val="000000"/>
                <w:sz w:val="18"/>
                <w:szCs w:val="18"/>
                <w:lang w:val="en-US" w:eastAsia="zh-CN"/>
              </w:rPr>
              <w:t>非住宅户数</w:t>
            </w:r>
            <w:r>
              <w:rPr>
                <w:rFonts w:hint="eastAsia" w:ascii="宋体" w:hAnsi="宋体" w:cs="宋体"/>
                <w:b/>
                <w:color w:val="000000"/>
                <w:kern w:val="0"/>
                <w:sz w:val="18"/>
                <w:szCs w:val="18"/>
              </w:rPr>
              <w:t>(户)</w:t>
            </w:r>
          </w:p>
        </w:tc>
        <w:tc>
          <w:tcPr>
            <w:tcW w:w="805" w:type="dxa"/>
            <w:tcBorders>
              <w:tl2br w:val="nil"/>
              <w:tr2bl w:val="nil"/>
            </w:tcBorders>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丈量费（元）</w:t>
            </w:r>
          </w:p>
        </w:tc>
        <w:tc>
          <w:tcPr>
            <w:tcW w:w="805" w:type="dxa"/>
            <w:tcBorders>
              <w:tl2br w:val="nil"/>
              <w:tr2bl w:val="nil"/>
            </w:tcBorders>
            <w:tcMar>
              <w:top w:w="15" w:type="dxa"/>
              <w:left w:w="15" w:type="dxa"/>
              <w:right w:w="15" w:type="dxa"/>
            </w:tcMar>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征收费（元）</w:t>
            </w:r>
          </w:p>
        </w:tc>
        <w:tc>
          <w:tcPr>
            <w:tcW w:w="908"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lang w:val="en-US" w:eastAsia="zh-CN"/>
              </w:rPr>
            </w:pPr>
          </w:p>
        </w:tc>
        <w:tc>
          <w:tcPr>
            <w:tcW w:w="1740" w:type="dxa"/>
            <w:vMerge w:val="continue"/>
            <w:tcBorders>
              <w:tl2br w:val="nil"/>
              <w:tr2bl w:val="nil"/>
            </w:tcBorders>
            <w:noWrap/>
            <w:tcMar>
              <w:top w:w="15" w:type="dxa"/>
              <w:left w:w="15" w:type="dxa"/>
              <w:right w:w="15" w:type="dxa"/>
            </w:tcMar>
            <w:vAlign w:val="center"/>
          </w:tcPr>
          <w:p>
            <w:pPr>
              <w:spacing w:line="400" w:lineRule="exact"/>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0"/>
                <w:szCs w:val="20"/>
              </w:rPr>
            </w:pPr>
            <w:r>
              <w:rPr>
                <w:rFonts w:hint="eastAsia" w:ascii="宋体" w:hAnsi="宋体" w:cs="宋体"/>
                <w:color w:val="0000FF"/>
                <w:kern w:val="0"/>
                <w:sz w:val="20"/>
                <w:szCs w:val="20"/>
              </w:rPr>
              <w:t>1</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kern w:val="0"/>
                <w:sz w:val="20"/>
                <w:szCs w:val="20"/>
              </w:rPr>
            </w:pPr>
            <w:r>
              <w:rPr>
                <w:rFonts w:hint="eastAsia" w:ascii="宋体" w:hAnsi="宋体" w:cs="宋体"/>
                <w:kern w:val="0"/>
                <w:sz w:val="20"/>
                <w:szCs w:val="20"/>
              </w:rPr>
              <w:t>德西一组板块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57136</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65</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52800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785000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1740" w:type="dxa"/>
            <w:vMerge w:val="restart"/>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本表数量为暂估工程量，实际实施工程量以现场实测</w:t>
            </w:r>
            <w:r>
              <w:rPr>
                <w:rFonts w:hint="eastAsia" w:ascii="宋体" w:hAnsi="宋体" w:cs="宋体"/>
                <w:color w:val="000000"/>
                <w:kern w:val="0"/>
                <w:sz w:val="18"/>
                <w:szCs w:val="18"/>
                <w:lang w:eastAsia="zh-CN"/>
              </w:rPr>
              <w:t>或业主指定</w:t>
            </w:r>
            <w:r>
              <w:rPr>
                <w:rFonts w:hint="eastAsia" w:ascii="宋体" w:hAnsi="宋体" w:cs="宋体"/>
                <w:color w:val="000000"/>
                <w:kern w:val="0"/>
                <w:sz w:val="18"/>
                <w:szCs w:val="18"/>
              </w:rPr>
              <w:t>为准。</w:t>
            </w:r>
            <w:r>
              <w:rPr>
                <w:rFonts w:hint="eastAsia" w:ascii="宋体" w:hAnsi="宋体" w:cs="宋体"/>
                <w:sz w:val="18"/>
                <w:szCs w:val="18"/>
              </w:rPr>
              <w:t>按实结算费用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0"/>
                <w:szCs w:val="20"/>
              </w:rPr>
            </w:pPr>
            <w:r>
              <w:rPr>
                <w:rFonts w:hint="eastAsia" w:ascii="宋体" w:hAnsi="宋体" w:cs="宋体"/>
                <w:color w:val="0000FF"/>
                <w:kern w:val="0"/>
                <w:sz w:val="20"/>
                <w:szCs w:val="20"/>
              </w:rPr>
              <w:t>2</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kern w:val="0"/>
                <w:sz w:val="20"/>
                <w:szCs w:val="20"/>
              </w:rPr>
            </w:pPr>
            <w:r>
              <w:rPr>
                <w:rFonts w:hint="eastAsia" w:ascii="宋体" w:hAnsi="宋体" w:cs="宋体"/>
                <w:kern w:val="0"/>
                <w:sz w:val="20"/>
                <w:szCs w:val="20"/>
              </w:rPr>
              <w:t>老化工厂东宿舍区板块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47334</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150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121600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1575000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1740" w:type="dxa"/>
            <w:vMerge w:val="continue"/>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FF"/>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sz w:val="20"/>
                <w:szCs w:val="20"/>
              </w:rPr>
            </w:pPr>
            <w:r>
              <w:rPr>
                <w:rFonts w:hint="eastAsia" w:ascii="宋体" w:hAnsi="宋体" w:cs="宋体"/>
                <w:kern w:val="0"/>
                <w:sz w:val="20"/>
                <w:szCs w:val="20"/>
              </w:rPr>
              <w:t>老化工厂西宿舍区板块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37280</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161600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2025000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35</w:t>
            </w:r>
          </w:p>
        </w:tc>
        <w:tc>
          <w:tcPr>
            <w:tcW w:w="1740" w:type="dxa"/>
            <w:vMerge w:val="continue"/>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ascii="宋体" w:hAnsi="宋体" w:cs="宋体"/>
                <w:sz w:val="20"/>
                <w:szCs w:val="20"/>
              </w:rPr>
            </w:pPr>
            <w:r>
              <w:rPr>
                <w:rFonts w:hint="eastAsia" w:ascii="宋体" w:hAnsi="宋体" w:cs="宋体"/>
                <w:kern w:val="0"/>
                <w:sz w:val="20"/>
                <w:szCs w:val="20"/>
              </w:rPr>
              <w:t>西河口居民住宅区板块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55668</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250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201600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2475000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35</w:t>
            </w:r>
          </w:p>
        </w:tc>
        <w:tc>
          <w:tcPr>
            <w:tcW w:w="1740"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21" w:type="dxa"/>
            <w:tcBorders>
              <w:tl2br w:val="nil"/>
              <w:tr2bl w:val="nil"/>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2146" w:type="dxa"/>
            <w:tcBorders>
              <w:tl2br w:val="nil"/>
              <w:tr2bl w:val="nil"/>
            </w:tcBorders>
            <w:tcMar>
              <w:top w:w="15" w:type="dxa"/>
              <w:left w:w="15" w:type="dxa"/>
              <w:right w:w="15" w:type="dxa"/>
            </w:tcMar>
            <w:vAlign w:val="center"/>
          </w:tcPr>
          <w:p>
            <w:pPr>
              <w:widowControl/>
              <w:spacing w:line="400" w:lineRule="exact"/>
              <w:jc w:val="left"/>
              <w:textAlignment w:val="center"/>
              <w:rPr>
                <w:rFonts w:hint="eastAsia" w:ascii="宋体" w:hAnsi="宋体" w:cs="宋体"/>
                <w:kern w:val="0"/>
                <w:sz w:val="20"/>
                <w:szCs w:val="20"/>
              </w:rPr>
            </w:pPr>
            <w:r>
              <w:rPr>
                <w:rFonts w:hint="eastAsia" w:ascii="宋体" w:hAnsi="宋体" w:cs="宋体"/>
                <w:kern w:val="0"/>
                <w:sz w:val="20"/>
                <w:szCs w:val="20"/>
              </w:rPr>
              <w:t>水泥制品厂板块</w:t>
            </w:r>
          </w:p>
        </w:tc>
        <w:tc>
          <w:tcPr>
            <w:tcW w:w="80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37257</w:t>
            </w:r>
          </w:p>
        </w:tc>
        <w:tc>
          <w:tcPr>
            <w:tcW w:w="805" w:type="dxa"/>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250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201600</w:t>
            </w:r>
          </w:p>
        </w:tc>
        <w:tc>
          <w:tcPr>
            <w:tcW w:w="805"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2250000</w:t>
            </w:r>
          </w:p>
        </w:tc>
        <w:tc>
          <w:tcPr>
            <w:tcW w:w="908" w:type="dxa"/>
            <w:tcBorders>
              <w:tl2br w:val="nil"/>
              <w:tr2bl w:val="nil"/>
            </w:tcBorders>
            <w:tcMar>
              <w:top w:w="15" w:type="dxa"/>
              <w:left w:w="15" w:type="dxa"/>
              <w:right w:w="15" w:type="dxa"/>
            </w:tcMar>
            <w:vAlign w:val="center"/>
          </w:tcPr>
          <w:p>
            <w:pPr>
              <w:widowControl/>
              <w:spacing w:line="400" w:lineRule="exact"/>
              <w:jc w:val="center"/>
              <w:textAlignment w:val="center"/>
              <w:rPr>
                <w:rFonts w:hint="default" w:ascii="宋体" w:hAnsi="宋体" w:cs="宋体"/>
                <w:sz w:val="20"/>
                <w:szCs w:val="20"/>
                <w:lang w:val="en-US" w:eastAsia="zh-CN"/>
              </w:rPr>
            </w:pPr>
            <w:r>
              <w:rPr>
                <w:rFonts w:hint="eastAsia" w:ascii="宋体" w:hAnsi="宋体" w:cs="宋体"/>
                <w:sz w:val="20"/>
                <w:szCs w:val="20"/>
                <w:lang w:val="en-US" w:eastAsia="zh-CN"/>
              </w:rPr>
              <w:t>35</w:t>
            </w:r>
          </w:p>
        </w:tc>
        <w:tc>
          <w:tcPr>
            <w:tcW w:w="1740" w:type="dxa"/>
            <w:vMerge w:val="continue"/>
            <w:tcBorders>
              <w:tl2br w:val="nil"/>
              <w:tr2bl w:val="nil"/>
            </w:tcBorders>
            <w:tcMar>
              <w:top w:w="15" w:type="dxa"/>
              <w:left w:w="15" w:type="dxa"/>
              <w:right w:w="15" w:type="dxa"/>
            </w:tcMar>
            <w:vAlign w:val="center"/>
          </w:tcPr>
          <w:p>
            <w:pPr>
              <w:spacing w:line="400" w:lineRule="exact"/>
              <w:jc w:val="center"/>
              <w:rPr>
                <w:rFonts w:ascii="宋体" w:hAnsi="宋体" w:cs="宋体"/>
                <w:color w:val="000000"/>
                <w:sz w:val="24"/>
              </w:rPr>
            </w:pPr>
          </w:p>
        </w:tc>
      </w:tr>
    </w:tbl>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四、申请人应当具备的主要资格条件及要求：</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（1）投标申请人须在中国境内注册，具有独立法人资格，具有独立订立合同的能力，近三年内没有严重违约和重大质量问题，未处于被责令停业、财产被接管、冻结、破产等状态；</w:t>
      </w:r>
    </w:p>
    <w:p>
      <w:pPr>
        <w:widowControl/>
        <w:spacing w:line="480" w:lineRule="exact"/>
        <w:ind w:firstLine="420" w:firstLineChars="200"/>
        <w:jc w:val="left"/>
        <w:rPr>
          <w:rFonts w:hint="default" w:asciiTheme="minorEastAsia" w:hAnsiTheme="minorEastAsia" w:eastAsiaTheme="minorEastAsia" w:cs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申请人资质类别和等级：已进入《2019年度盐城市国有土地上房屋征收实施单位备案名录》且有民政部门核发的民办非企业单位登记证书或事业单位登记管理部门核发的事业单位法人证书，并且必须通过相关业务主管部门组织的业务培训</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，且满足盐住建征开【</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19号文的规定。</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（3）项目负责人资质和要求：必须为投标人本单位正式职工。</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（4）项目组成员</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（含项目负责人）</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数量见《</w:t>
      </w:r>
      <w:r>
        <w:rPr>
          <w:rFonts w:hint="eastAsia" w:asciiTheme="minorEastAsia" w:hAnsiTheme="minorEastAsia" w:eastAsiaTheme="minorEastAsia" w:cstheme="minorEastAsia"/>
          <w:color w:val="000000" w:themeColor="text1"/>
          <w:kern w:val="0"/>
          <w:szCs w:val="21"/>
          <w14:textFill>
            <w14:solidFill>
              <w14:schemeClr w14:val="tx1"/>
            </w14:solidFill>
          </w14:textFill>
        </w:rPr>
        <w:t>大中街道2021年西河口社区房屋征收</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搬迁</w:t>
      </w:r>
      <w:r>
        <w:rPr>
          <w:rFonts w:hint="eastAsia" w:asciiTheme="minorEastAsia" w:hAnsiTheme="minorEastAsia" w:eastAsiaTheme="minorEastAsia" w:cstheme="minorEastAsia"/>
          <w:color w:val="000000" w:themeColor="text1"/>
          <w:kern w:val="0"/>
          <w:szCs w:val="21"/>
          <w14:textFill>
            <w14:solidFill>
              <w14:schemeClr w14:val="tx1"/>
            </w14:solidFill>
          </w14:textFill>
        </w:rPr>
        <w:t>项目情况一览表</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》，项目组成员须提交人员的《盐城市房屋征收工作人员岗位证》</w:t>
      </w: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highlight w:val="none"/>
          <w14:textFill>
            <w14:solidFill>
              <w14:schemeClr w14:val="tx1"/>
            </w14:solidFill>
          </w14:textFill>
        </w:rPr>
        <w:t>（5）拟派项目负责人和项目组主要组成人员须提供公安部门出具的无犯罪记录证明材料</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（满足盐房征《</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18号文</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（6）本次招标</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 不接受 </w:t>
      </w:r>
      <w:r>
        <w:rPr>
          <w:rFonts w:hint="eastAsia" w:asciiTheme="minorEastAsia" w:hAnsiTheme="minorEastAsia" w:eastAsiaTheme="minorEastAsia" w:cstheme="minorEastAsia"/>
          <w:color w:val="000000" w:themeColor="text1"/>
          <w:kern w:val="0"/>
          <w:szCs w:val="21"/>
          <w14:textFill>
            <w14:solidFill>
              <w14:schemeClr w14:val="tx1"/>
            </w14:solidFill>
          </w14:textFill>
        </w:rPr>
        <w:t>联合体投标。</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（7）评标前由招标人对照省政府第 120 号令要求，进行评标准备工作，并核实投标人和项目负责人的资质和资格、经历和业绩、在建工程和信用状况等方面的情况，重点对被抽到参与有关值计算的投标人审查，发现有投标人递交无竞争力的投标文件的（无竞争力投标是指不以中标为目的的投标，包括投标报价畸高、投标文件故意漏项缺项、以及故意违反招标文件中已醒目标识的无效投标条款且事先未质疑、有业绩要求未提供业绩、或提供明显与招标文件招标公告要求不符的业绩参与投标的等情形），提请评标委员会先进行废标，并作为不良行为推送江苏省建设工程招标网公示不少于1个月，并限制其参加国有资金项目投标。</w:t>
      </w:r>
    </w:p>
    <w:p>
      <w:pPr>
        <w:widowControl/>
        <w:spacing w:line="480" w:lineRule="exact"/>
        <w:ind w:firstLine="420" w:firstLineChars="200"/>
        <w:jc w:val="lef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五、投标保证金：本工程投标保证金数额为人民币见下表。投标人必须在投标文件递交截止时间前将投标保证金从投标人本单位的基本账户上直接汇至盐城市大丰区公共资源交易中心保证金专用账户（收款单位：盐城市大丰区公共资源交易中心，开户银行：江苏大丰农村商业银行创业支行, 帐号：</w:t>
      </w:r>
      <w:r>
        <w:rPr>
          <w:rFonts w:hint="eastAsia" w:asciiTheme="minorEastAsia" w:hAnsiTheme="minorEastAsia" w:eastAsiaTheme="minorEastAsia" w:cstheme="minorEastAsia"/>
          <w:color w:val="000000" w:themeColor="text1"/>
          <w:kern w:val="0"/>
          <w:szCs w:val="21"/>
          <w:highlight w:val="yellow"/>
          <w:lang w:eastAsia="zh-CN"/>
          <w14:textFill>
            <w14:solidFill>
              <w14:schemeClr w14:val="tx1"/>
            </w14:solidFill>
          </w14:textFill>
        </w:rPr>
        <w:t>如下</w:t>
      </w: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，联系电话：0515-83927237），投标保证金采用电汇、银行保函方式，投标保证金汇出单位应与投标报名单位名称完全一致。</w:t>
      </w:r>
    </w:p>
    <w:tbl>
      <w:tblPr>
        <w:tblStyle w:val="42"/>
        <w:tblW w:w="9105" w:type="dxa"/>
        <w:tblInd w:w="0" w:type="dxa"/>
        <w:shd w:val="clear" w:color="auto" w:fill="FFFFFF"/>
        <w:tblLayout w:type="autofit"/>
        <w:tblCellMar>
          <w:top w:w="0" w:type="dxa"/>
          <w:left w:w="0" w:type="dxa"/>
          <w:bottom w:w="0" w:type="dxa"/>
          <w:right w:w="0" w:type="dxa"/>
        </w:tblCellMar>
      </w:tblPr>
      <w:tblGrid>
        <w:gridCol w:w="1341"/>
        <w:gridCol w:w="4866"/>
        <w:gridCol w:w="2898"/>
      </w:tblGrid>
      <w:tr>
        <w:tblPrEx>
          <w:shd w:val="clear" w:color="auto" w:fill="FFFFFF"/>
          <w:tblCellMar>
            <w:top w:w="0" w:type="dxa"/>
            <w:left w:w="0" w:type="dxa"/>
            <w:bottom w:w="0" w:type="dxa"/>
            <w:right w:w="0" w:type="dxa"/>
          </w:tblCellMar>
        </w:tblPrEx>
        <w:trPr>
          <w:trHeight w:val="567"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标段序号</w:t>
            </w:r>
          </w:p>
        </w:tc>
        <w:tc>
          <w:tcPr>
            <w:tcW w:w="48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账号</w:t>
            </w:r>
          </w:p>
        </w:tc>
        <w:tc>
          <w:tcPr>
            <w:tcW w:w="28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金额（元）</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1</w:t>
            </w:r>
          </w:p>
        </w:tc>
        <w:tc>
          <w:tcPr>
            <w:tcW w:w="4863"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textAlignment w:val="center"/>
              <w:rPr>
                <w:rFonts w:hint="eastAsia" w:ascii="宋体" w:hAnsi="宋体" w:cs="宋体"/>
                <w:color w:val="000000"/>
                <w:kern w:val="0"/>
                <w:sz w:val="24"/>
                <w:szCs w:val="24"/>
                <w:u w:val="none"/>
                <w:lang w:bidi="ar"/>
              </w:rPr>
            </w:pPr>
            <w:r>
              <w:rPr>
                <w:rFonts w:hint="eastAsia" w:ascii="宋体" w:hAnsi="宋体" w:eastAsia="宋体" w:cs="宋体"/>
                <w:color w:val="000000"/>
                <w:kern w:val="0"/>
                <w:sz w:val="24"/>
                <w:szCs w:val="24"/>
                <w:u w:val="none"/>
                <w:lang w:bidi="ar"/>
              </w:rPr>
              <w:t>3209820531010000109807</w:t>
            </w:r>
          </w:p>
        </w:tc>
        <w:tc>
          <w:tcPr>
            <w:tcW w:w="28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iCs w:val="0"/>
                <w:color w:val="000000"/>
                <w:kern w:val="0"/>
                <w:sz w:val="24"/>
                <w:szCs w:val="24"/>
                <w:u w:val="none"/>
                <w:lang w:val="en-US" w:eastAsia="zh-CN" w:bidi="ar"/>
              </w:rPr>
              <w:t>15000</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2</w:t>
            </w:r>
          </w:p>
        </w:tc>
        <w:tc>
          <w:tcPr>
            <w:tcW w:w="4863"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textAlignment w:val="center"/>
              <w:rPr>
                <w:rFonts w:hint="eastAsia" w:ascii="宋体" w:hAnsi="宋体" w:cs="宋体"/>
                <w:color w:val="000000"/>
                <w:kern w:val="0"/>
                <w:sz w:val="24"/>
                <w:szCs w:val="24"/>
                <w:u w:val="none"/>
                <w:lang w:bidi="ar"/>
              </w:rPr>
            </w:pPr>
            <w:r>
              <w:rPr>
                <w:rFonts w:hint="eastAsia" w:ascii="宋体" w:hAnsi="宋体" w:eastAsia="宋体" w:cs="宋体"/>
                <w:color w:val="000000"/>
                <w:kern w:val="0"/>
                <w:sz w:val="24"/>
                <w:szCs w:val="24"/>
                <w:u w:val="none"/>
                <w:lang w:bidi="ar"/>
              </w:rPr>
              <w:t>3209820531010000109790</w:t>
            </w:r>
          </w:p>
        </w:tc>
        <w:tc>
          <w:tcPr>
            <w:tcW w:w="28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iCs w:val="0"/>
                <w:color w:val="000000"/>
                <w:kern w:val="0"/>
                <w:sz w:val="24"/>
                <w:szCs w:val="24"/>
                <w:u w:val="none"/>
                <w:lang w:val="en-US" w:eastAsia="zh-CN" w:bidi="ar"/>
              </w:rPr>
              <w:t>30000</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3</w:t>
            </w:r>
          </w:p>
        </w:tc>
        <w:tc>
          <w:tcPr>
            <w:tcW w:w="4863"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textAlignment w:val="center"/>
              <w:rPr>
                <w:rFonts w:hint="eastAsia" w:ascii="宋体" w:hAnsi="宋体" w:cs="宋体"/>
                <w:color w:val="000000"/>
                <w:kern w:val="0"/>
                <w:sz w:val="24"/>
                <w:szCs w:val="24"/>
                <w:u w:val="none"/>
                <w:lang w:bidi="ar"/>
              </w:rPr>
            </w:pPr>
            <w:r>
              <w:rPr>
                <w:rFonts w:hint="eastAsia" w:ascii="宋体" w:hAnsi="宋体" w:eastAsia="宋体" w:cs="宋体"/>
                <w:color w:val="000000"/>
                <w:kern w:val="0"/>
                <w:sz w:val="24"/>
                <w:szCs w:val="24"/>
                <w:u w:val="none"/>
                <w:lang w:bidi="ar"/>
              </w:rPr>
              <w:t>3209820531010000109781</w:t>
            </w:r>
          </w:p>
        </w:tc>
        <w:tc>
          <w:tcPr>
            <w:tcW w:w="28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iCs w:val="0"/>
                <w:color w:val="000000"/>
                <w:kern w:val="0"/>
                <w:sz w:val="24"/>
                <w:szCs w:val="24"/>
                <w:u w:val="none"/>
                <w:lang w:val="en-US" w:eastAsia="zh-CN" w:bidi="ar"/>
              </w:rPr>
              <w:t>30000</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4</w:t>
            </w:r>
          </w:p>
        </w:tc>
        <w:tc>
          <w:tcPr>
            <w:tcW w:w="4863"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textAlignment w:val="center"/>
              <w:rPr>
                <w:rFonts w:hint="eastAsia" w:ascii="宋体" w:hAnsi="宋体" w:cs="宋体"/>
                <w:color w:val="000000"/>
                <w:kern w:val="0"/>
                <w:sz w:val="24"/>
                <w:szCs w:val="24"/>
                <w:u w:val="none"/>
                <w:lang w:bidi="ar"/>
              </w:rPr>
            </w:pPr>
            <w:r>
              <w:rPr>
                <w:rFonts w:hint="eastAsia" w:ascii="宋体" w:hAnsi="宋体" w:eastAsia="宋体" w:cs="宋体"/>
                <w:color w:val="000000"/>
                <w:kern w:val="0"/>
                <w:sz w:val="24"/>
                <w:szCs w:val="24"/>
                <w:u w:val="none"/>
                <w:lang w:bidi="ar"/>
              </w:rPr>
              <w:t>3209820531010000109772</w:t>
            </w:r>
          </w:p>
        </w:tc>
        <w:tc>
          <w:tcPr>
            <w:tcW w:w="28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iCs w:val="0"/>
                <w:color w:val="000000"/>
                <w:kern w:val="0"/>
                <w:sz w:val="24"/>
                <w:szCs w:val="24"/>
                <w:u w:val="none"/>
                <w:lang w:val="en-US" w:eastAsia="zh-CN" w:bidi="ar"/>
              </w:rPr>
              <w:t>30000</w:t>
            </w:r>
          </w:p>
        </w:tc>
      </w:tr>
      <w:tr>
        <w:tblPrEx>
          <w:tblCellMar>
            <w:top w:w="0" w:type="dxa"/>
            <w:left w:w="0" w:type="dxa"/>
            <w:bottom w:w="0" w:type="dxa"/>
            <w:right w:w="0" w:type="dxa"/>
          </w:tblCellMar>
        </w:tblPrEx>
        <w:trPr>
          <w:trHeight w:val="454" w:hRule="atLeast"/>
        </w:trPr>
        <w:tc>
          <w:tcPr>
            <w:tcW w:w="13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i w:val="0"/>
                <w:iCs w:val="0"/>
                <w:caps w:val="0"/>
                <w:color w:val="000000"/>
                <w:spacing w:val="0"/>
                <w:sz w:val="21"/>
                <w:szCs w:val="21"/>
              </w:rPr>
              <w:t>5</w:t>
            </w:r>
          </w:p>
        </w:tc>
        <w:tc>
          <w:tcPr>
            <w:tcW w:w="4863"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textAlignment w:val="center"/>
              <w:rPr>
                <w:rFonts w:hint="eastAsia" w:ascii="宋体" w:hAnsi="宋体" w:cs="宋体"/>
                <w:color w:val="000000"/>
                <w:kern w:val="0"/>
                <w:sz w:val="24"/>
                <w:szCs w:val="24"/>
                <w:u w:val="none"/>
                <w:lang w:bidi="ar"/>
              </w:rPr>
            </w:pPr>
            <w:r>
              <w:rPr>
                <w:rFonts w:hint="eastAsia" w:ascii="宋体" w:hAnsi="宋体" w:eastAsia="宋体" w:cs="宋体"/>
                <w:color w:val="000000"/>
                <w:kern w:val="0"/>
                <w:sz w:val="24"/>
                <w:szCs w:val="24"/>
                <w:u w:val="none"/>
                <w:lang w:bidi="ar"/>
              </w:rPr>
              <w:t>3209820531010000109763</w:t>
            </w:r>
          </w:p>
        </w:tc>
        <w:tc>
          <w:tcPr>
            <w:tcW w:w="28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iCs w:val="0"/>
                <w:color w:val="000000"/>
                <w:kern w:val="0"/>
                <w:sz w:val="24"/>
                <w:szCs w:val="24"/>
                <w:u w:val="none"/>
                <w:lang w:val="en-US" w:eastAsia="zh-CN" w:bidi="ar"/>
              </w:rPr>
              <w:t>30000</w:t>
            </w:r>
          </w:p>
        </w:tc>
      </w:tr>
    </w:tbl>
    <w:p>
      <w:pPr>
        <w:pStyle w:val="52"/>
        <w:rPr>
          <w:b/>
          <w:bCs/>
        </w:rPr>
      </w:pP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属于免交情形的提供盐城市建筑业星级企业和建筑业发展先进企业获奖证明或文件扫描件，未提供证明文件的视为未缴纳保证金，其投标文件将被退回。</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如投标人属于上述免交情形的，为便于本项目开标活动顺利开展，投标人须从其基本账户缴纳1元至本项目投标保证金子账户，开、评标结束后即可退回。</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六、</w:t>
      </w:r>
      <w:bookmarkStart w:id="3" w:name="_Toc389065126"/>
      <w:r>
        <w:rPr>
          <w:rFonts w:hint="eastAsia" w:asciiTheme="minorEastAsia" w:hAnsiTheme="minorEastAsia" w:eastAsiaTheme="minorEastAsia" w:cstheme="minorEastAsia"/>
          <w:color w:val="000000" w:themeColor="text1"/>
          <w:kern w:val="0"/>
          <w:szCs w:val="21"/>
          <w14:textFill>
            <w14:solidFill>
              <w14:schemeClr w14:val="tx1"/>
            </w14:solidFill>
          </w14:textFill>
        </w:rPr>
        <w:t>招标文件的获取</w:t>
      </w:r>
      <w:bookmarkEnd w:id="3"/>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6.1招标文件获取时间为：</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日 8 时 30 分至2021年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日18 时 00 分</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6.2招标文件获取方式：投标人使用“CA数字证书”登录“电子招标投标交易平台”获取；</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本招标公告及招标文件中“电子招标投标交易平台”是指： 盐城市招投标会员网上交易系统大丰平台” http://221.231.4.242:81/yanchenghuiyuan/login.aspx ；</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6.3招标文件每套售价  250 元，售后不退。</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bookmarkStart w:id="4" w:name="_Toc389065127"/>
      <w:bookmarkStart w:id="5" w:name="_Toc498006636"/>
      <w:r>
        <w:rPr>
          <w:rFonts w:hint="eastAsia" w:asciiTheme="minorEastAsia" w:hAnsiTheme="minorEastAsia" w:eastAsiaTheme="minorEastAsia" w:cstheme="minorEastAsia"/>
          <w:color w:val="000000" w:themeColor="text1"/>
          <w:kern w:val="0"/>
          <w:szCs w:val="21"/>
          <w14:textFill>
            <w14:solidFill>
              <w14:schemeClr w14:val="tx1"/>
            </w14:solidFill>
          </w14:textFill>
        </w:rPr>
        <w:t>七、投标</w:t>
      </w:r>
      <w:bookmarkEnd w:id="4"/>
      <w:r>
        <w:rPr>
          <w:rFonts w:hint="eastAsia" w:asciiTheme="minorEastAsia" w:hAnsiTheme="minorEastAsia" w:eastAsiaTheme="minorEastAsia" w:cstheme="minorEastAsia"/>
          <w:color w:val="000000" w:themeColor="text1"/>
          <w:kern w:val="0"/>
          <w:szCs w:val="21"/>
          <w14:textFill>
            <w14:solidFill>
              <w14:schemeClr w14:val="tx1"/>
            </w14:solidFill>
          </w14:textFill>
        </w:rPr>
        <w:t>截止时间</w:t>
      </w:r>
      <w:bookmarkEnd w:id="5"/>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7.1 投标截止时间为 ：</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2021年</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 xml:space="preserve">日 </w:t>
      </w:r>
      <w:r>
        <w:rPr>
          <w:rFonts w:hint="eastAsia" w:asciiTheme="minorEastAsia" w:hAnsiTheme="minorEastAsia" w:eastAsiaTheme="minorEastAsia" w:cstheme="minorEastAsia"/>
          <w:color w:val="000000" w:themeColor="text1"/>
          <w:kern w:val="0"/>
          <w:szCs w:val="21"/>
          <w:u w:val="singl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时 00分</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7.2逾期送达的投标文件，招标人不予受理。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八、本项目对投标申请人的资格审查采用资格后审方式，由评标委员会根据招标文件进行评定；报名时不进行报名资料的任何审查，由意向投标人自行判断是否符合投标资格。</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九、本招标项目采用的评标方法：</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经评审的最低投标价法</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十、本招标项目招标公告发布媒介：本次招标公告同时在江苏建设工程招标网、大丰公共资源交易平台（网址：http://ggzy.dafeng.gov.cn）上发布。</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十一、不见面开标特别提醒：</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PC端或移动端的“腾讯会议”及相应的配套硬件设备参加开标会议。</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参加会议的方法（必选）：电脑或智能手机可以搜索下载并安装“腾讯会议”，注册完成后点击“加入会议”，输入会议号（会议号于提交标书时公布），“您的姓名”按“单位简称+授权委托人姓名”格式填写，然后点击“加入会议”。会议系统将在投标截止时间前10分钟开放。</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2、投标文件递交地点：盐城市大丰区丰华国际大厦1楼大厅，北门进。（大丰区飞达东路100号）</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2.1投标文件提交开始及截止时间：</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纸质投标文件的递交开始时间：2021年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 时 30 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纸质投标文件的递交截止时间、投标保证金缴纳截止时间：2021年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Cs w:val="21"/>
          <w14:textFill>
            <w14:solidFill>
              <w14:schemeClr w14:val="tx1"/>
            </w14:solidFill>
          </w14:textFill>
        </w:rPr>
        <w:t>时00分，逾期提交的文件拒绝接受。</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开标时间：2021年</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14:textFill>
            <w14:solidFill>
              <w14:schemeClr w14:val="tx1"/>
            </w14:solidFill>
          </w14:textFill>
        </w:rPr>
        <w:t>月</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Cs w:val="21"/>
          <w14:textFill>
            <w14:solidFill>
              <w14:schemeClr w14:val="tx1"/>
            </w14:solidFill>
          </w14:textFill>
        </w:rPr>
        <w:t>日</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Cs w:val="21"/>
          <w14:textFill>
            <w14:solidFill>
              <w14:schemeClr w14:val="tx1"/>
            </w14:solidFill>
          </w14:textFill>
        </w:rPr>
        <w:t>时 00分</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为防止集中拥堵递交投标文件，请各投标单位尽可能提早递交。</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十二、联系方式</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招 标 人：</w:t>
      </w:r>
      <w:r>
        <w:rPr>
          <w:rFonts w:hint="eastAsia" w:ascii="宋体" w:hAnsi="宋体"/>
          <w:color w:val="000000" w:themeColor="text1"/>
          <w:kern w:val="0"/>
          <w:szCs w:val="21"/>
          <w:lang w:eastAsia="zh-CN"/>
          <w14:textFill>
            <w14:solidFill>
              <w14:schemeClr w14:val="tx1"/>
            </w14:solidFill>
          </w14:textFill>
        </w:rPr>
        <w:t>盐城市大丰区人民政府大中街道办事处</w:t>
      </w:r>
      <w:r>
        <w:rPr>
          <w:rFonts w:hint="eastAsia" w:ascii="宋体" w:hAnsi="宋体"/>
          <w:color w:val="000000" w:themeColor="text1"/>
          <w:kern w:val="0"/>
          <w:szCs w:val="21"/>
          <w14:textFill>
            <w14:solidFill>
              <w14:schemeClr w14:val="tx1"/>
            </w14:solidFill>
          </w14:textFill>
        </w:rPr>
        <w:t> </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联系人：</w:t>
      </w:r>
      <w:r>
        <w:rPr>
          <w:rFonts w:hint="eastAsia" w:ascii="宋体" w:hAnsi="宋体"/>
          <w:color w:val="000000" w:themeColor="text1"/>
          <w:kern w:val="0"/>
          <w:szCs w:val="21"/>
          <w:lang w:eastAsia="zh-CN"/>
          <w14:textFill>
            <w14:solidFill>
              <w14:schemeClr w14:val="tx1"/>
            </w14:solidFill>
          </w14:textFill>
        </w:rPr>
        <w:t>薛广忠</w:t>
      </w:r>
      <w:r>
        <w:rPr>
          <w:rFonts w:hint="eastAsia" w:ascii="宋体" w:hAnsi="宋体"/>
          <w:color w:val="000000" w:themeColor="text1"/>
          <w:kern w:val="0"/>
          <w:szCs w:val="21"/>
          <w14:textFill>
            <w14:solidFill>
              <w14:schemeClr w14:val="tx1"/>
            </w14:solidFill>
          </w14:textFill>
        </w:rPr>
        <w:t xml:space="preserve">     </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联系地址：盐城市大丰区人民政府大中街道办事处</w:t>
      </w:r>
    </w:p>
    <w:p>
      <w:pPr>
        <w:widowControl/>
        <w:shd w:val="clear" w:color="auto" w:fill="FFFFFF"/>
        <w:spacing w:line="400" w:lineRule="atLeast"/>
        <w:ind w:left="42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联系电话：</w:t>
      </w:r>
      <w:r>
        <w:rPr>
          <w:rFonts w:hint="eastAsia" w:ascii="宋体" w:hAnsi="宋体"/>
          <w:color w:val="000000" w:themeColor="text1"/>
          <w:kern w:val="0"/>
          <w:szCs w:val="21"/>
          <w:lang w:eastAsia="zh-CN"/>
          <w14:textFill>
            <w14:solidFill>
              <w14:schemeClr w14:val="tx1"/>
            </w14:solidFill>
          </w14:textFill>
        </w:rPr>
        <w:t>13651581718</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招标代理：盐城市同洲工程咨询有限公司     </w:t>
      </w:r>
    </w:p>
    <w:p>
      <w:pPr>
        <w:widowControl/>
        <w:shd w:val="clear" w:color="auto" w:fill="FFFFFF"/>
        <w:spacing w:line="400" w:lineRule="atLeast"/>
        <w:ind w:left="420"/>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联系地址：大丰区常新南路上海花园18幢104号</w:t>
      </w:r>
    </w:p>
    <w:p>
      <w:pPr>
        <w:widowControl/>
        <w:shd w:val="clear" w:color="auto" w:fill="FFFFFF"/>
        <w:spacing w:line="400" w:lineRule="atLeast"/>
        <w:ind w:left="420"/>
        <w:jc w:val="left"/>
        <w:rPr>
          <w:rFonts w:hint="eastAsia" w:ascii="宋体" w:hAnsi="宋体" w:eastAsia="宋体"/>
          <w:color w:val="000000" w:themeColor="text1"/>
          <w:kern w:val="0"/>
          <w:szCs w:val="21"/>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 系 人：</w:t>
      </w:r>
      <w:r>
        <w:rPr>
          <w:rFonts w:hint="eastAsia" w:ascii="宋体" w:hAnsi="宋体"/>
          <w:color w:val="000000" w:themeColor="text1"/>
          <w:kern w:val="0"/>
          <w:szCs w:val="21"/>
          <w:lang w:eastAsia="zh-CN"/>
          <w14:textFill>
            <w14:solidFill>
              <w14:schemeClr w14:val="tx1"/>
            </w14:solidFill>
          </w14:textFill>
        </w:rPr>
        <w:t>乔军</w:t>
      </w:r>
    </w:p>
    <w:p>
      <w:pPr>
        <w:widowControl/>
        <w:shd w:val="clear" w:color="auto" w:fill="FFFFFF"/>
        <w:spacing w:line="400" w:lineRule="atLeast"/>
        <w:ind w:left="420"/>
        <w:jc w:val="left"/>
        <w:rPr>
          <w:rFonts w:hint="eastAsia" w:eastAsia="宋体" w:asciiTheme="minorEastAsia" w:hAnsiTheme="minorEastAsia" w:cstheme="minorEastAsia"/>
          <w:color w:val="000000" w:themeColor="text1"/>
          <w:sz w:val="24"/>
          <w:lang w:eastAsia="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联系电话： </w:t>
      </w:r>
      <w:bookmarkEnd w:id="1"/>
      <w:bookmarkEnd w:id="2"/>
      <w:r>
        <w:rPr>
          <w:rFonts w:hint="eastAsia" w:ascii="宋体" w:hAnsi="宋体"/>
          <w:color w:val="000000" w:themeColor="text1"/>
          <w:kern w:val="0"/>
          <w:szCs w:val="21"/>
          <w:lang w:eastAsia="zh-CN"/>
          <w14:textFill>
            <w14:solidFill>
              <w14:schemeClr w14:val="tx1"/>
            </w14:solidFill>
          </w14:textFill>
        </w:rPr>
        <w:t>13645100506</w:t>
      </w:r>
    </w:p>
    <w:p>
      <w:pPr>
        <w:widowControl/>
        <w:spacing w:line="500" w:lineRule="exact"/>
        <w:jc w:val="center"/>
        <w:rPr>
          <w:rFonts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r>
        <w:rPr>
          <w:rFonts w:hint="eastAsia" w:asciiTheme="minorEastAsia" w:hAnsiTheme="minorEastAsia" w:eastAsiaTheme="minorEastAsia" w:cstheme="minorEastAsia"/>
          <w:b/>
          <w:color w:val="000000" w:themeColor="text1"/>
          <w:sz w:val="44"/>
          <w:szCs w:val="44"/>
          <w14:textFill>
            <w14:solidFill>
              <w14:schemeClr w14:val="tx1"/>
            </w14:solidFill>
          </w14:textFill>
        </w:rPr>
        <w:t>第二章  投标人须知</w:t>
      </w:r>
      <w:bookmarkEnd w:id="0"/>
    </w:p>
    <w:p>
      <w:pPr>
        <w:pStyle w:val="4"/>
        <w:jc w:val="center"/>
        <w:rPr>
          <w:rFonts w:asciiTheme="minorEastAsia" w:hAnsiTheme="minorEastAsia" w:eastAsiaTheme="minorEastAsia" w:cstheme="minorEastAsia"/>
          <w:color w:val="000000" w:themeColor="text1"/>
          <w:sz w:val="21"/>
          <w:szCs w:val="21"/>
          <w14:textFill>
            <w14:solidFill>
              <w14:schemeClr w14:val="tx1"/>
            </w14:solidFill>
          </w14:textFill>
        </w:rPr>
      </w:pPr>
      <w:bookmarkStart w:id="6" w:name="_Toc398107836"/>
      <w:r>
        <w:rPr>
          <w:rFonts w:hint="eastAsia" w:asciiTheme="minorEastAsia" w:hAnsiTheme="minorEastAsia" w:eastAsiaTheme="minorEastAsia" w:cstheme="minorEastAsia"/>
          <w:color w:val="000000" w:themeColor="text1"/>
          <w:sz w:val="21"/>
          <w:szCs w:val="21"/>
          <w14:textFill>
            <w14:solidFill>
              <w14:schemeClr w14:val="tx1"/>
            </w14:solidFill>
          </w14:textFill>
        </w:rPr>
        <w:t>投标人须知前附表</w:t>
      </w:r>
      <w:bookmarkEnd w:id="6"/>
    </w:p>
    <w:tbl>
      <w:tblPr>
        <w:tblStyle w:val="42"/>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1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46"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条款号</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条款名称</w:t>
            </w:r>
          </w:p>
        </w:tc>
        <w:tc>
          <w:tcPr>
            <w:tcW w:w="5812"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招标人</w:t>
            </w:r>
          </w:p>
        </w:tc>
        <w:tc>
          <w:tcPr>
            <w:tcW w:w="5812" w:type="dxa"/>
          </w:tcPr>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盐城市大丰区人民政府大中街道办事处</w:t>
            </w:r>
          </w:p>
          <w:p>
            <w:pPr>
              <w:autoSpaceDE w:val="0"/>
              <w:autoSpaceDN w:val="0"/>
              <w:adjustRightInd w:val="0"/>
              <w:spacing w:line="36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联系地址：</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盐城市大丰区人民政府大中街道办事处</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 系 人：</w:t>
            </w:r>
            <w:r>
              <w:rPr>
                <w:rFonts w:hint="eastAsia" w:ascii="宋体" w:hAnsi="宋体" w:eastAsiaTheme="minorEastAsia"/>
                <w:color w:val="000000" w:themeColor="text1"/>
                <w:kern w:val="0"/>
                <w:szCs w:val="21"/>
                <w:lang w:eastAsia="zh-CN"/>
                <w14:textFill>
                  <w14:solidFill>
                    <w14:schemeClr w14:val="tx1"/>
                  </w14:solidFill>
                </w14:textFill>
              </w:rPr>
              <w:t>薛广忠</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w:t>
            </w:r>
            <w:r>
              <w:rPr>
                <w:rFonts w:hint="eastAsia" w:ascii="宋体" w:hAnsi="宋体" w:eastAsiaTheme="minorEastAsia"/>
                <w:color w:val="000000" w:themeColor="text1"/>
                <w:kern w:val="0"/>
                <w:szCs w:val="21"/>
                <w:lang w:eastAsia="zh-CN"/>
                <w14:textFill>
                  <w14:solidFill>
                    <w14:schemeClr w14:val="tx1"/>
                  </w14:solidFill>
                </w14:textFill>
              </w:rPr>
              <w:t>13651581718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招标代理机构</w:t>
            </w:r>
          </w:p>
        </w:tc>
        <w:tc>
          <w:tcPr>
            <w:tcW w:w="5812" w:type="dxa"/>
          </w:tcPr>
          <w:p>
            <w:pPr>
              <w:autoSpaceDE w:val="0"/>
              <w:autoSpaceDN w:val="0"/>
              <w:adjustRightInd w:val="0"/>
              <w:spacing w:line="360" w:lineRule="exact"/>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招标代理：盐城市同洲工程咨询有限公司</w:t>
            </w:r>
          </w:p>
          <w:p>
            <w:pPr>
              <w:autoSpaceDE w:val="0"/>
              <w:autoSpaceDN w:val="0"/>
              <w:adjustRightInd w:val="0"/>
              <w:spacing w:line="360" w:lineRule="exact"/>
              <w:jc w:val="left"/>
              <w:rPr>
                <w:rFonts w:ascii="宋体" w:hAnsi="宋体"/>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联系地址：大丰区常新南路上海花园18幢104号</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 系 人：</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乔军</w:t>
            </w:r>
          </w:p>
          <w:p>
            <w:pPr>
              <w:autoSpaceDE w:val="0"/>
              <w:autoSpaceDN w:val="0"/>
              <w:adjustRightInd w:val="0"/>
              <w:spacing w:line="360" w:lineRule="exact"/>
              <w:jc w:val="lef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联系电话：</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13645100506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1.1.4</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项目名称</w:t>
            </w:r>
          </w:p>
        </w:tc>
        <w:tc>
          <w:tcPr>
            <w:tcW w:w="5812" w:type="dxa"/>
          </w:tcPr>
          <w:p>
            <w:pPr>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大中街道2021年西河口社区房屋征收搬迁项目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1.1.5</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项目地点</w:t>
            </w:r>
          </w:p>
        </w:tc>
        <w:tc>
          <w:tcPr>
            <w:tcW w:w="5812" w:type="dxa"/>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西河口社区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建设资金</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资金来源：自筹</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出资比例：100%</w:t>
            </w:r>
          </w:p>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资金落实情况：已落实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1.3.1</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招标内容</w:t>
            </w:r>
          </w:p>
        </w:tc>
        <w:tc>
          <w:tcPr>
            <w:tcW w:w="5812" w:type="dxa"/>
            <w:vAlign w:val="center"/>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服务时间</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质量要求</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投标人资格要求</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是否接受联合体投标</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6"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踏勘现场</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1.10.1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投标预备会</w:t>
            </w:r>
          </w:p>
        </w:tc>
        <w:tc>
          <w:tcPr>
            <w:tcW w:w="5812" w:type="dxa"/>
            <w:vAlign w:val="center"/>
          </w:tcPr>
          <w:p>
            <w:pPr>
              <w:spacing w:line="360" w:lineRule="exact"/>
              <w:rPr>
                <w:rFonts w:asciiTheme="minorEastAsia" w:hAnsiTheme="minorEastAsia" w:eastAsiaTheme="minorEastAsia" w:cstheme="minorEastAsia"/>
                <w:b/>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招标文件的组成</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澄清和答疑</w:t>
            </w:r>
          </w:p>
        </w:tc>
        <w:tc>
          <w:tcPr>
            <w:tcW w:w="5812"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投标人要求澄清招标文件的截止时间：</w:t>
            </w:r>
            <w:r>
              <w:rPr>
                <w:rFonts w:hint="eastAsia" w:asciiTheme="minorEastAsia" w:hAnsiTheme="minorEastAsia" w:eastAsiaTheme="minorEastAsia" w:cstheme="minorEastAsia"/>
                <w:color w:val="000000" w:themeColor="text1"/>
                <w:szCs w:val="21"/>
                <w:u w:val="single"/>
                <w14:textFill>
                  <w14:solidFill>
                    <w14:schemeClr w14:val="tx1"/>
                  </w14:solidFill>
                </w14:textFill>
              </w:rPr>
              <w:t>2021</w:t>
            </w:r>
            <w:r>
              <w:rPr>
                <w:rFonts w:hint="eastAsia" w:asciiTheme="minorEastAsia" w:hAnsiTheme="minorEastAsia" w:eastAsiaTheme="minorEastAsia" w:cstheme="minorEastAsia"/>
                <w:color w:val="000000" w:themeColor="text1"/>
                <w:szCs w:val="21"/>
                <w14:textFill>
                  <w14:solidFill>
                    <w14:schemeClr w14:val="tx1"/>
                  </w14:solidFill>
                </w14:textFill>
              </w:rPr>
              <w:t>年</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t>日</w:t>
            </w:r>
            <w:r>
              <w:rPr>
                <w:rFonts w:hint="eastAsia" w:asciiTheme="minorEastAsia" w:hAnsiTheme="minorEastAsia" w:eastAsiaTheme="minorEastAsia" w:cstheme="minorEastAsia"/>
                <w:color w:val="000000" w:themeColor="text1"/>
                <w:szCs w:val="21"/>
                <w:u w:val="single"/>
                <w14:textFill>
                  <w14:solidFill>
                    <w14:schemeClr w14:val="tx1"/>
                  </w14:solidFill>
                </w14:textFill>
              </w:rPr>
              <w:t>18</w:t>
            </w:r>
            <w:r>
              <w:rPr>
                <w:rFonts w:hint="eastAsia" w:asciiTheme="minorEastAsia" w:hAnsiTheme="minorEastAsia" w:eastAsiaTheme="minorEastAsia" w:cstheme="minorEastAsia"/>
                <w:color w:val="000000" w:themeColor="text1"/>
                <w:szCs w:val="21"/>
                <w14:textFill>
                  <w14:solidFill>
                    <w14:schemeClr w14:val="tx1"/>
                  </w14:solidFill>
                </w14:textFill>
              </w:rPr>
              <w:t>时</w:t>
            </w:r>
            <w:r>
              <w:rPr>
                <w:rFonts w:hint="eastAsia" w:asciiTheme="minorEastAsia" w:hAnsiTheme="minorEastAsia" w:eastAsiaTheme="minorEastAsia" w:cstheme="minorEastAsia"/>
                <w:color w:val="000000" w:themeColor="text1"/>
                <w:szCs w:val="21"/>
                <w:u w:val="single"/>
                <w14:textFill>
                  <w14:solidFill>
                    <w14:schemeClr w14:val="tx1"/>
                  </w14:solidFill>
                </w14:textFill>
              </w:rPr>
              <w:t>0</w:t>
            </w:r>
            <w:r>
              <w:rPr>
                <w:rFonts w:hint="eastAsia" w:asciiTheme="minorEastAsia" w:hAnsiTheme="minorEastAsia" w:eastAsiaTheme="minorEastAsia" w:cstheme="minorEastAsia"/>
                <w:color w:val="000000" w:themeColor="text1"/>
                <w:szCs w:val="21"/>
                <w14:textFill>
                  <w14:solidFill>
                    <w14:schemeClr w14:val="tx1"/>
                  </w14:solidFill>
                </w14:textFill>
              </w:rPr>
              <w:t>分【招标人澄清文件将在“</w:t>
            </w:r>
            <w:r>
              <w:rPr>
                <w:rFonts w:asciiTheme="minorEastAsia" w:hAnsiTheme="minorEastAsia" w:eastAsiaTheme="minorEastAsia" w:cstheme="minorEastAsia"/>
                <w:color w:val="000000" w:themeColor="text1"/>
                <w:szCs w:val="21"/>
                <w14:textFill>
                  <w14:solidFill>
                    <w14:schemeClr w14:val="tx1"/>
                  </w14:solidFill>
                </w14:textFill>
              </w:rPr>
              <w:t>大丰公共资源交易平台</w:t>
            </w:r>
            <w:r>
              <w:rPr>
                <w:rFonts w:hint="eastAsia" w:asciiTheme="minorEastAsia" w:hAnsiTheme="minorEastAsia" w:eastAsiaTheme="minorEastAsia" w:cstheme="minorEastAsia"/>
                <w:color w:val="000000" w:themeColor="text1"/>
                <w:szCs w:val="21"/>
                <w14:textFill>
                  <w14:solidFill>
                    <w14:schemeClr w14:val="tx1"/>
                  </w14:solidFill>
                </w14:textFill>
              </w:rPr>
              <w:t>”发布，但不指明澄清问题的来源】。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3.1.1</w:t>
            </w:r>
          </w:p>
        </w:tc>
        <w:tc>
          <w:tcPr>
            <w:tcW w:w="2817" w:type="dxa"/>
            <w:vAlign w:val="center"/>
          </w:tcPr>
          <w:p>
            <w:pPr>
              <w:spacing w:line="3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投标文件的组成</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投标人须提交核验的</w:t>
            </w:r>
          </w:p>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原件材料</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3.2.2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投标报价</w:t>
            </w:r>
          </w:p>
        </w:tc>
        <w:tc>
          <w:tcPr>
            <w:tcW w:w="5812" w:type="dxa"/>
            <w:vAlign w:val="center"/>
          </w:tcPr>
          <w:p>
            <w:pPr>
              <w:spacing w:line="360" w:lineRule="exact"/>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本项目招标人设定的最高投标限价</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3.3.1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投标有效期</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u w:val="single"/>
                <w14:textFill>
                  <w14:solidFill>
                    <w14:schemeClr w14:val="tx1"/>
                  </w14:solidFill>
                </w14:textFill>
              </w:rPr>
              <w:t>60</w:t>
            </w:r>
            <w:r>
              <w:rPr>
                <w:rFonts w:hint="eastAsia" w:asciiTheme="minorEastAsia" w:hAnsiTheme="minorEastAsia" w:eastAsiaTheme="minorEastAsia" w:cstheme="minorEastAsia"/>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投标保证金</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3.5</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备选投标方案</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不允许</w:t>
            </w:r>
          </w:p>
          <w:p>
            <w:pPr>
              <w:spacing w:line="360" w:lineRule="exact"/>
              <w:ind w:hanging="25"/>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4.2.1</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投标截止时间</w:t>
            </w:r>
          </w:p>
        </w:tc>
        <w:tc>
          <w:tcPr>
            <w:tcW w:w="5812" w:type="dxa"/>
            <w:vAlign w:val="center"/>
          </w:tcPr>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4.2.2</w:t>
            </w:r>
          </w:p>
        </w:tc>
        <w:tc>
          <w:tcPr>
            <w:tcW w:w="2817" w:type="dxa"/>
            <w:vAlign w:val="center"/>
          </w:tcPr>
          <w:p>
            <w:pPr>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递交投标文件地点</w:t>
            </w:r>
          </w:p>
        </w:tc>
        <w:tc>
          <w:tcPr>
            <w:tcW w:w="5812" w:type="dxa"/>
            <w:vAlign w:val="center"/>
          </w:tcPr>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开标时间、地点和人员</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开标时间：同投标截止时间</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开标地点：同投标文件递交地点</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参加人员及要求：</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法定代表人（或其委托代理人）；</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□投标人项目负责人。</w:t>
            </w:r>
          </w:p>
          <w:p>
            <w:pPr>
              <w:spacing w:line="360" w:lineRule="exact"/>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人邀请所有投标人的法定代表人（或其委托代理人）参加开标会的，投标人的法定代表人（或其委托代理人）必须按时参加开标会；招标文件约定投标人的项目负责人出席开标会的，投标人的项目负责人必须到场，并在招标人按开标程序进行点名时，出示本人</w:t>
            </w:r>
            <w:r>
              <w:rPr>
                <w:rFonts w:hint="eastAsia" w:asciiTheme="minorEastAsia" w:hAnsiTheme="minorEastAsia" w:eastAsiaTheme="minorEastAsia" w:cstheme="minorEastAsia"/>
                <w:color w:val="000000" w:themeColor="text1"/>
                <w:kern w:val="0"/>
                <w:szCs w:val="21"/>
                <w14:textFill>
                  <w14:solidFill>
                    <w14:schemeClr w14:val="tx1"/>
                  </w14:solidFill>
                </w14:textFill>
              </w:rPr>
              <w:t>二代身份证原件</w:t>
            </w:r>
            <w:r>
              <w:rPr>
                <w:rFonts w:hint="eastAsia" w:asciiTheme="minorEastAsia" w:hAnsiTheme="minorEastAsia" w:eastAsiaTheme="minorEastAsia" w:cstheme="minorEastAsia"/>
                <w:b/>
                <w:color w:val="000000" w:themeColor="text1"/>
                <w:szCs w:val="21"/>
                <w14:textFill>
                  <w14:solidFill>
                    <w14:schemeClr w14:val="tx1"/>
                  </w14:solidFill>
                </w14:textFill>
              </w:rPr>
              <w:t>，凡二代身份证在开标时不能出示的，招标人当场退回其投标文件。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是否授权评标委员会确定</w:t>
            </w:r>
          </w:p>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中标人</w:t>
            </w:r>
          </w:p>
        </w:tc>
        <w:tc>
          <w:tcPr>
            <w:tcW w:w="5812" w:type="dxa"/>
            <w:vAlign w:val="center"/>
          </w:tcPr>
          <w:p>
            <w:pPr>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是</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Cs w:val="21"/>
                <w14:textFill>
                  <w14:solidFill>
                    <w14:schemeClr w14:val="tx1"/>
                  </w14:solidFill>
                </w14:textFill>
              </w:rPr>
              <w:t>否</w:t>
            </w:r>
            <w:r>
              <w:rPr>
                <w:rFonts w:hint="eastAsia" w:asciiTheme="minorEastAsia" w:hAnsiTheme="minorEastAsia" w:eastAsiaTheme="minorEastAsia" w:cstheme="minorEastAsia"/>
                <w:color w:val="000000" w:themeColor="text1"/>
                <w:szCs w:val="21"/>
                <w14:textFill>
                  <w14:solidFill>
                    <w14:schemeClr w14:val="tx1"/>
                  </w14:solidFill>
                </w14:textFill>
              </w:rPr>
              <w:t>，推荐的中标人数：1名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中标候选人公示媒介</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招标公告发布媒介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履约担保</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详见投标人须知8.3条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监督</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10.5</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异议与投诉处理</w:t>
            </w:r>
          </w:p>
        </w:tc>
        <w:tc>
          <w:tcPr>
            <w:tcW w:w="5812" w:type="dxa"/>
            <w:vAlign w:val="center"/>
          </w:tcPr>
          <w:p>
            <w:pPr>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详见投标人须知10.5条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475" w:type="dxa"/>
            <w:gridSpan w:val="3"/>
            <w:vAlign w:val="center"/>
          </w:tcPr>
          <w:p>
            <w:pPr>
              <w:spacing w:line="360" w:lineRule="exact"/>
              <w:jc w:val="center"/>
              <w:rPr>
                <w:rFonts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电子招标投标</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否</w:t>
            </w:r>
          </w:p>
          <w:p>
            <w:pPr>
              <w:autoSpaceDE w:val="0"/>
              <w:autoSpaceDN w:val="0"/>
              <w:adjustRightInd w:val="0"/>
              <w:spacing w:line="36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是否要求投标文件电子版（光盘）</w:t>
            </w:r>
          </w:p>
        </w:tc>
        <w:tc>
          <w:tcPr>
            <w:tcW w:w="5812" w:type="dxa"/>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不要求</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817"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本项目招标人是否接受企业退休人员担任项目负责人</w:t>
            </w:r>
          </w:p>
        </w:tc>
        <w:tc>
          <w:tcPr>
            <w:tcW w:w="5812" w:type="dxa"/>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Cs w:val="21"/>
                <w14:textFill>
                  <w14:solidFill>
                    <w14:schemeClr w14:val="tx1"/>
                  </w14:solidFill>
                </w14:textFill>
              </w:rPr>
              <w:instrText xml:space="preserve"> eq \o\ac(□,√)</w:instrText>
            </w:r>
            <w:r>
              <w:rPr>
                <w:rFonts w:hint="eastAsia" w:asciiTheme="minorEastAsia" w:hAnsiTheme="minorEastAsia" w:eastAsiaTheme="minorEastAsia" w:cs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szCs w:val="21"/>
                <w14:textFill>
                  <w14:solidFill>
                    <w14:schemeClr w14:val="tx1"/>
                  </w14:solidFill>
                </w14:textFill>
              </w:rPr>
              <w:t>否</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8629" w:type="dxa"/>
            <w:gridSpan w:val="2"/>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⑴凡是构成合同文件组成内容的不明确或不一致，以合同文件约定内容为准；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⑵凡不是构成合同文件组成内容的不明确或不一致，除招标文件中有特别规定外，仅适用于招标投标阶段的规定，按招标公告、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⑶按本款前述规定仍不能形成结论的，由招标人负责解释。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46" w:type="dxa"/>
            <w:vAlign w:val="center"/>
          </w:tcPr>
          <w:p>
            <w:pPr>
              <w:spacing w:line="3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8629" w:type="dxa"/>
            <w:gridSpan w:val="2"/>
            <w:vAlign w:val="center"/>
          </w:tcPr>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1、本招标文件时间均以中华人民共和国北京时间为准，所涉及金额的币种均为人民币。</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2、凡参与本项目投标的投标人，视同已踏勘过项目现场和研究了本招标文件的所有内容，并无保留地接受招标文件的所有条款（含招标答疑、补充通知等）。</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3、本招标文件未尽事宜，按国家和省法律法规、规章要求处理。</w:t>
            </w:r>
          </w:p>
          <w:p>
            <w:pPr>
              <w:spacing w:line="3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4、本招标文件的解释权归招标人所有。</w:t>
            </w:r>
          </w:p>
        </w:tc>
      </w:tr>
    </w:tbl>
    <w:p>
      <w:pPr>
        <w:spacing w:line="36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特别提醒：</w:t>
      </w:r>
    </w:p>
    <w:p>
      <w:pPr>
        <w:spacing w:line="50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招标人根据招标需要，可能会不定期在“盐城市招投标会员网上交易系统大丰平台”发布该项目补充答疑等澄清修改文件，请各投标人在投标截止时间前每天自行网上查询，未能及时查阅响应而影响投标的，结果由投标人自负。</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 w:name="_Toc398107837"/>
      <w:r>
        <w:rPr>
          <w:rFonts w:hint="eastAsia" w:asciiTheme="minorEastAsia" w:hAnsiTheme="minorEastAsia" w:eastAsiaTheme="minorEastAsia" w:cstheme="minorEastAsia"/>
          <w:color w:val="000000" w:themeColor="text1"/>
          <w:sz w:val="21"/>
          <w:szCs w:val="21"/>
          <w14:textFill>
            <w14:solidFill>
              <w14:schemeClr w14:val="tx1"/>
            </w14:solidFill>
          </w14:textFill>
        </w:rPr>
        <w:t>1 总则</w:t>
      </w:r>
      <w:bookmarkEnd w:id="7"/>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8" w:name="_Toc398107838"/>
      <w:r>
        <w:rPr>
          <w:rFonts w:hint="eastAsia" w:asciiTheme="minorEastAsia" w:hAnsiTheme="minorEastAsia" w:eastAsiaTheme="minorEastAsia" w:cstheme="minorEastAsia"/>
          <w:color w:val="000000" w:themeColor="text1"/>
          <w:sz w:val="21"/>
          <w:szCs w:val="21"/>
          <w14:textFill>
            <w14:solidFill>
              <w14:schemeClr w14:val="tx1"/>
            </w14:solidFill>
          </w14:textFill>
        </w:rPr>
        <w:t>1.1 项目概况</w:t>
      </w:r>
      <w:bookmarkEnd w:id="8"/>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1.1.1 根据《中华人民共和国招标投标法》、《中华人民共和国招标投标法实施条例》等有关法律、法规和规章的规定，本招标项目已具备招标条件，现对本项目进行招标。</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1.1.2 本招标项目招标人：见投标人须知前附表。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1.1.3 本项目招标代理机构：见投标人须知前附表。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1.1.4 本招标项目名称：见投标人须知前附表。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1.1.5 本项目项目地点：见投标人须知前附表。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9" w:name="_Toc398107839"/>
      <w:r>
        <w:rPr>
          <w:rFonts w:hint="eastAsia" w:asciiTheme="minorEastAsia" w:hAnsiTheme="minorEastAsia" w:eastAsiaTheme="minorEastAsia" w:cstheme="minorEastAsia"/>
          <w:color w:val="000000" w:themeColor="text1"/>
          <w:sz w:val="21"/>
          <w:szCs w:val="21"/>
          <w14:textFill>
            <w14:solidFill>
              <w14:schemeClr w14:val="tx1"/>
            </w14:solidFill>
          </w14:textFill>
        </w:rPr>
        <w:t>1.2 资金来源和落实情况</w:t>
      </w:r>
      <w:bookmarkEnd w:id="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1.2.1 本招标项目的资金来源：见投标人须知前附表。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1.2.2 本招标项目的出资比例：见投标人须知前附表。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1.2.3 本招标项目的资金落实情况：见投标人须知前附表。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0" w:name="_Toc398107840"/>
      <w:r>
        <w:rPr>
          <w:rFonts w:hint="eastAsia" w:asciiTheme="minorEastAsia" w:hAnsiTheme="minorEastAsia" w:eastAsiaTheme="minorEastAsia" w:cstheme="minorEastAsia"/>
          <w:color w:val="000000" w:themeColor="text1"/>
          <w:sz w:val="21"/>
          <w:szCs w:val="21"/>
          <w14:textFill>
            <w14:solidFill>
              <w14:schemeClr w14:val="tx1"/>
            </w14:solidFill>
          </w14:textFill>
        </w:rPr>
        <w:t>1.3 招标内容、服务时间及质量要求</w:t>
      </w:r>
      <w:bookmarkEnd w:id="1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1.3.1 本次招标内容：见投标人须知前附表。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1.3.2 本项目的服务时间：见投标人须知前附表。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1.3.3 本项目的质量要求：见投标人须知前附表。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1" w:name="_Toc398107841"/>
      <w:r>
        <w:rPr>
          <w:rFonts w:hint="eastAsia" w:asciiTheme="minorEastAsia" w:hAnsiTheme="minorEastAsia" w:eastAsiaTheme="minorEastAsia" w:cstheme="minorEastAsia"/>
          <w:color w:val="000000" w:themeColor="text1"/>
          <w:sz w:val="21"/>
          <w:szCs w:val="21"/>
          <w14:textFill>
            <w14:solidFill>
              <w14:schemeClr w14:val="tx1"/>
            </w14:solidFill>
          </w14:textFill>
        </w:rPr>
        <w:t>1.4 投标人资格要求</w:t>
      </w:r>
      <w:bookmarkEnd w:id="1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1.4.1 投标人应具备的资格要求见投标人须知前附表。</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1.4.2 投标人须知前附表规定接受联合体投标的，除应符合本章第1.4.1项和投标人须知前附表的要求外，还应遵守以下规定：</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（1）联合体各方应按招标文件提供的格式签订联合体协议书，明确联合体牵头人和各方的权利义务；</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（2）由同一专业的单位组成的联合体，按照资质等级较高的单位确定资质等级；</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（3）联合体各方不得再以自己名义单独或加入其他联合体在同一标段中参加资格预审。</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1.4.3 投标人不得存在下列情形之一：</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szCs w:val="21"/>
          <w14:textFill>
            <w14:solidFill>
              <w14:schemeClr w14:val="tx1"/>
            </w14:solidFill>
          </w14:textFill>
        </w:rPr>
        <w:t>为招标人不具有独立法人资格的附属机构（单位）</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szCs w:val="21"/>
          <w14:textFill>
            <w14:solidFill>
              <w14:schemeClr w14:val="tx1"/>
            </w14:solidFill>
          </w14:textFill>
        </w:rPr>
        <w:t>为本项目前期准备提供设计服务的；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（3）与本项目的招标代理机构存在单位负责人为同一人的；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（4）与本项目的招标代理机构存在相互控股或参股的；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（5）与本项目其他投标人存在单位负责人为同一人或者存在控股、管理关系的；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（6）被责令停业的；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（7）被暂停或取消投标资格的；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（8）财产被接管或冻结的；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（9）法律法规规定的其它情形。</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2" w:name="_Toc398107842"/>
      <w:r>
        <w:rPr>
          <w:rFonts w:hint="eastAsia" w:asciiTheme="minorEastAsia" w:hAnsiTheme="minorEastAsia" w:eastAsiaTheme="minorEastAsia" w:cstheme="minorEastAsia"/>
          <w:color w:val="000000" w:themeColor="text1"/>
          <w:sz w:val="21"/>
          <w:szCs w:val="21"/>
          <w14:textFill>
            <w14:solidFill>
              <w14:schemeClr w14:val="tx1"/>
            </w14:solidFill>
          </w14:textFill>
        </w:rPr>
        <w:t>1.5 费用承担</w:t>
      </w:r>
      <w:bookmarkEnd w:id="1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投标人准备和参加投标活动发生的费用自理，招标人不予以补偿。</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3" w:name="_Toc398107843"/>
      <w:r>
        <w:rPr>
          <w:rFonts w:hint="eastAsia" w:asciiTheme="minorEastAsia" w:hAnsiTheme="minorEastAsia" w:eastAsiaTheme="minorEastAsia" w:cstheme="minorEastAsia"/>
          <w:color w:val="000000" w:themeColor="text1"/>
          <w:sz w:val="21"/>
          <w:szCs w:val="21"/>
          <w14:textFill>
            <w14:solidFill>
              <w14:schemeClr w14:val="tx1"/>
            </w14:solidFill>
          </w14:textFill>
        </w:rPr>
        <w:t>1.6 保密</w:t>
      </w:r>
      <w:bookmarkEnd w:id="13"/>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参与招标投标活动的各方应对招标文件和投标文件中的商业和技术等秘密保密，违者应对由此造成的后果承担法律责任。</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4" w:name="_Toc398107844"/>
      <w:r>
        <w:rPr>
          <w:rFonts w:hint="eastAsia" w:asciiTheme="minorEastAsia" w:hAnsiTheme="minorEastAsia" w:eastAsiaTheme="minorEastAsia" w:cstheme="minorEastAsia"/>
          <w:color w:val="000000" w:themeColor="text1"/>
          <w:sz w:val="21"/>
          <w:szCs w:val="21"/>
          <w14:textFill>
            <w14:solidFill>
              <w14:schemeClr w14:val="tx1"/>
            </w14:solidFill>
          </w14:textFill>
        </w:rPr>
        <w:t>1.7 语言文字</w:t>
      </w:r>
      <w:bookmarkEnd w:id="14"/>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除专用术语外，与招标投标有关的语言均使用简体中文。必要时专用术语应附有中文注释。</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5" w:name="_Toc398107845"/>
      <w:r>
        <w:rPr>
          <w:rFonts w:hint="eastAsia" w:asciiTheme="minorEastAsia" w:hAnsiTheme="minorEastAsia" w:eastAsiaTheme="minorEastAsia" w:cstheme="minorEastAsia"/>
          <w:color w:val="000000" w:themeColor="text1"/>
          <w:sz w:val="21"/>
          <w:szCs w:val="21"/>
          <w14:textFill>
            <w14:solidFill>
              <w14:schemeClr w14:val="tx1"/>
            </w14:solidFill>
          </w14:textFill>
        </w:rPr>
        <w:t>1.8 计量单位</w:t>
      </w:r>
      <w:bookmarkEnd w:id="15"/>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所有计量均采用中华人民共和国法定计量单位。</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6" w:name="_Toc398107846"/>
      <w:r>
        <w:rPr>
          <w:rFonts w:hint="eastAsia" w:asciiTheme="minorEastAsia" w:hAnsiTheme="minorEastAsia" w:eastAsiaTheme="minorEastAsia" w:cstheme="minorEastAsia"/>
          <w:color w:val="000000" w:themeColor="text1"/>
          <w:sz w:val="21"/>
          <w:szCs w:val="21"/>
          <w14:textFill>
            <w14:solidFill>
              <w14:schemeClr w14:val="tx1"/>
            </w14:solidFill>
          </w14:textFill>
        </w:rPr>
        <w:t>1.9 踏勘现场</w:t>
      </w:r>
      <w:bookmarkEnd w:id="1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1.9.1招标人不组织投标人踏勘现场，投标人可以自行对项目现场和周围环境进行勘察，以获取编制投标文件和签署合同所需的所有资料。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1.9.2 投标人踏勘现场发生的费用自理。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1.9.3 投标人自行负责在踏勘现场中所发生的人员伤亡和财产损失。</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1.9.4 招标人向投标人提供的有关现场的资料和数据是招标人现有的能使投标人利用的资料。招标人对投标人由此而做出的推论、理解和结论概不负责。</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7" w:name="_Toc398107847"/>
      <w:r>
        <w:rPr>
          <w:rFonts w:hint="eastAsia" w:asciiTheme="minorEastAsia" w:hAnsiTheme="minorEastAsia" w:eastAsiaTheme="minorEastAsia" w:cstheme="minorEastAsia"/>
          <w:color w:val="000000" w:themeColor="text1"/>
          <w:sz w:val="21"/>
          <w:szCs w:val="21"/>
          <w14:textFill>
            <w14:solidFill>
              <w14:schemeClr w14:val="tx1"/>
            </w14:solidFill>
          </w14:textFill>
        </w:rPr>
        <w:t>1.10 投标预备会</w:t>
      </w:r>
      <w:bookmarkEnd w:id="17"/>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1.10.1 投标人须知前附表规定召开投标预备会的，招标人按投标人须知前附表规定的时间和地点召开投标预备会，澄清投标人提出的问题。</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1.10.2 投标人应在投标人须知前附表规定的时间前，以书面形式将提出的问题送达招标人，以便招标人在会议期间澄清。</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1.10.3 投标预备会后，招标人在投标人须知前附表规定的时间内，将对投标人所提问题的澄清，以书面方式通知所有购买招标文件的投标人。该澄清内容为招标文件的组成部分。</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8" w:name="_Toc398107848"/>
      <w:r>
        <w:rPr>
          <w:rFonts w:hint="eastAsia" w:asciiTheme="minorEastAsia" w:hAnsiTheme="minorEastAsia" w:eastAsiaTheme="minorEastAsia" w:cstheme="minorEastAsia"/>
          <w:color w:val="000000" w:themeColor="text1"/>
          <w:sz w:val="21"/>
          <w:szCs w:val="21"/>
          <w14:textFill>
            <w14:solidFill>
              <w14:schemeClr w14:val="tx1"/>
            </w14:solidFill>
          </w14:textFill>
        </w:rPr>
        <w:t>2  招标文件</w:t>
      </w:r>
      <w:bookmarkEnd w:id="18"/>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19" w:name="_Toc398107849"/>
      <w:r>
        <w:rPr>
          <w:rFonts w:hint="eastAsia" w:asciiTheme="minorEastAsia" w:hAnsiTheme="minorEastAsia" w:eastAsiaTheme="minorEastAsia" w:cstheme="minorEastAsia"/>
          <w:color w:val="000000" w:themeColor="text1"/>
          <w:sz w:val="21"/>
          <w:szCs w:val="21"/>
          <w14:textFill>
            <w14:solidFill>
              <w14:schemeClr w14:val="tx1"/>
            </w14:solidFill>
          </w14:textFill>
        </w:rPr>
        <w:t>2.1 招标文件的组成</w:t>
      </w:r>
      <w:bookmarkEnd w:id="1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2.1.1 本招标文件包括：</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（1）招标公告；</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（2）投标人须知；</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（3）评标办法；</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（4）合同主要条款；</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（5）技术资料；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（6）投标文件格式；</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（7）投标人须知前附表规定的其他材料。</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根据本章第1.10款、第2.2款对招标文件所作的澄清、修改，构成招标文件的组成部分。当招标文件相互之间发生矛盾时，以最后发出的文件为准。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2.1.2 投标人在投标截止时间前，应通过</w:t>
      </w:r>
      <w:r>
        <w:rPr>
          <w:rFonts w:hint="eastAsia" w:asciiTheme="minorEastAsia" w:hAnsiTheme="minorEastAsia" w:eastAsiaTheme="minorEastAsia" w:cstheme="minorEastAsia"/>
          <w:color w:val="000000" w:themeColor="text1"/>
          <w:szCs w:val="21"/>
          <w14:textFill>
            <w14:solidFill>
              <w14:schemeClr w14:val="tx1"/>
            </w14:solidFill>
          </w14:textFill>
        </w:rPr>
        <w:t>“大丰公共资源交易平台</w:t>
      </w:r>
      <w:r>
        <w:rPr>
          <w:rFonts w:hint="eastAsia" w:asciiTheme="minorEastAsia" w:hAnsiTheme="minorEastAsia" w:eastAsiaTheme="minorEastAsia" w:cstheme="minorEastAsia"/>
          <w:color w:val="000000" w:themeColor="text1"/>
          <w:kern w:val="0"/>
          <w:szCs w:val="21"/>
          <w14:textFill>
            <w14:solidFill>
              <w14:schemeClr w14:val="tx1"/>
            </w14:solidFill>
          </w14:textFill>
        </w:rPr>
        <w:t>”随时查看有关该项目招标文件的澄清、招标文件的修改(招标答疑、补遗文件)等内容。查询如有遗漏，其风险应由投标人自行承担。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2.1.3 投标人交纳招标文件费用并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有可能被拒绝。</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0" w:name="_Toc398107850"/>
      <w:r>
        <w:rPr>
          <w:rFonts w:hint="eastAsia" w:asciiTheme="minorEastAsia" w:hAnsiTheme="minorEastAsia" w:eastAsiaTheme="minorEastAsia" w:cstheme="minorEastAsia"/>
          <w:color w:val="000000" w:themeColor="text1"/>
          <w:sz w:val="21"/>
          <w:szCs w:val="21"/>
          <w14:textFill>
            <w14:solidFill>
              <w14:schemeClr w14:val="tx1"/>
            </w14:solidFill>
          </w14:textFill>
        </w:rPr>
        <w:t>2.2 招标文件的澄清</w:t>
      </w:r>
      <w:bookmarkEnd w:id="20"/>
      <w:r>
        <w:rPr>
          <w:rFonts w:hint="eastAsia" w:asciiTheme="minorEastAsia" w:hAnsiTheme="minorEastAsia" w:eastAsiaTheme="minorEastAsia" w:cstheme="minorEastAsia"/>
          <w:color w:val="000000" w:themeColor="text1"/>
          <w:sz w:val="21"/>
          <w:szCs w:val="21"/>
          <w14:textFill>
            <w14:solidFill>
              <w14:schemeClr w14:val="tx1"/>
            </w14:solidFill>
          </w14:textFill>
        </w:rPr>
        <w:t>、修改</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2.2.1 投标人下载招标文件后，应仔细阅读招标文件的全部内容。如有疑问，应在规定时间内向招标人提出，以便澄清。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2.2.2 招标人不集中组织答疑，投标人若对招标文件有疑问，需要招标人予以澄清，</w:t>
      </w:r>
      <w:r>
        <w:rPr>
          <w:rFonts w:hint="eastAsia" w:asciiTheme="minorEastAsia" w:hAnsiTheme="minorEastAsia" w:eastAsiaTheme="minorEastAsia" w:cstheme="minorEastAsia"/>
          <w:color w:val="000000" w:themeColor="text1"/>
          <w:szCs w:val="21"/>
          <w14:textFill>
            <w14:solidFill>
              <w14:schemeClr w14:val="tx1"/>
            </w14:solidFill>
          </w14:textFill>
        </w:rPr>
        <w:t>应在投标人须知前附表规定的时间前以书面形式（包括信函、电报、传真等可以有形地表现所载内容的形式，下同），要求招标人对招标文件予以澄清。</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2.2.3 招标文件的澄清将在投标人须知前附表规定的投标截止时间15日前</w:t>
      </w:r>
      <w:r>
        <w:rPr>
          <w:rFonts w:hint="eastAsia" w:asciiTheme="minorEastAsia" w:hAnsiTheme="minorEastAsia" w:eastAsiaTheme="minorEastAsia" w:cstheme="minorEastAsia"/>
          <w:color w:val="000000" w:themeColor="text1"/>
          <w:szCs w:val="21"/>
          <w14:textFill>
            <w14:solidFill>
              <w14:schemeClr w14:val="tx1"/>
            </w14:solidFill>
          </w14:textFill>
        </w:rPr>
        <w:t>以“补充答疑”的形式在大丰公共资源交易平台(hppt：//www.dafeng.gov.cn)上公开发布，但不指明澄清问题的来源。如果澄清发出的时间距投标截止时间不足15天，且澄清内容影响投标文件编制的，相应延长投标截止时间。</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2.2.4 招标文件发布后，在投标人须知前附表规定时限的任何时候，确需要变更招标文件内容的，招标人可主动或在解答投标人提出的澄清答疑时对招标文件进行修改，并同时报招标办备案。招标文件的修改以答疑形式在“大丰公共资源交易平台”发布，招标文件的答疑作为招标文件的组成部分，并具有约束力。</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2.2.5投标人应在截止投标时间前随时查看大丰公共资源交易平台中有关该项目招标文件的答疑内容。否则，由此引起的投标损失自负。</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2.2.6招标文件、招标文件的答疑内容均以网上发布的为准。</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2.2.7为使投标人在编写投标文件时有充分时间对招标文件的答疑部分进行研究，招标人可以酌情延长递交投标文件的截止日期，具体时间将在招标文件的答疑中明确。</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1" w:name="_Toc398107852"/>
      <w:r>
        <w:rPr>
          <w:rFonts w:hint="eastAsia" w:asciiTheme="minorEastAsia" w:hAnsiTheme="minorEastAsia" w:eastAsiaTheme="minorEastAsia" w:cstheme="minorEastAsia"/>
          <w:color w:val="000000" w:themeColor="text1"/>
          <w:sz w:val="21"/>
          <w:szCs w:val="21"/>
          <w14:textFill>
            <w14:solidFill>
              <w14:schemeClr w14:val="tx1"/>
            </w14:solidFill>
          </w14:textFill>
        </w:rPr>
        <w:t>3  投标文件</w:t>
      </w:r>
      <w:bookmarkEnd w:id="21"/>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22" w:name="_Toc398107853"/>
      <w:r>
        <w:rPr>
          <w:rFonts w:hint="eastAsia" w:asciiTheme="minorEastAsia" w:hAnsiTheme="minorEastAsia" w:eastAsiaTheme="minorEastAsia" w:cstheme="minorEastAsia"/>
          <w:color w:val="000000" w:themeColor="text1"/>
          <w:sz w:val="21"/>
          <w:szCs w:val="21"/>
          <w14:textFill>
            <w14:solidFill>
              <w14:schemeClr w14:val="tx1"/>
            </w14:solidFill>
          </w14:textFill>
        </w:rPr>
        <w:t>3.1 投标文件的组成</w:t>
      </w:r>
      <w:bookmarkEnd w:id="22"/>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bookmarkStart w:id="23" w:name="_Toc24988"/>
      <w:bookmarkStart w:id="24" w:name="_Toc13714"/>
      <w:r>
        <w:rPr>
          <w:rFonts w:hint="eastAsia" w:asciiTheme="minorEastAsia" w:hAnsiTheme="minorEastAsia" w:eastAsiaTheme="minorEastAsia" w:cstheme="minorEastAsia"/>
          <w:color w:val="000000" w:themeColor="text1"/>
          <w:kern w:val="0"/>
          <w:szCs w:val="21"/>
          <w14:textFill>
            <w14:solidFill>
              <w14:schemeClr w14:val="tx1"/>
            </w14:solidFill>
          </w14:textFill>
        </w:rPr>
        <w:t>3.1.1 投标文件的组成：</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投标文件主要包括但不限于下列内容：</w:t>
      </w:r>
    </w:p>
    <w:p>
      <w:pPr>
        <w:tabs>
          <w:tab w:val="left" w:pos="6264"/>
        </w:tabs>
        <w:snapToGrid w:val="0"/>
        <w:spacing w:line="480" w:lineRule="exact"/>
        <w:ind w:firstLine="42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w:t>
      </w:r>
      <w:r>
        <w:rPr>
          <w:rFonts w:hint="eastAsia" w:asciiTheme="minorEastAsia" w:hAnsiTheme="minorEastAsia" w:eastAsiaTheme="minorEastAsia" w:cstheme="minorEastAsia"/>
          <w:b/>
          <w:color w:val="000000" w:themeColor="text1"/>
          <w:szCs w:val="21"/>
          <w14:textFill>
            <w14:solidFill>
              <w14:schemeClr w14:val="tx1"/>
            </w14:solidFill>
          </w14:textFill>
        </w:rPr>
        <w:t>资信文件</w:t>
      </w:r>
      <w:r>
        <w:rPr>
          <w:rFonts w:hint="eastAsia" w:asciiTheme="minorEastAsia" w:hAnsiTheme="minorEastAsia" w:eastAsiaTheme="minorEastAsia" w:cstheme="minorEastAsia"/>
          <w:color w:val="000000" w:themeColor="text1"/>
          <w:szCs w:val="21"/>
          <w14:textFill>
            <w14:solidFill>
              <w14:schemeClr w14:val="tx1"/>
            </w14:solidFill>
          </w14:textFill>
        </w:rPr>
        <w:t>主要包括下述材料原件和复印件</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（1）企业法人营业执照副本；</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提供</w:t>
      </w:r>
      <w:r>
        <w:rPr>
          <w:rFonts w:hint="eastAsia" w:asciiTheme="minorEastAsia" w:hAnsiTheme="minorEastAsia" w:eastAsiaTheme="minorEastAsia" w:cstheme="minorEastAsia"/>
          <w:color w:val="000000" w:themeColor="text1"/>
          <w:kern w:val="0"/>
          <w:szCs w:val="21"/>
          <w14:textFill>
            <w14:solidFill>
              <w14:schemeClr w14:val="tx1"/>
            </w14:solidFill>
          </w14:textFill>
        </w:rPr>
        <w:t>已进入《2019年度盐城市国有土地上房屋征收实施单位备案名录》且有民政部门核发的民办非企业单位登记证书或事业单位登记管理部门核发的事业单位法人证书</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的证明材料</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（3）符合招标公告要求的项目组成人员的证书等；</w:t>
      </w:r>
    </w:p>
    <w:p>
      <w:pPr>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（4）拟派项目负责人和项目组主要组成人员须提供公安部门出具的无犯罪记录证明材料</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（满足盐房征《</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Cs w:val="21"/>
          <w:highlight w:val="none"/>
          <w:lang w:val="en-US" w:eastAsia="zh-CN"/>
          <w14:textFill>
            <w14:solidFill>
              <w14:schemeClr w14:val="tx1"/>
            </w14:solidFill>
          </w14:textFill>
        </w:rPr>
        <w:t>18号文</w:t>
      </w:r>
      <w:r>
        <w:rPr>
          <w:rFonts w:hint="eastAsia" w:asciiTheme="minorEastAsia" w:hAnsiTheme="minorEastAsia" w:eastAsiaTheme="minorEastAsia" w:cstheme="minorEastAsia"/>
          <w:color w:val="000000" w:themeColor="text1"/>
          <w:kern w:val="0"/>
          <w:szCs w:val="21"/>
          <w:highlight w:val="none"/>
          <w:lang w:eastAsia="zh-CN"/>
          <w14:textFill>
            <w14:solidFill>
              <w14:schemeClr w14:val="tx1"/>
            </w14:solidFill>
          </w14:textFill>
        </w:rPr>
        <w:t>）</w:t>
      </w:r>
    </w:p>
    <w:p>
      <w:pPr>
        <w:widowControl/>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（5）投标人根据招标文件评标办法要求提供的证明材料</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资格审查内容为（1）-（4）项，</w:t>
      </w:r>
      <w:r>
        <w:rPr>
          <w:rFonts w:hint="eastAsia" w:asciiTheme="minorEastAsia" w:hAnsiTheme="minorEastAsia" w:eastAsiaTheme="minorEastAsia" w:cstheme="minorEastAsia"/>
          <w:color w:val="000000" w:themeColor="text1"/>
          <w:kern w:val="0"/>
          <w:szCs w:val="21"/>
          <w14:textFill>
            <w14:solidFill>
              <w14:schemeClr w14:val="tx1"/>
            </w14:solidFill>
          </w14:textFill>
        </w:rPr>
        <w:t>提供原件和复印件（彩色扫描件）（没有提供原件的或</w:t>
      </w:r>
      <w:r>
        <w:rPr>
          <w:rFonts w:hint="eastAsia" w:asciiTheme="minorEastAsia" w:hAnsiTheme="minorEastAsia" w:eastAsiaTheme="minorEastAsia" w:cstheme="minorEastAsia"/>
          <w:b/>
          <w:color w:val="000000" w:themeColor="text1"/>
          <w:szCs w:val="21"/>
          <w14:textFill>
            <w14:solidFill>
              <w14:schemeClr w14:val="tx1"/>
            </w14:solidFill>
          </w14:textFill>
        </w:rPr>
        <w:t>复印件若模糊无法确认，资格审查不予通过，不进入后续评审</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w:t>
      </w:r>
      <w:r>
        <w:rPr>
          <w:rFonts w:hint="eastAsia" w:asciiTheme="minorEastAsia" w:hAnsiTheme="minorEastAsia" w:eastAsiaTheme="minorEastAsia" w:cstheme="minorEastAsia"/>
          <w:b/>
          <w:color w:val="000000" w:themeColor="text1"/>
          <w:szCs w:val="21"/>
          <w14:textFill>
            <w14:solidFill>
              <w14:schemeClr w14:val="tx1"/>
            </w14:solidFill>
          </w14:textFill>
        </w:rPr>
        <w:t>商务文件</w:t>
      </w:r>
      <w:r>
        <w:rPr>
          <w:rFonts w:hint="eastAsia" w:asciiTheme="minorEastAsia" w:hAnsiTheme="minorEastAsia" w:eastAsiaTheme="minorEastAsia" w:cstheme="minorEastAsia"/>
          <w:color w:val="000000" w:themeColor="text1"/>
          <w:szCs w:val="21"/>
          <w14:textFill>
            <w14:solidFill>
              <w14:schemeClr w14:val="tx1"/>
            </w14:solidFill>
          </w14:textFill>
        </w:rPr>
        <w:t>应包括如下内容：</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（1）投标函；</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（2）法定代表人身份证明书；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（3）法定代表人授权委托书及受托人身份证复印件（如有授权）；</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（4）项目负责人委任书；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（5）投标人资料真实性承诺书；</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（6）申请人基本情况表；</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（7）项目管理机构配备：拟参加本项目项目组人员一览表；</w:t>
      </w:r>
    </w:p>
    <w:p>
      <w:pPr>
        <w:pStyle w:val="52"/>
        <w:rPr>
          <w:rFonts w:hint="eastAsia" w:eastAsiaTheme="minorEastAsia"/>
          <w:lang w:eastAsia="zh-CN"/>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）附件中需提供的其他材料</w:t>
      </w:r>
    </w:p>
    <w:p>
      <w:pPr>
        <w:spacing w:line="480" w:lineRule="exact"/>
        <w:ind w:firstLine="420" w:firstLineChars="200"/>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white"/>
          <w14:textFill>
            <w14:solidFill>
              <w14:schemeClr w14:val="tx1"/>
            </w14:solidFill>
          </w14:textFill>
        </w:rPr>
        <w:t>（三）</w:t>
      </w:r>
      <w:r>
        <w:rPr>
          <w:rFonts w:hint="eastAsia" w:asciiTheme="minorEastAsia" w:hAnsiTheme="minorEastAsia" w:eastAsiaTheme="minorEastAsia" w:cstheme="minorEastAsia"/>
          <w:b/>
          <w:color w:val="000000" w:themeColor="text1"/>
          <w:szCs w:val="21"/>
          <w:highlight w:val="white"/>
          <w14:textFill>
            <w14:solidFill>
              <w14:schemeClr w14:val="tx1"/>
            </w14:solidFill>
          </w14:textFill>
        </w:rPr>
        <w:t>技术文件</w:t>
      </w:r>
      <w:r>
        <w:rPr>
          <w:rFonts w:hint="eastAsia" w:asciiTheme="minorEastAsia" w:hAnsiTheme="minorEastAsia" w:eastAsiaTheme="minorEastAsia" w:cstheme="minorEastAsia"/>
          <w:color w:val="000000" w:themeColor="text1"/>
          <w:szCs w:val="21"/>
          <w:highlight w:val="white"/>
          <w14:textFill>
            <w14:solidFill>
              <w14:schemeClr w14:val="tx1"/>
            </w14:solidFill>
          </w14:textFill>
        </w:rPr>
        <w:t>：</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无</w:t>
      </w:r>
    </w:p>
    <w:p>
      <w:pPr>
        <w:autoSpaceDE w:val="0"/>
        <w:autoSpaceDN w:val="0"/>
        <w:adjustRightInd w:val="0"/>
        <w:spacing w:line="480" w:lineRule="exact"/>
        <w:ind w:firstLine="420" w:firstLineChars="20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3.1.2投标人应按要求密封封装投标文件，资信文件、商务文件合并装订成册，正本一份、副本四份，放入密封袋中（封袋大小、数量由投标人根据需要自行制作）。密封袋包装封面上应注明投标人名称、投标项目名称、项目编号、“开标时启封”字样，并加盖投标人公章。投标文件的正、副本不一致时，以正本为准。</w:t>
      </w:r>
      <w:bookmarkStart w:id="25" w:name="_Toc398107854"/>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3.2 投标报价</w:t>
      </w:r>
      <w:bookmarkEnd w:id="23"/>
      <w:bookmarkEnd w:id="24"/>
      <w:bookmarkEnd w:id="25"/>
    </w:p>
    <w:p>
      <w:pPr>
        <w:pageBreakBefore w:val="0"/>
        <w:kinsoku/>
        <w:wordWrap/>
        <w:overflowPunct/>
        <w:topLinePunct w:val="0"/>
        <w:autoSpaceDE w:val="0"/>
        <w:autoSpaceDN w:val="0"/>
        <w:bidi w:val="0"/>
        <w:adjustRightInd w:val="0"/>
        <w:snapToGrid/>
        <w:spacing w:line="470" w:lineRule="exact"/>
        <w:ind w:firstLine="420" w:firstLineChars="200"/>
        <w:jc w:val="left"/>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3.2.1</w:t>
      </w:r>
      <w:r>
        <w:rPr>
          <w:rFonts w:hint="eastAsia" w:asciiTheme="minorEastAsia" w:hAnsiTheme="minorEastAsia" w:eastAsiaTheme="minorEastAsia" w:cstheme="minorEastAsia"/>
          <w:color w:val="000000" w:themeColor="text1"/>
          <w:szCs w:val="21"/>
          <w14:textFill>
            <w14:solidFill>
              <w14:schemeClr w14:val="tx1"/>
            </w14:solidFill>
          </w14:textFill>
        </w:rPr>
        <w:t>投标报价应是招标文件所确定的招标范围及要求的全部工作内容的价格体现，包含为完</w:t>
      </w:r>
    </w:p>
    <w:p>
      <w:pPr>
        <w:pageBreakBefore w:val="0"/>
        <w:kinsoku/>
        <w:wordWrap/>
        <w:overflowPunct/>
        <w:topLinePunct w:val="0"/>
        <w:autoSpaceDE w:val="0"/>
        <w:autoSpaceDN w:val="0"/>
        <w:bidi w:val="0"/>
        <w:adjustRightInd w:val="0"/>
        <w:snapToGrid/>
        <w:spacing w:line="462" w:lineRule="exact"/>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成本项目所包含的人工费、企业管理费、利润、加班费、劳保费、安全医疗费、办公经费、差旅费、交通费、有形市场交易费、税金等所需的一切费用。</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3.2.2 根据招标文件的投标须知条款的内容由各投标人依照市场行情、自身综合实力、服务能力、管理水平等各项因素自主确定不低于企业成本的投标报价，且不得高于招标人设定的招标控制价。</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允许幅度值投标的，投标报价不得超出招标文件设定的幅度值区间。</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26" w:name="_Toc398107855"/>
      <w:r>
        <w:rPr>
          <w:rFonts w:hint="eastAsia" w:asciiTheme="minorEastAsia" w:hAnsiTheme="minorEastAsia" w:eastAsiaTheme="minorEastAsia" w:cstheme="minorEastAsia"/>
          <w:color w:val="000000" w:themeColor="text1"/>
          <w:sz w:val="21"/>
          <w:szCs w:val="21"/>
          <w14:textFill>
            <w14:solidFill>
              <w14:schemeClr w14:val="tx1"/>
            </w14:solidFill>
          </w14:textFill>
        </w:rPr>
        <w:t>3.3 投标有效期</w:t>
      </w:r>
      <w:bookmarkEnd w:id="26"/>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3.3.1 投标有效期从投标人提交投标文件截止之日起计算。在投标人须知前附表规定的投标有效期内，投标人不得要求撤销或修改其投标文件。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3.3.2 在本招标文件规定的投标有效期结束前，出现特殊情况的，招标人可以书面形式通知所有投标人延长投标有效期。投标人同意延长的，应相应延长其投标保证金的有效期，但不得要求或被允许修改或撤销其投标文件；投标人拒绝延长的，其投标在投标有效期结束后失效，但投标人有权收回其投标保证金。</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27" w:name="_Toc152045550"/>
      <w:bookmarkStart w:id="28" w:name="_Toc247527575"/>
      <w:bookmarkStart w:id="29" w:name="_Toc152042326"/>
      <w:bookmarkStart w:id="30" w:name="_Toc144974518"/>
      <w:bookmarkStart w:id="31" w:name="_Toc247513974"/>
      <w:bookmarkStart w:id="32" w:name="_Toc300834971"/>
      <w:bookmarkStart w:id="33" w:name="_Toc398107857"/>
      <w:r>
        <w:rPr>
          <w:rFonts w:hint="eastAsia" w:asciiTheme="minorEastAsia" w:hAnsiTheme="minorEastAsia" w:eastAsiaTheme="minorEastAsia" w:cstheme="minorEastAsia"/>
          <w:color w:val="000000" w:themeColor="text1"/>
          <w:sz w:val="21"/>
          <w:szCs w:val="21"/>
          <w14:textFill>
            <w14:solidFill>
              <w14:schemeClr w14:val="tx1"/>
            </w14:solidFill>
          </w14:textFill>
        </w:rPr>
        <w:t>3.4投标保证金</w:t>
      </w:r>
      <w:bookmarkEnd w:id="27"/>
      <w:bookmarkEnd w:id="28"/>
      <w:bookmarkEnd w:id="29"/>
      <w:bookmarkEnd w:id="30"/>
      <w:bookmarkEnd w:id="31"/>
      <w:bookmarkEnd w:id="32"/>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3.4.1 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3.4.2 投标人不按本章第3.4.1项要求提交投标保证金的，评标委员会将否决其投标。</w:t>
      </w:r>
    </w:p>
    <w:p>
      <w:pPr>
        <w:pageBreakBefore w:val="0"/>
        <w:kinsoku/>
        <w:wordWrap/>
        <w:overflowPunct/>
        <w:topLinePunct w:val="0"/>
        <w:bidi w:val="0"/>
        <w:snapToGrid/>
        <w:spacing w:line="462" w:lineRule="exact"/>
        <w:ind w:firstLine="420" w:firstLineChars="200"/>
        <w:textAlignment w:val="auto"/>
        <w:rPr>
          <w:rFonts w:hint="eastAsia" w:ascii="宋体" w:hAnsi="宋体" w:cs="宋体"/>
          <w:color w:val="auto"/>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3.4.3</w:t>
      </w:r>
      <w:r>
        <w:rPr>
          <w:rFonts w:hint="eastAsia" w:ascii="宋体" w:hAnsi="宋体" w:cs="宋体"/>
          <w:color w:val="auto"/>
          <w:szCs w:val="21"/>
        </w:rPr>
        <w:t>投标保证金退还时间：中标候选人公示后，退还非中标候选人的投标保证金；中标人在签订合同后，凭招标人同意退还投标保证金证明（原件）、中标通知书（复印件）及合同（复印件）材料到大丰区公共资源交易中心4楼大厅</w:t>
      </w:r>
      <w:r>
        <w:rPr>
          <w:rFonts w:hint="eastAsia" w:ascii="宋体" w:hAnsi="宋体" w:cs="宋体"/>
          <w:color w:val="auto"/>
          <w:szCs w:val="21"/>
          <w:lang w:val="en-US" w:eastAsia="zh-CN"/>
        </w:rPr>
        <w:t>6</w:t>
      </w:r>
      <w:r>
        <w:rPr>
          <w:rFonts w:hint="eastAsia" w:ascii="宋体" w:hAnsi="宋体" w:cs="宋体"/>
          <w:color w:val="auto"/>
          <w:szCs w:val="21"/>
        </w:rPr>
        <w:t>#窗口办理退还投标保证金手续。以电子保函（保单）、银行保函形式缴纳的保证金按相关协议执行，无需办理退款手续。</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3.4.4 有下列情形之一的，保证金将不予退还：</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（1）投标截止后投标人撤销投标文件的。</w:t>
      </w:r>
    </w:p>
    <w:p>
      <w:pPr>
        <w:pageBreakBefore w:val="0"/>
        <w:kinsoku/>
        <w:wordWrap/>
        <w:overflowPunct/>
        <w:topLinePunct w:val="0"/>
        <w:bidi w:val="0"/>
        <w:snapToGrid/>
        <w:spacing w:line="462" w:lineRule="exact"/>
        <w:ind w:firstLine="420" w:firstLineChars="200"/>
        <w:jc w:val="left"/>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（2）中标人无正当理由不与招标人订立合同；在签订合同时向招标人提出附加条件，或者不按照招标文件要求提交履约保证金的。</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3.5 备选投标方案</w:t>
      </w:r>
      <w:bookmarkEnd w:id="33"/>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投标人须知前附表另有规定外，投标人不得递交备选投标方案。允许投标人递交备选投标方案的，只有第一中标侯选人所递交的备选投标方案方可予以考虑。评标委员会认为第一中标侯选人的备选投标方案优于其按照招标文件要求编制的投标方案的，招标人可以接受该备选投标方案。</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34" w:name="_Toc398107858"/>
      <w:r>
        <w:rPr>
          <w:rFonts w:hint="eastAsia" w:asciiTheme="minorEastAsia" w:hAnsiTheme="minorEastAsia" w:eastAsiaTheme="minorEastAsia" w:cstheme="minorEastAsia"/>
          <w:color w:val="000000" w:themeColor="text1"/>
          <w:sz w:val="21"/>
          <w:szCs w:val="21"/>
          <w14:textFill>
            <w14:solidFill>
              <w14:schemeClr w14:val="tx1"/>
            </w14:solidFill>
          </w14:textFill>
        </w:rPr>
        <w:t>3.6 投标文件的编制</w:t>
      </w:r>
      <w:bookmarkEnd w:id="34"/>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bookmarkStart w:id="35" w:name="_Toc398107859"/>
      <w:r>
        <w:rPr>
          <w:rFonts w:hint="eastAsia" w:asciiTheme="minorEastAsia" w:hAnsiTheme="minorEastAsia" w:eastAsiaTheme="minorEastAsia" w:cstheme="minorEastAsia"/>
          <w:color w:val="000000" w:themeColor="text1"/>
          <w:kern w:val="0"/>
          <w:szCs w:val="21"/>
          <w14:textFill>
            <w14:solidFill>
              <w14:schemeClr w14:val="tx1"/>
            </w14:solidFill>
          </w14:textFill>
        </w:rPr>
        <w:t>3.6.1 投标文件应按第六章“投标文件格式”的要求进行编写。</w:t>
      </w:r>
      <w:r>
        <w:rPr>
          <w:rFonts w:hint="eastAsia" w:asciiTheme="minorEastAsia" w:hAnsiTheme="minorEastAsia" w:eastAsiaTheme="minorEastAsia" w:cstheme="minorEastAsia"/>
          <w:color w:val="000000" w:themeColor="text1"/>
          <w:szCs w:val="21"/>
          <w14:textFill>
            <w14:solidFill>
              <w14:schemeClr w14:val="tx1"/>
            </w14:solidFill>
          </w14:textFill>
        </w:rPr>
        <w:t>如有必要，可以增加附页，作为投标文件的组成部分。</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3.6.2 投标文件应当对招标文件有关服务期限、投标有效期、质量要求、招标范围等实质性内容作出响应。</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3.6.3</w:t>
      </w:r>
      <w:r>
        <w:rPr>
          <w:rFonts w:hint="eastAsia" w:asciiTheme="minorEastAsia" w:hAnsiTheme="minorEastAsia" w:eastAsiaTheme="minorEastAsia" w:cstheme="minorEastAsia"/>
          <w:color w:val="000000" w:themeColor="text1"/>
          <w:szCs w:val="21"/>
          <w14:textFill>
            <w14:solidFill>
              <w14:schemeClr w14:val="tx1"/>
            </w14:solidFill>
          </w14:textFill>
        </w:rPr>
        <w:t>标书封面、投标函、授权委托书（如有）、资信标等材料均须加盖投标单位印章和法定代表人印章（原件除外），所有标书均须加盖骑缝印章（包括投标单位印章和法定代表人印章）。</w:t>
      </w:r>
    </w:p>
    <w:p>
      <w:pPr>
        <w:pageBreakBefore w:val="0"/>
        <w:kinsoku/>
        <w:wordWrap/>
        <w:overflowPunct/>
        <w:topLinePunct w:val="0"/>
        <w:bidi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3.6.4投标文件须用不能擦去的黑字书写或打印，其正、副本都应装订成册，并在封面上正确标明“正本”、“副本”字样。</w:t>
      </w:r>
    </w:p>
    <w:p>
      <w:pPr>
        <w:pageBreakBefore w:val="0"/>
        <w:kinsoku/>
        <w:wordWrap/>
        <w:overflowPunct/>
        <w:topLinePunct w:val="0"/>
        <w:autoSpaceDE w:val="0"/>
        <w:autoSpaceDN w:val="0"/>
        <w:bidi w:val="0"/>
        <w:adjustRightInd w:val="0"/>
        <w:snapToGrid/>
        <w:spacing w:line="462" w:lineRule="exact"/>
        <w:ind w:firstLine="420" w:firstLineChars="200"/>
        <w:jc w:val="left"/>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3.6.5投标文件应无修改和行间插字。投标文件如有修改，须在修改处加盖投标人法定代表人或</w:t>
      </w:r>
      <w:r>
        <w:rPr>
          <w:rFonts w:hint="eastAsia" w:asciiTheme="minorEastAsia" w:hAnsiTheme="minorEastAsia" w:eastAsiaTheme="minorEastAsia" w:cstheme="minorEastAsia"/>
          <w:color w:val="000000" w:themeColor="text1"/>
          <w:szCs w:val="21"/>
          <w14:textFill>
            <w14:solidFill>
              <w14:schemeClr w14:val="tx1"/>
            </w14:solidFill>
          </w14:textFill>
        </w:rPr>
        <w:t>其代理人的印章（或签署）。</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3.7</w:t>
      </w:r>
      <w:bookmarkEnd w:id="35"/>
      <w:bookmarkStart w:id="36" w:name="_Toc398107860"/>
      <w:r>
        <w:rPr>
          <w:rFonts w:hint="eastAsia" w:asciiTheme="minorEastAsia" w:hAnsiTheme="minorEastAsia" w:eastAsiaTheme="minorEastAsia" w:cstheme="minorEastAsia"/>
          <w:color w:val="000000" w:themeColor="text1"/>
          <w:sz w:val="21"/>
          <w:szCs w:val="21"/>
          <w14:textFill>
            <w14:solidFill>
              <w14:schemeClr w14:val="tx1"/>
            </w14:solidFill>
          </w14:textFill>
        </w:rPr>
        <w:t>资格审查资料</w:t>
      </w:r>
      <w:bookmarkEnd w:id="36"/>
    </w:p>
    <w:p>
      <w:pPr>
        <w:pageBreakBefore w:val="0"/>
        <w:kinsoku/>
        <w:wordWrap/>
        <w:overflowPunct/>
        <w:topLinePunct w:val="0"/>
        <w:autoSpaceDE w:val="0"/>
        <w:autoSpaceDN w:val="0"/>
        <w:bidi w:val="0"/>
        <w:adjustRightInd w:val="0"/>
        <w:snapToGrid/>
        <w:spacing w:line="462" w:lineRule="exact"/>
        <w:textAlignment w:val="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本项目对投标申请人的资格审查采用资格后审方式。资格审查资料详见3.1.1条。</w:t>
      </w:r>
    </w:p>
    <w:p>
      <w:pPr>
        <w:pStyle w:val="4"/>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bookmarkStart w:id="37" w:name="_Toc398107862"/>
      <w:r>
        <w:rPr>
          <w:rFonts w:hint="eastAsia" w:asciiTheme="minorEastAsia" w:hAnsiTheme="minorEastAsia" w:eastAsiaTheme="minorEastAsia" w:cstheme="minorEastAsia"/>
          <w:color w:val="000000" w:themeColor="text1"/>
          <w:sz w:val="21"/>
          <w:szCs w:val="21"/>
          <w14:textFill>
            <w14:solidFill>
              <w14:schemeClr w14:val="tx1"/>
            </w14:solidFill>
          </w14:textFill>
        </w:rPr>
        <w:t>4  投标</w:t>
      </w:r>
      <w:bookmarkEnd w:id="37"/>
    </w:p>
    <w:p>
      <w:pPr>
        <w:pStyle w:val="164"/>
        <w:pageBreakBefore w:val="0"/>
        <w:widowControl/>
        <w:shd w:val="clear" w:color="auto" w:fill="FFFFFF"/>
        <w:kinsoku/>
        <w:wordWrap/>
        <w:overflowPunct/>
        <w:topLinePunct w:val="0"/>
        <w:bidi w:val="0"/>
        <w:snapToGrid/>
        <w:spacing w:line="462" w:lineRule="exact"/>
        <w:ind w:firstLine="0" w:firstLineChars="0"/>
        <w:jc w:val="left"/>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bookmarkStart w:id="38" w:name="_Toc398107865"/>
      <w:r>
        <w:rPr>
          <w:rFonts w:hint="eastAsia" w:asciiTheme="minorEastAsia" w:hAnsiTheme="minorEastAsia" w:eastAsiaTheme="minorEastAsia" w:cstheme="minorEastAsia"/>
          <w:bCs/>
          <w:color w:val="000000" w:themeColor="text1"/>
          <w:kern w:val="0"/>
          <w:szCs w:val="21"/>
          <w14:textFill>
            <w14:solidFill>
              <w14:schemeClr w14:val="tx1"/>
            </w14:solidFill>
          </w14:textFill>
        </w:rPr>
        <w:t>4.1</w:t>
      </w:r>
      <w:r>
        <w:rPr>
          <w:rFonts w:hint="eastAsia" w:asciiTheme="minorEastAsia" w:hAnsiTheme="minorEastAsia" w:eastAsiaTheme="minorEastAsia" w:cstheme="minorEastAsia"/>
          <w:bCs/>
          <w:snapToGrid w:val="0"/>
          <w:color w:val="000000" w:themeColor="text1"/>
          <w:szCs w:val="21"/>
          <w14:textFill>
            <w14:solidFill>
              <w14:schemeClr w14:val="tx1"/>
            </w14:solidFill>
          </w14:textFill>
        </w:rPr>
        <w:t>未按本项目招标文件规定要求密封和装订的投标文件，招标人将拒收。</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4.2 投标文件的递交</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bookmarkStart w:id="39" w:name="_Toc263403063"/>
      <w:bookmarkEnd w:id="39"/>
      <w:bookmarkStart w:id="40" w:name="_Toc261518394"/>
      <w:bookmarkEnd w:id="40"/>
      <w:bookmarkStart w:id="41" w:name="_Toc197770874"/>
      <w:bookmarkEnd w:id="41"/>
      <w:bookmarkStart w:id="42" w:name="_Toc263777156"/>
      <w:bookmarkEnd w:id="42"/>
      <w:bookmarkStart w:id="43" w:name="_Toc273437314"/>
      <w:bookmarkEnd w:id="43"/>
      <w:bookmarkStart w:id="44" w:name="_Toc267475062"/>
      <w:bookmarkEnd w:id="44"/>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4.2.1 投标人应在招标文件规定的投标截止时间前完成投标文件的递交。</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4.2.2 投标人递交投标文件的地点：见投标人须知前附表。</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4.2.3 除招标文件另有规定外，投标人所递交的投标文件不予退还。</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4.2.4 有下列情形之一的投标文件拒收并退回：</w:t>
      </w:r>
    </w:p>
    <w:p>
      <w:pPr>
        <w:pageBreakBefore w:val="0"/>
        <w:widowControl/>
        <w:shd w:val="clear" w:color="auto" w:fill="FFFFFF"/>
        <w:kinsoku/>
        <w:wordWrap/>
        <w:overflowPunct/>
        <w:topLinePunct w:val="0"/>
        <w:bidi w:val="0"/>
        <w:snapToGrid/>
        <w:spacing w:line="462" w:lineRule="exact"/>
        <w:ind w:firstLine="420"/>
        <w:textAlignment w:val="auto"/>
        <w:rPr>
          <w:rFonts w:asciiTheme="minorEastAsia" w:hAnsiTheme="minorEastAsia" w:eastAsiaTheme="minorEastAsia" w:cstheme="minorEastAsia"/>
          <w:snapToGrid w:val="0"/>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1）投标文件逾期送达的或者未送达指定地点的。</w:t>
      </w:r>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14:textFill>
            <w14:solidFill>
              <w14:schemeClr w14:val="tx1"/>
            </w14:solidFill>
          </w14:textFill>
        </w:rPr>
        <w:t>2）投标文件未按招标文件规定要求封装或标志的</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pStyle w:val="5"/>
        <w:pageBreakBefore w:val="0"/>
        <w:kinsoku/>
        <w:wordWrap/>
        <w:overflowPunct/>
        <w:topLinePunct w:val="0"/>
        <w:bidi w:val="0"/>
        <w:snapToGrid/>
        <w:spacing w:before="0" w:after="0" w:line="462" w:lineRule="exact"/>
        <w:textAlignment w:val="auto"/>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4.3 投标文件的修改与撤回</w:t>
      </w:r>
      <w:bookmarkEnd w:id="38"/>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4.3.1 在投标人须知前附表规定的投标截止时间前，投标人可以多次修改或撤回已递交的投标文件，最终投标文件以投标截止时间前按规定递交的最后一份投标文件为准。</w:t>
      </w:r>
    </w:p>
    <w:p>
      <w:pPr>
        <w:pageBreakBefore w:val="0"/>
        <w:kinsoku/>
        <w:wordWrap/>
        <w:overflowPunct/>
        <w:topLinePunct w:val="0"/>
        <w:autoSpaceDE w:val="0"/>
        <w:autoSpaceDN w:val="0"/>
        <w:bidi w:val="0"/>
        <w:adjustRightInd w:val="0"/>
        <w:snapToGrid/>
        <w:spacing w:line="462"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4.3.2 修改的投标文件应按照本章第3.6条、第4.2条规定进行编制和递交。</w:t>
      </w:r>
    </w:p>
    <w:p>
      <w:pPr>
        <w:pageBreakBefore w:val="0"/>
        <w:kinsoku/>
        <w:wordWrap/>
        <w:overflowPunct/>
        <w:topLinePunct w:val="0"/>
        <w:autoSpaceDE w:val="0"/>
        <w:autoSpaceDN w:val="0"/>
        <w:bidi w:val="0"/>
        <w:adjustRightInd w:val="0"/>
        <w:snapToGrid/>
        <w:spacing w:line="470" w:lineRule="exact"/>
        <w:ind w:firstLine="420" w:firstLineChars="200"/>
        <w:textAlignment w:val="auto"/>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4.3.3 投标截止时间之后，在投标有效期内，投标人不得修改或撤回投标文件，否则投标保证金将不予退还。</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5" w:name="_Toc398107867"/>
      <w:r>
        <w:rPr>
          <w:rFonts w:hint="eastAsia" w:asciiTheme="minorEastAsia" w:hAnsiTheme="minorEastAsia" w:eastAsiaTheme="minorEastAsia" w:cstheme="minorEastAsia"/>
          <w:color w:val="000000" w:themeColor="text1"/>
          <w:sz w:val="21"/>
          <w:szCs w:val="21"/>
          <w14:textFill>
            <w14:solidFill>
              <w14:schemeClr w14:val="tx1"/>
            </w14:solidFill>
          </w14:textFill>
        </w:rPr>
        <w:t>5  开标</w:t>
      </w:r>
      <w:bookmarkEnd w:id="45"/>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6" w:name="_Toc398107868"/>
      <w:r>
        <w:rPr>
          <w:rFonts w:hint="eastAsia" w:asciiTheme="minorEastAsia" w:hAnsiTheme="minorEastAsia" w:eastAsiaTheme="minorEastAsia" w:cstheme="minorEastAsia"/>
          <w:color w:val="000000" w:themeColor="text1"/>
          <w:sz w:val="21"/>
          <w:szCs w:val="21"/>
          <w14:textFill>
            <w14:solidFill>
              <w14:schemeClr w14:val="tx1"/>
            </w14:solidFill>
          </w14:textFill>
        </w:rPr>
        <w:t>5.1 开标时间、地点和人员</w:t>
      </w:r>
      <w:bookmarkEnd w:id="4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招标人在投标人须知前附表规定的开标时间和地点公开开标，并邀请所有投标人参加开标会议，参加开标会议的具体人员及要求见投标须知前附表。</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7" w:name="_Toc398107869"/>
      <w:r>
        <w:rPr>
          <w:rFonts w:hint="eastAsia" w:asciiTheme="minorEastAsia" w:hAnsiTheme="minorEastAsia" w:eastAsiaTheme="minorEastAsia" w:cstheme="minorEastAsia"/>
          <w:color w:val="000000" w:themeColor="text1"/>
          <w:sz w:val="21"/>
          <w:szCs w:val="21"/>
          <w14:textFill>
            <w14:solidFill>
              <w14:schemeClr w14:val="tx1"/>
            </w14:solidFill>
          </w14:textFill>
        </w:rPr>
        <w:t>5.2 开标程序</w:t>
      </w:r>
      <w:bookmarkEnd w:id="47"/>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5.2.1 主持人按下列程序进行开标：</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（1）宣布开标纪律；</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（2）公布在投标截止时间前递交投标文件的投标人名称，并按投标人须知前附表的要求确认投标人是否派相关人员到场；</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（3）宣布相关参会人员姓名；</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（4）检查投标文件的密封情况；</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（5）当众开标、唱标，并记录在案；</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（6）相关参会人员在开标记录上签字确认；</w:t>
      </w:r>
    </w:p>
    <w:p>
      <w:pPr>
        <w:spacing w:line="400" w:lineRule="exact"/>
        <w:ind w:firstLine="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（7）开标结束。</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5.2.2投标人对开标有异议的，应当在开标现场提出，招标人应当当场作出答复，并作好记录；如无法现场答复的，可转交评标委员会予以解决。</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8" w:name="_Toc398107870"/>
      <w:r>
        <w:rPr>
          <w:rFonts w:hint="eastAsia" w:asciiTheme="minorEastAsia" w:hAnsiTheme="minorEastAsia" w:eastAsiaTheme="minorEastAsia" w:cstheme="minorEastAsia"/>
          <w:color w:val="000000" w:themeColor="text1"/>
          <w:sz w:val="21"/>
          <w:szCs w:val="21"/>
          <w14:textFill>
            <w14:solidFill>
              <w14:schemeClr w14:val="tx1"/>
            </w14:solidFill>
          </w14:textFill>
        </w:rPr>
        <w:t>6  评标</w:t>
      </w:r>
      <w:bookmarkEnd w:id="48"/>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49" w:name="_Toc398107871"/>
      <w:r>
        <w:rPr>
          <w:rFonts w:hint="eastAsia" w:asciiTheme="minorEastAsia" w:hAnsiTheme="minorEastAsia" w:eastAsiaTheme="minorEastAsia" w:cstheme="minorEastAsia"/>
          <w:color w:val="000000" w:themeColor="text1"/>
          <w:sz w:val="21"/>
          <w:szCs w:val="21"/>
          <w14:textFill>
            <w14:solidFill>
              <w14:schemeClr w14:val="tx1"/>
            </w14:solidFill>
          </w14:textFill>
        </w:rPr>
        <w:t>6.1 评标委员会</w:t>
      </w:r>
      <w:bookmarkEnd w:id="4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6.1.1 评标由招标人依法组建的评标委员会负责。</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6.1.2 评标委员会设负责人一名，由评标委员会成员内部推举产生。评标委员会负责人与评标委员会其他成员有同等的表决权。</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6.1.3 评标委员会成员有下列情形之一的，应当主动提出回避：</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（1）投标人的主要负责人的近亲属；</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（2）招标项目主管部门或者行政监督部门的人员；</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（3）与投标人有经济利益关系，可能影响对投标公正评审的；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（4）曾因在招标、评标以及其他与招标投标有关活动中从事违法行为而受过行政处罚或刑事处罚的。</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0" w:name="_Toc398107872"/>
      <w:r>
        <w:rPr>
          <w:rFonts w:hint="eastAsia" w:asciiTheme="minorEastAsia" w:hAnsiTheme="minorEastAsia" w:eastAsiaTheme="minorEastAsia" w:cstheme="minorEastAsia"/>
          <w:color w:val="000000" w:themeColor="text1"/>
          <w:sz w:val="21"/>
          <w:szCs w:val="21"/>
          <w14:textFill>
            <w14:solidFill>
              <w14:schemeClr w14:val="tx1"/>
            </w14:solidFill>
          </w14:textFill>
        </w:rPr>
        <w:t>6.2 评标原则</w:t>
      </w:r>
      <w:bookmarkEnd w:id="5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评标活动遵循公平、公正、科学和择优的原则。</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1" w:name="_Toc398107873"/>
      <w:r>
        <w:rPr>
          <w:rFonts w:hint="eastAsia" w:asciiTheme="minorEastAsia" w:hAnsiTheme="minorEastAsia" w:eastAsiaTheme="minorEastAsia" w:cstheme="minorEastAsia"/>
          <w:color w:val="000000" w:themeColor="text1"/>
          <w:sz w:val="21"/>
          <w:szCs w:val="21"/>
          <w14:textFill>
            <w14:solidFill>
              <w14:schemeClr w14:val="tx1"/>
            </w14:solidFill>
          </w14:textFill>
        </w:rPr>
        <w:t>6.3 评标</w:t>
      </w:r>
      <w:bookmarkEnd w:id="5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评标委员会按照第三章“评标办法”规定的方法、评审因素、标准和程序对投标文件进行评审。招标文件没有规定的方法、评审因素和标准，不作为评标依据。</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6.4 无效标条款</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1、投标文件中的投标函未加盖投标人的公章；</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2、投标文件中的投标函无企业法定代表人（或企业法定代表人委托代理人）印章（或签字）的；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3、如投标函由企业法定代表人委托代理人加盖印章（或签字），企业法定代表人委托代理人没有合法、有效的委托书（原件）的；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4、投标人资格条件不符合国家有关规定或招标文件要求的；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5、组成联合体投标未提供联合体各方共同投标协议的；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6、在同一招标项目中，联合体成员以自己名义单独投标或者参加其他联合体投标的；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7、投标报价低于成本，或高于招标文件设定的最高投标限价；允许幅度值投标的，投标报价超出招标文件设定的幅度值区间的；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9、同一投标人提交两个及以上不同的投标文件或者投标报价，但招标文件要求提交备选投标的除外；</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10、未按招标文件要求提供投标保证金的；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11、明显不符合技术规范、技术标准的要求的；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12、项目机构的人员配备达不到招标文件规定的最低要求的；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13、投标文件提出的服务范围、服务期、委托代理报酬及支付办法不能满足招标文件要求或招标人不能接受；</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14、不同投标人的投标文件以及投标文件制作过程出现了评标委员会认为不应当雷同的情况的；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15、以他人的名义投标、串通投标、以行贿手段谋取中标或者以其他弄虚作假方式投标的；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17、投标文件组成不符合招标文件要求的；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18、开标到场的项目负责人（如招标文件有约定）与投标函中明确的项目负责人或投标文件中提供的项目负责人证书不一致的；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19、按招标文件约定应参加开标会的人员，未携带有效身份证件参加开标会议或未参加开标会议的；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20、未对招标文件中有关服务期、投标有效期、质量要求、技术标准和要求、招标范围等实质性内容作出响应的；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21、不按评标委员会要求澄清、说明或补正的。</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22、出现第二章“投标人须知”第1.4.3项规定的任何一种情形的；</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firstLineChars="200"/>
        <w:jc w:val="left"/>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凡招标文件未明确的无效标条件，评标委员会不得作为判定无效标的依据，评标委员会也不得以不符合招标文件中规定的其他实质性要求作为判定无效标的依据。</w:t>
      </w:r>
    </w:p>
    <w:p>
      <w:pPr>
        <w:pStyle w:val="16"/>
        <w:keepNext w:val="0"/>
        <w:keepLines w:val="0"/>
        <w:pageBreakBefore w:val="0"/>
        <w:widowControl w:val="0"/>
        <w:kinsoku/>
        <w:wordWrap/>
        <w:overflowPunct/>
        <w:topLinePunct w:val="0"/>
        <w:bidi w:val="0"/>
        <w:snapToGrid/>
        <w:spacing w:line="440" w:lineRule="exact"/>
        <w:ind w:firstLine="420" w:firstLineChars="200"/>
        <w:textAlignment w:val="auto"/>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yellow"/>
          <w:lang w:val="en-US" w:eastAsia="zh-CN"/>
          <w14:textFill>
            <w14:solidFill>
              <w14:schemeClr w14:val="tx1"/>
            </w14:solidFill>
          </w14:textFill>
        </w:rPr>
        <w:t>23、</w:t>
      </w:r>
      <w:r>
        <w:rPr>
          <w:rFonts w:hint="eastAsia"/>
          <w:sz w:val="21"/>
          <w:szCs w:val="21"/>
          <w:highlight w:val="yellow"/>
          <w:lang w:val="en-US" w:eastAsia="zh-CN"/>
        </w:rPr>
        <w:t>未按招标文件提供的承诺书进行承诺的</w:t>
      </w:r>
      <w:r>
        <w:rPr>
          <w:rFonts w:hint="eastAsia" w:ascii="宋体" w:hAnsi="宋体" w:cs="宋体"/>
          <w:sz w:val="21"/>
          <w:szCs w:val="21"/>
          <w:highlight w:val="yellow"/>
        </w:rPr>
        <w:t>。</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6.5串通投标和弄虚作假行为认定</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6.5.1 招标人或者其委托的招标代理机构在招标过程中有下列情形之一的，属于与投标人串通投标：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（一）招标人或者招标代理机构在开标前开启投标文件并将有关信息直接或者间接泄露给其他投标人；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(二)招标人或者招标代理机构直接或者间接向投标人泄露标底、评标委员会成员等信息；</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(三)招标人或者招标代理机构明示或者暗示投标人压低或者抬高投标报价；</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(四)招标人或者招标代理机构授意投标人撤换、修改投标文件；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(五)招标人或者招标代理机构明示或者暗示投标人为特定投标人中标提供方便；</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（六）招标人或者招标代理机构与投标人为谋求特定投标人中标而采取的其他串通行为：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1、直接或者间接向投标人泄露获取资格预审文件或者通过资格预审的投标申请人，或者已经获取招标文件的潜在投标人的名称、数量的；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2、直接或者间接向投标利害关系人泄露资格审查或者评标情况的；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3、与投标人商定压低或者抬高标价，中标后给予投标人或者招标人额外补偿的；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4、故意损毁、篡改特定投标文件内容，或者在资格预审活动中损毁、篡改特定资格预审申请人提交的资格预审申请文件；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5、法律、法规、规章规定的其他行为。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6.5.2 投标人在投标过程中有下列情形之一的，属于投标人相互串通投标：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(一)投标人之间协商投标报价等投标文件的实质性内容；</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(二)投标人之间约定中标人；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(三)投标人之间约定部分投标人放弃投标或者中标；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(四)属于同一集团、协会、商会等组织成员的投标人按照该组织要求协同投标；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(五)投标人之间为谋取中标或者排斥特定投标人而采取的其他联合行动：</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1、根据相互约定不按照资格预审文件要求提交资格申请文件的；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2、根据相互约定撤回投标的；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3、按照相互约定不实质性响应招标文件的；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4、按照相互约定制定投标方案的；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5、相互约定给予未中标的投标人费用补偿的。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6、法律、法规、规章规定的其他行为。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6.5.3 投标人在投标过程中有下列情形之一的，视为投标人相互串通投标：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（一）不同投标人的投标文件由同一单位或者个人编制：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1、不同投标人的电子投标文件出自同一台电脑；</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2、不同投标人的投标文件的编制者为同一人；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3、不同投标人的投标文件由同一投标人的附属设备打印、复印的；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(二)不同投标人委托同一单位或者个人办理投标事宜；</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(三)不同投标人的投标文件载明的项目管理成员为同一人或同一单位；</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(四)不同投标人的投标文件异常一致或者投标报价呈规律性差异；</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(五)不同投标人的投标文件相互混装；</w:t>
      </w:r>
    </w:p>
    <w:p>
      <w:pPr>
        <w:spacing w:line="480" w:lineRule="exact"/>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(六)不同投标人的投标保证金从同一单位或者个人的账户转出，或者不同投标人的投标保证金虽然经由投标人自己的基本账户转出，但所需资金均是来自同一单位或者个人的账户的。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6.5.4  投标人有下列情形之一的，属于投标人弄虚作假骗取中标的行为：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（一）以他人名义投标的。具体情形包括：</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1、通过受让或者租借等方式从其他单位获取资格或者资质证书参加投标的；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2、由其他单位或者其他单位负责人在自己编制的投标文件上加盖印章或者签字的；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3、项目负责人或者主要技术人员不是本单位人员的；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4、投标保证金不是从投标人的账户缴纳的；</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5、法律、法规、规章规定的以他人名义投标的其他行为。</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（二）以其他方式弄虚作假的。具体情形包括：</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1、使用伪造、变造的许可证件；</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2、提供虚假的财务状况或者业绩；</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3、提供虚假的项目负责人或者主要技术人员简历、劳动关系证明；</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4、提供虚假的信用状况；</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5、投标文件中有与事实不符的承诺材料；</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6、隐瞒招标文件要求提供的信息，或者提供虚假、引人误解的其他信息；</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7、法律、法规、规章规定的弄虚作假的其他行为。</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标委员会在评标时，发现有上述6.5条款行为的，应当否决其投标，并向有关行政监督部门报告。招标人和投标人存在串通投标行为的，招标无效，应当依法重新招标；招标代理机构有串通投标行为的，招标人应取消其对该项目的招标代理资格，重新选择招标代理机构后重新招标；投标人有串通投标行为或者弄虚作假行为的，其投标无效，已经中标的，中标无效；因投标人串标投标或者弄虚作假行为导致重新招标的，在重新招标时不得再参加本项目投标。</w:t>
      </w:r>
    </w:p>
    <w:p>
      <w:pPr>
        <w:spacing w:line="480" w:lineRule="exact"/>
        <w:ind w:firstLine="310" w:firstLineChars="147"/>
        <w:jc w:val="lef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若投标人被评标委员会以上述6.5条款否决投标的，自否决投标认定之日起3个月内不得参与本区项目投标。投标人同一天参加本区多个项目投标的，只要有一个项目投标文件被以6.5条款否决投标的，本项目即取消其中标资格。</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2" w:name="_Toc398107874"/>
      <w:r>
        <w:rPr>
          <w:rFonts w:hint="eastAsia" w:asciiTheme="minorEastAsia" w:hAnsiTheme="minorEastAsia" w:eastAsiaTheme="minorEastAsia" w:cstheme="minorEastAsia"/>
          <w:color w:val="000000" w:themeColor="text1"/>
          <w:sz w:val="21"/>
          <w:szCs w:val="21"/>
          <w14:textFill>
            <w14:solidFill>
              <w14:schemeClr w14:val="tx1"/>
            </w14:solidFill>
          </w14:textFill>
        </w:rPr>
        <w:t>7 评标结果公示</w:t>
      </w:r>
      <w:bookmarkEnd w:id="5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7.1 招标人在收到评标报告后在建设工程交易中心及与招标公告相同的发布媒介上对评标结果进行公示。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7.2 投标人或者其他利害关系人对评标结果有异议的，应当在评标结果公示期间向招标人书面提出异议。招标人自收到书面异议之日起3日内作出答复，并在作出答复前暂停招标投标活动。</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3" w:name="_Toc398107875"/>
      <w:r>
        <w:rPr>
          <w:rFonts w:hint="eastAsia" w:asciiTheme="minorEastAsia" w:hAnsiTheme="minorEastAsia" w:eastAsiaTheme="minorEastAsia" w:cstheme="minorEastAsia"/>
          <w:color w:val="000000" w:themeColor="text1"/>
          <w:sz w:val="21"/>
          <w:szCs w:val="21"/>
          <w14:textFill>
            <w14:solidFill>
              <w14:schemeClr w14:val="tx1"/>
            </w14:solidFill>
          </w14:textFill>
        </w:rPr>
        <w:t>8  合同授予</w:t>
      </w:r>
      <w:bookmarkEnd w:id="53"/>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4" w:name="_Toc398107876"/>
      <w:r>
        <w:rPr>
          <w:rFonts w:hint="eastAsia" w:asciiTheme="minorEastAsia" w:hAnsiTheme="minorEastAsia" w:eastAsiaTheme="minorEastAsia" w:cstheme="minorEastAsia"/>
          <w:color w:val="000000" w:themeColor="text1"/>
          <w:sz w:val="21"/>
          <w:szCs w:val="21"/>
          <w14:textFill>
            <w14:solidFill>
              <w14:schemeClr w14:val="tx1"/>
            </w14:solidFill>
          </w14:textFill>
        </w:rPr>
        <w:t>8.1 定标方式</w:t>
      </w:r>
      <w:bookmarkEnd w:id="54"/>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除投标人须知前附表规定评标委员会直接确定中标人外，招标人依据评标委员会推荐的中标候选人确定中标人。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国有资金占控股或者主导地位的依法必须进行招投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5" w:name="_Toc398107877"/>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8.2 </w:t>
      </w:r>
      <w:bookmarkEnd w:id="55"/>
      <w:r>
        <w:rPr>
          <w:rFonts w:hint="eastAsia" w:asciiTheme="minorEastAsia" w:hAnsiTheme="minorEastAsia" w:eastAsiaTheme="minorEastAsia" w:cstheme="minorEastAsia"/>
          <w:color w:val="000000" w:themeColor="text1"/>
          <w:sz w:val="21"/>
          <w:szCs w:val="21"/>
          <w14:textFill>
            <w14:solidFill>
              <w14:schemeClr w14:val="tx1"/>
            </w14:solidFill>
          </w14:textFill>
        </w:rPr>
        <w:t>中标通知</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评标结果公示期间无异议的，招标人以书面形式向中标人发出中标通知书。</w:t>
      </w:r>
    </w:p>
    <w:p>
      <w:pPr>
        <w:snapToGrid w:val="0"/>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招标人和中标人须在中标结果公示结束3个工作日内按苏价服（2017）177号文规定交纳建设工程交易综合服务费。</w:t>
      </w:r>
    </w:p>
    <w:p>
      <w:pPr>
        <w:snapToGrid w:val="0"/>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按计价格【2002】1980号文件收取招标代理费。</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本项目由投标人缴纳的各项费用，建设单位一律不予贴补给中标单位。</w:t>
      </w:r>
    </w:p>
    <w:p>
      <w:pPr>
        <w:spacing w:line="480" w:lineRule="exact"/>
        <w:ind w:firstLine="420"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标人须在中标结果公示结束后2个工作日内领取中标通知书，中标人如未能按照招标文件规定的要求缴纳建设工程交易综合服务费及领取中标通知书，招标人有权取消其中标资格，没收投标保证金，另行选择中标单位。</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8.3 履约担保</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8.3.1</w:t>
      </w:r>
      <w:r>
        <w:rPr>
          <w:rFonts w:hint="eastAsia" w:asciiTheme="minorEastAsia" w:hAnsiTheme="minorEastAsia" w:eastAsiaTheme="minorEastAsia" w:cstheme="minorEastAsia"/>
          <w:b/>
          <w:color w:val="000000" w:themeColor="text1"/>
          <w:szCs w:val="21"/>
          <w14:textFill>
            <w14:solidFill>
              <w14:schemeClr w14:val="tx1"/>
            </w14:solidFill>
          </w14:textFill>
        </w:rPr>
        <w:t>本项目履约保证金为</w:t>
      </w:r>
      <w:r>
        <w:rPr>
          <w:rFonts w:hint="eastAsia" w:asciiTheme="minorEastAsia" w:hAnsiTheme="minorEastAsia" w:eastAsiaTheme="minorEastAsia" w:cstheme="minorEastAsia"/>
          <w:b/>
          <w:color w:val="000000" w:themeColor="text1"/>
          <w:szCs w:val="21"/>
          <w:lang w:eastAsia="zh-CN"/>
          <w14:textFill>
            <w14:solidFill>
              <w14:schemeClr w14:val="tx1"/>
            </w14:solidFill>
          </w14:textFill>
        </w:rPr>
        <w:t>中标价</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14:textFill>
            <w14:solidFill>
              <w14:schemeClr w14:val="tx1"/>
            </w14:solidFill>
          </w14:textFill>
        </w:rPr>
        <w:t>，在签订合同前，中标人应在接到中标通知书 5日内将履约保证金以转帐、电汇或银行汇票形式汇转至招标人指定帐户，待所有结算审核工作完成、移交审计资料后无息退还。</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根据盐政发〔2020〕57号精神，我市2018年度、2019年度建筑业星级企业和建筑业发展先进企业，在盐城市范围内承接工程中，免缴应由施工企业缴纳的相关保证金。</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8.3.2 中标人不能按本章第8.3.1项要求提交履约担保的，视为放弃中标，其投标保证金不予退还，给招标人造成的损失超过投标保证金数额的，中标人还应当对超过部分予以赔偿。</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6" w:name="_Toc398107878"/>
      <w:r>
        <w:rPr>
          <w:rFonts w:hint="eastAsia" w:asciiTheme="minorEastAsia" w:hAnsiTheme="minorEastAsia" w:eastAsiaTheme="minorEastAsia" w:cstheme="minorEastAsia"/>
          <w:color w:val="000000" w:themeColor="text1"/>
          <w:sz w:val="21"/>
          <w:szCs w:val="21"/>
          <w14:textFill>
            <w14:solidFill>
              <w14:schemeClr w14:val="tx1"/>
            </w14:solidFill>
          </w14:textFill>
        </w:rPr>
        <w:t>8.4 签订合同</w:t>
      </w:r>
      <w:bookmarkEnd w:id="56"/>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8.4.1中标人须在中标通知书发出之日起5日内，根据招标文件和中标人的投标文件与招标人订立书面合同。中标人无正当理由拒签合同的、</w:t>
      </w:r>
      <w:r>
        <w:rPr>
          <w:rFonts w:hint="eastAsia" w:asciiTheme="minorEastAsia" w:hAnsiTheme="minorEastAsia" w:eastAsiaTheme="minorEastAsia" w:cstheme="minorEastAsia"/>
          <w:color w:val="000000" w:themeColor="text1"/>
          <w:szCs w:val="21"/>
          <w14:textFill>
            <w14:solidFill>
              <w14:schemeClr w14:val="tx1"/>
            </w14:solidFill>
          </w14:textFill>
        </w:rPr>
        <w:t>在签订合同时向招标人提出附加条件或者更改合同实质性内容的或未按规定领取中标通知书的，</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招标人可取消其中标资格，其投标保证金不予退还；给招标人造成的损失超过投标保证金数额的，中标人还应当对超过部分予以赔偿。</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8.4.2 发出中标通知书后，招标人无正当理由拒签合同的</w:t>
      </w:r>
      <w:r>
        <w:rPr>
          <w:rFonts w:hint="eastAsia" w:asciiTheme="minorEastAsia" w:hAnsiTheme="minorEastAsia" w:eastAsiaTheme="minorEastAsia" w:cstheme="minorEastAsia"/>
          <w:color w:val="000000" w:themeColor="text1"/>
          <w:szCs w:val="21"/>
          <w14:textFill>
            <w14:solidFill>
              <w14:schemeClr w14:val="tx1"/>
            </w14:solidFill>
          </w14:textFill>
        </w:rPr>
        <w:t>、在订立合同时向中标人提出附加条件的，给他人造成损失的，依法承担赔偿责任</w:t>
      </w: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，招标人向中标人退还投标保证金；给中标人造成损失的，还应当赔偿损失。</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8.4.3 </w:t>
      </w:r>
      <w:r>
        <w:rPr>
          <w:rFonts w:hint="eastAsia" w:asciiTheme="minorEastAsia" w:hAnsiTheme="minorEastAsia" w:eastAsiaTheme="minorEastAsia" w:cstheme="minorEastAsia"/>
          <w:b/>
          <w:color w:val="000000" w:themeColor="text1"/>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8.4.4招标人和中标人不按照招标文件和中标人的投标文件订立合同，合同的主要条款与招标文件、中标人的投标文件的内容不一致，或者招标人、中标人订立背离合同实质性内容的，由有关行政监督部门责令改正，可以处中标项目金额5‰以上10‰以下的罚款。</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  重新招标与不再招标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法必须进行招标的项目，提交投标文件的投标人少于三个的，招标人在分析招标失败的原因并采取相应措施后，应当依法重新招标。重新招标后投标人仍少于三个的，按国家有关规定需要履行审批、核准手续且依法必须进行招标的项目，报项目审批、核准部门审批核准后，可以不再进行招标。</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4"/>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7" w:name="_Toc398107879"/>
      <w:r>
        <w:rPr>
          <w:rFonts w:hint="eastAsia" w:asciiTheme="minorEastAsia" w:hAnsiTheme="minorEastAsia" w:eastAsiaTheme="minorEastAsia" w:cstheme="minorEastAsia"/>
          <w:color w:val="000000" w:themeColor="text1"/>
          <w:sz w:val="21"/>
          <w:szCs w:val="21"/>
          <w14:textFill>
            <w14:solidFill>
              <w14:schemeClr w14:val="tx1"/>
            </w14:solidFill>
          </w14:textFill>
        </w:rPr>
        <w:t>10  纪律和监督</w:t>
      </w:r>
      <w:bookmarkEnd w:id="57"/>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8" w:name="_Toc398107880"/>
      <w:r>
        <w:rPr>
          <w:rFonts w:hint="eastAsia" w:asciiTheme="minorEastAsia" w:hAnsiTheme="minorEastAsia" w:eastAsiaTheme="minorEastAsia" w:cstheme="minorEastAsia"/>
          <w:color w:val="000000" w:themeColor="text1"/>
          <w:sz w:val="21"/>
          <w:szCs w:val="21"/>
          <w14:textFill>
            <w14:solidFill>
              <w14:schemeClr w14:val="tx1"/>
            </w14:solidFill>
          </w14:textFill>
        </w:rPr>
        <w:t>10.1 对招标人的纪律要求</w:t>
      </w:r>
      <w:bookmarkEnd w:id="58"/>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招标人不得泄漏招标投标活动中应当保密的情况和资料，不得与投标人串通损害国家利益、社会公共利益或者他人合法权益。</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59" w:name="_Toc398107881"/>
      <w:r>
        <w:rPr>
          <w:rFonts w:hint="eastAsia" w:asciiTheme="minorEastAsia" w:hAnsiTheme="minorEastAsia" w:eastAsiaTheme="minorEastAsia" w:cstheme="minorEastAsia"/>
          <w:color w:val="000000" w:themeColor="text1"/>
          <w:sz w:val="21"/>
          <w:szCs w:val="21"/>
          <w14:textFill>
            <w14:solidFill>
              <w14:schemeClr w14:val="tx1"/>
            </w14:solidFill>
          </w14:textFill>
        </w:rPr>
        <w:t>10.2 对投标人的纪律要求</w:t>
      </w:r>
      <w:bookmarkEnd w:id="59"/>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0" w:name="_Toc398107882"/>
      <w:r>
        <w:rPr>
          <w:rFonts w:hint="eastAsia" w:asciiTheme="minorEastAsia" w:hAnsiTheme="minorEastAsia" w:eastAsiaTheme="minorEastAsia" w:cstheme="minorEastAsia"/>
          <w:color w:val="000000" w:themeColor="text1"/>
          <w:sz w:val="21"/>
          <w:szCs w:val="21"/>
          <w14:textFill>
            <w14:solidFill>
              <w14:schemeClr w14:val="tx1"/>
            </w14:solidFill>
          </w14:textFill>
        </w:rPr>
        <w:t>10.3 对评标委员会成员的纪律要求</w:t>
      </w:r>
      <w:bookmarkEnd w:id="60"/>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以外的评审因素和标准进行评标。</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1" w:name="_Toc398107883"/>
      <w:r>
        <w:rPr>
          <w:rFonts w:hint="eastAsia" w:asciiTheme="minorEastAsia" w:hAnsiTheme="minorEastAsia" w:eastAsiaTheme="minorEastAsia" w:cstheme="minorEastAsia"/>
          <w:color w:val="000000" w:themeColor="text1"/>
          <w:sz w:val="21"/>
          <w:szCs w:val="21"/>
          <w14:textFill>
            <w14:solidFill>
              <w14:schemeClr w14:val="tx1"/>
            </w14:solidFill>
          </w14:textFill>
        </w:rPr>
        <w:t>10.4 对与评标活动有关的工作人员的纪律要求</w:t>
      </w:r>
      <w:bookmarkEnd w:id="61"/>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before="0" w:after="0"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bookmarkStart w:id="62" w:name="_Toc398107884"/>
      <w:r>
        <w:rPr>
          <w:rFonts w:hint="eastAsia" w:asciiTheme="minorEastAsia" w:hAnsiTheme="minorEastAsia" w:eastAsiaTheme="minorEastAsia" w:cstheme="minorEastAsia"/>
          <w:color w:val="000000" w:themeColor="text1"/>
          <w:sz w:val="21"/>
          <w:szCs w:val="21"/>
          <w14:textFill>
            <w14:solidFill>
              <w14:schemeClr w14:val="tx1"/>
            </w14:solidFill>
          </w14:textFill>
        </w:rPr>
        <w:t>10.5 异议与投诉</w:t>
      </w:r>
      <w:bookmarkEnd w:id="62"/>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和其他利害关系人认为本次招标活动违反法律、法规和规章规定的，有权向有关行政监督部门投诉。投标人或者其他利害关系人就资格预审文件、招标文件、开标、评标结果事项投诉的，应当先向招标人提出异议。</w:t>
      </w:r>
    </w:p>
    <w:p>
      <w:pPr>
        <w:autoSpaceDE w:val="0"/>
        <w:autoSpaceDN w:val="0"/>
        <w:adjustRightInd w:val="0"/>
        <w:spacing w:line="480" w:lineRule="exact"/>
        <w:ind w:firstLine="422" w:firstLineChars="200"/>
        <w:jc w:val="left"/>
        <w:rPr>
          <w:rFonts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10.5.1异议</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（1）潜在投标人或者其他利害关系人对招标文件有异议的，应当在投标截止时间10日前提出。</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（2）投标人对开标有异议的，应当在开标现场提出，招标人应当当场作出答复，并制作记录。对开标有异议的，未在开标现场提出并在开标记录表上写明的，以及对超过规定时间提出的异议招标人不予接受。</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（3）投标人或者其他利害关系人对依法必须进行招标的项目的评标结果有异议的，应当在中标候选人公示期间提出。</w:t>
      </w:r>
    </w:p>
    <w:p>
      <w:pPr>
        <w:autoSpaceDE w:val="0"/>
        <w:autoSpaceDN w:val="0"/>
        <w:adjustRightInd w:val="0"/>
        <w:spacing w:line="480" w:lineRule="exact"/>
        <w:ind w:firstLine="422" w:firstLineChars="200"/>
        <w:jc w:val="lef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10.5.2投诉</w:t>
      </w:r>
    </w:p>
    <w:p>
      <w:pPr>
        <w:autoSpaceDE w:val="0"/>
        <w:autoSpaceDN w:val="0"/>
        <w:adjustRightInd w:val="0"/>
        <w:spacing w:line="480" w:lineRule="exact"/>
        <w:ind w:firstLine="42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投标人或者其他利害关系人认为招标投标活动不符合法律、行政法规规定的，可以自知道或者应当知道之日起10日内向</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业主纪委监督部门</w:t>
      </w:r>
      <w:r>
        <w:rPr>
          <w:rFonts w:hint="eastAsia" w:asciiTheme="minorEastAsia" w:hAnsiTheme="minorEastAsia" w:eastAsiaTheme="minorEastAsia" w:cstheme="minorEastAsia"/>
          <w:color w:val="000000" w:themeColor="text1"/>
          <w:szCs w:val="21"/>
          <w14:textFill>
            <w14:solidFill>
              <w14:schemeClr w14:val="tx1"/>
            </w14:solidFill>
          </w14:textFill>
        </w:rPr>
        <w:t>投诉。投诉应当有明确的请求和必要的证明材料。具体按《盐城市建设工程招标投标活动异议和投诉处理办法》执行。</w:t>
      </w:r>
    </w:p>
    <w:p>
      <w:pPr>
        <w:pStyle w:val="4"/>
        <w:spacing w:before="0" w:after="0" w:line="480" w:lineRule="exact"/>
        <w:rPr>
          <w:rFonts w:asciiTheme="minorEastAsia" w:hAnsiTheme="minorEastAsia" w:eastAsiaTheme="minorEastAsia" w:cstheme="minorEastAsia"/>
          <w:bCs w:val="0"/>
          <w:color w:val="000000" w:themeColor="text1"/>
          <w:kern w:val="0"/>
          <w:sz w:val="21"/>
          <w:szCs w:val="21"/>
          <w14:textFill>
            <w14:solidFill>
              <w14:schemeClr w14:val="tx1"/>
            </w14:solidFill>
          </w14:textFill>
        </w:rPr>
      </w:pPr>
      <w:bookmarkStart w:id="63" w:name="_Toc398107885"/>
      <w:r>
        <w:rPr>
          <w:rFonts w:hint="eastAsia" w:asciiTheme="minorEastAsia" w:hAnsiTheme="minorEastAsia" w:eastAsiaTheme="minorEastAsia" w:cstheme="minorEastAsia"/>
          <w:color w:val="000000" w:themeColor="text1"/>
          <w:sz w:val="21"/>
          <w:szCs w:val="21"/>
          <w14:textFill>
            <w14:solidFill>
              <w14:schemeClr w14:val="tx1"/>
            </w14:solidFill>
          </w14:textFill>
        </w:rPr>
        <w:t>11 需要补充的其他内容</w:t>
      </w:r>
      <w:bookmarkEnd w:id="63"/>
    </w:p>
    <w:p>
      <w:pPr>
        <w:spacing w:line="480" w:lineRule="exact"/>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本招标文件未尽事宜，按国家和省法律法规、规章要求处理。</w:t>
      </w:r>
    </w:p>
    <w:p>
      <w:pPr>
        <w:spacing w:line="440" w:lineRule="exact"/>
        <w:ind w:firstLine="422" w:firstLineChars="200"/>
        <w:rPr>
          <w:rFonts w:hint="eastAsia" w:ascii="宋体" w:hAnsi="宋体" w:cs="宋体"/>
          <w:b/>
          <w:bCs/>
          <w:sz w:val="21"/>
          <w:szCs w:val="21"/>
        </w:rPr>
      </w:pPr>
      <w:r>
        <w:rPr>
          <w:rFonts w:hint="eastAsia" w:ascii="宋体" w:hAnsi="宋体" w:cs="宋体"/>
          <w:b/>
          <w:bCs/>
          <w:sz w:val="21"/>
          <w:szCs w:val="21"/>
        </w:rPr>
        <w:t>友情提醒：请投标人在报价前，自行去实地考察并调研，充分考虑到此方面的报价风险。如因征收搬迁实施单位原因导致征收搬迁户上访的，按“50000元/户”扣除服务费。各个阶段都必须报价，缺项者视同废标。结算时按实际完成的时间段结算。如在截止时间前未能完成业主明确要求征收搬迁的或未履行及履行职责不到位的，由招标人和工作组在项目要求中进行百分制考核，考核结果按每低于5分进行递增扣除，每低于5分的私房及公房、车库、未见证房屋按“400元/户”、企业按“ 5000元”的标准在履约保证金中扣除。</w:t>
      </w:r>
    </w:p>
    <w:p>
      <w:pPr>
        <w:spacing w:line="440" w:lineRule="exact"/>
        <w:ind w:firstLine="422" w:firstLineChars="200"/>
        <w:rPr>
          <w:rFonts w:hint="eastAsia"/>
          <w:b/>
          <w:bCs/>
          <w:sz w:val="21"/>
          <w:szCs w:val="21"/>
          <w:highlight w:val="red"/>
        </w:rPr>
      </w:pPr>
      <w:r>
        <w:rPr>
          <w:rFonts w:hint="eastAsia" w:ascii="宋体" w:hAnsi="宋体" w:cs="宋体"/>
          <w:b/>
          <w:bCs/>
          <w:sz w:val="21"/>
          <w:szCs w:val="21"/>
        </w:rPr>
        <w:t>中标征收单位在预丈量实施过程中，业主单位根据征收单位实际完成时间、履约情况等各方面综合打分，确定下一阶段征收项目的实施内容和范围，</w:t>
      </w:r>
      <w:r>
        <w:rPr>
          <w:rFonts w:hint="eastAsia" w:ascii="宋体" w:hAnsi="宋体" w:cs="宋体"/>
          <w:b/>
          <w:bCs/>
          <w:sz w:val="21"/>
          <w:szCs w:val="21"/>
          <w:lang w:val="en-US" w:eastAsia="zh-CN"/>
        </w:rPr>
        <w:t>并</w:t>
      </w:r>
      <w:r>
        <w:rPr>
          <w:rFonts w:hint="eastAsia" w:ascii="宋体" w:hAnsi="宋体" w:cs="宋体"/>
          <w:b/>
          <w:bCs/>
          <w:sz w:val="21"/>
          <w:szCs w:val="21"/>
        </w:rPr>
        <w:t>与之签订委托合同。</w:t>
      </w:r>
    </w:p>
    <w:p>
      <w:pPr>
        <w:pStyle w:val="52"/>
        <w:rPr>
          <w:rFonts w:hint="eastAsia" w:asciiTheme="minorEastAsia" w:hAnsiTheme="minorEastAsia" w:eastAsiaTheme="minorEastAsia" w:cstheme="minorEastAsia"/>
          <w:color w:val="000000" w:themeColor="text1"/>
          <w:szCs w:val="21"/>
          <w14:textFill>
            <w14:solidFill>
              <w14:schemeClr w14:val="tx1"/>
            </w14:solidFill>
          </w14:textFill>
        </w:rPr>
      </w:pPr>
    </w:p>
    <w:p>
      <w:pPr>
        <w:pStyle w:val="52"/>
        <w:rPr>
          <w:rFonts w:hint="eastAsia" w:asciiTheme="minorEastAsia" w:hAnsiTheme="minorEastAsia" w:eastAsiaTheme="minorEastAsia" w:cstheme="minorEastAsia"/>
          <w:color w:val="000000" w:themeColor="text1"/>
          <w:szCs w:val="21"/>
          <w14:textFill>
            <w14:solidFill>
              <w14:schemeClr w14:val="tx1"/>
            </w14:solidFill>
          </w14:textFill>
        </w:rPr>
      </w:pPr>
    </w:p>
    <w:p>
      <w:pPr>
        <w:spacing w:line="4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p>
    <w:p>
      <w:pPr>
        <w:spacing w:line="46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p>
    <w:p>
      <w:pPr>
        <w:pStyle w:val="3"/>
        <w:spacing w:before="0" w:after="0" w:line="46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64" w:name="_Toc398107886"/>
      <w:bookmarkStart w:id="65" w:name="_Toc152042377"/>
      <w:bookmarkStart w:id="66" w:name="_Toc144974567"/>
      <w:bookmarkStart w:id="67" w:name="_Toc179632618"/>
      <w:bookmarkStart w:id="68" w:name="_Toc152045600"/>
      <w:r>
        <w:rPr>
          <w:rFonts w:hint="eastAsia" w:asciiTheme="minorEastAsia" w:hAnsiTheme="minorEastAsia" w:eastAsiaTheme="minorEastAsia" w:cstheme="minorEastAsia"/>
          <w:color w:val="000000" w:themeColor="text1"/>
          <w14:textFill>
            <w14:solidFill>
              <w14:schemeClr w14:val="tx1"/>
            </w14:solidFill>
          </w14:textFill>
        </w:rPr>
        <w:t>第三章 评标办法</w:t>
      </w:r>
      <w:bookmarkEnd w:id="64"/>
      <w:bookmarkStart w:id="69" w:name="_Toc152045599"/>
      <w:bookmarkStart w:id="70" w:name="_Toc179632617"/>
      <w:bookmarkStart w:id="71" w:name="_Toc144974566"/>
      <w:bookmarkStart w:id="72" w:name="_Toc152042376"/>
    </w:p>
    <w:bookmarkEnd w:id="69"/>
    <w:bookmarkEnd w:id="70"/>
    <w:bookmarkEnd w:id="71"/>
    <w:bookmarkEnd w:id="72"/>
    <w:p>
      <w:pPr>
        <w:widowControl/>
        <w:shd w:val="clear" w:color="auto" w:fill="FFFFFF"/>
        <w:snapToGrid w:val="0"/>
        <w:spacing w:line="480" w:lineRule="exact"/>
        <w:ind w:firstLine="413" w:firstLineChars="196"/>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一、评标标准和程序</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评标委员会根据评审标准和第二章第6.4条规定的无效标书条款对每一份投标文件进行评审，凡有第二章第6.4条规定情形之一的，作无效标书处理。</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投标文件的评审按以下顺序进行，上一阶段未通过的不进入下一阶段评审：</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1、初步评审</w:t>
      </w:r>
    </w:p>
    <w:p>
      <w:pPr>
        <w:spacing w:line="480" w:lineRule="exact"/>
        <w:ind w:firstLine="422" w:firstLineChars="200"/>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1.1形式评审标准</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对投标文件的有效性、完整性进行评审。</w:t>
      </w:r>
    </w:p>
    <w:tbl>
      <w:tblPr>
        <w:tblStyle w:val="42"/>
        <w:tblW w:w="73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52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评审因素</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投标文件格式</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符合招标文件中的投标文件格式要求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投标函</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授权委托书</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32" w:type="dxa"/>
            <w:tcBorders>
              <w:top w:val="single" w:color="auto" w:sz="4" w:space="0"/>
              <w:bottom w:val="single" w:color="auto" w:sz="4" w:space="0"/>
              <w:right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报价唯一</w:t>
            </w:r>
          </w:p>
        </w:tc>
        <w:tc>
          <w:tcPr>
            <w:tcW w:w="5248" w:type="dxa"/>
            <w:tcBorders>
              <w:top w:val="single" w:color="auto" w:sz="4" w:space="0"/>
              <w:left w:val="single" w:color="auto" w:sz="4" w:space="0"/>
              <w:bottom w:val="single" w:color="auto" w:sz="4" w:space="0"/>
            </w:tcBorders>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只能有一个有效报价</w:t>
            </w:r>
          </w:p>
        </w:tc>
      </w:tr>
    </w:tbl>
    <w:p>
      <w:pPr>
        <w:spacing w:line="480" w:lineRule="exact"/>
        <w:ind w:firstLine="413" w:firstLineChars="196"/>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1.2资格审查（资格后审）</w:t>
      </w:r>
    </w:p>
    <w:p>
      <w:pPr>
        <w:spacing w:line="48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评标委员会对通过上一阶段评审的投标人资格对照招标文件投标人须知的规定要求进行审查，只有通过资格审查的投标人方可进行下一阶段的评审。</w:t>
      </w:r>
    </w:p>
    <w:tbl>
      <w:tblPr>
        <w:tblStyle w:val="42"/>
        <w:tblW w:w="824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4"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评审因素</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营业执照</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资质等级</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项目负责人</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项目组人员及授权委托人</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信誉</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授权委托人、拟派项目负责人和项目部主要组成人员养老</w:t>
            </w:r>
          </w:p>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保险证明</w:t>
            </w:r>
          </w:p>
        </w:tc>
        <w:tc>
          <w:tcPr>
            <w:tcW w:w="5245"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按招标文件要求提交，养老保险缴纳起止时间符合要求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其他要求</w:t>
            </w:r>
          </w:p>
        </w:tc>
        <w:tc>
          <w:tcPr>
            <w:tcW w:w="5245"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符合第二章“投标人须知”第1.4.1项规定</w:t>
            </w:r>
          </w:p>
        </w:tc>
      </w:tr>
    </w:tbl>
    <w:p>
      <w:pPr>
        <w:spacing w:line="48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1.3响应性审查</w:t>
      </w:r>
    </w:p>
    <w:p>
      <w:pPr>
        <w:spacing w:line="480" w:lineRule="exact"/>
        <w:ind w:firstLine="525" w:firstLineChars="25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对招标文件要求的服务时间、服务质量要求、保证金、履约担保、投标有效期等实质性要求的响应性进行评审，未响应作无效标书处理。</w:t>
      </w:r>
    </w:p>
    <w:tbl>
      <w:tblPr>
        <w:tblStyle w:val="42"/>
        <w:tblW w:w="70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评审因素</w:t>
            </w:r>
          </w:p>
        </w:tc>
        <w:tc>
          <w:tcPr>
            <w:tcW w:w="4621" w:type="dxa"/>
          </w:tcPr>
          <w:p>
            <w:pPr>
              <w:spacing w:line="480" w:lineRule="exact"/>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投标内容</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服务时间</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服务质量要求</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符合第二章“投标人须知”第1.3.3条规定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投标有效期</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符合第二章“投标人须知”第3.3条规定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tcPr>
          <w:p>
            <w:pPr>
              <w:spacing w:line="480" w:lineRule="exact"/>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投标保证金</w:t>
            </w:r>
          </w:p>
        </w:tc>
        <w:tc>
          <w:tcPr>
            <w:tcW w:w="4621" w:type="dxa"/>
          </w:tcPr>
          <w:p>
            <w:pPr>
              <w:spacing w:line="48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符合第二章“投标人须知”第3.4条规定</w:t>
            </w:r>
          </w:p>
        </w:tc>
      </w:tr>
    </w:tbl>
    <w:p>
      <w:pPr>
        <w:widowControl/>
        <w:spacing w:line="480" w:lineRule="exact"/>
        <w:ind w:left="0" w:right="0" w:righ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val="0"/>
          <w:color w:val="000000" w:themeColor="text1"/>
          <w:szCs w:val="21"/>
          <w:lang w:eastAsia="zh-CN"/>
          <w14:textFill>
            <w14:solidFill>
              <w14:schemeClr w14:val="tx1"/>
            </w14:solidFill>
          </w14:textFill>
        </w:rPr>
        <w:t>二</w:t>
      </w:r>
      <w:r>
        <w:rPr>
          <w:rFonts w:hint="eastAsia" w:asciiTheme="minorEastAsia" w:hAnsiTheme="minorEastAsia" w:eastAsiaTheme="minorEastAsia" w:cstheme="minorEastAsia"/>
          <w:b/>
          <w:bCs w:val="0"/>
          <w:color w:val="000000" w:themeColor="text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详细</w:t>
      </w:r>
      <w:r>
        <w:rPr>
          <w:rFonts w:hint="eastAsia" w:asciiTheme="minorEastAsia" w:hAnsiTheme="minorEastAsia" w:eastAsiaTheme="minorEastAsia" w:cstheme="minorEastAsia"/>
          <w:b/>
          <w:color w:val="000000" w:themeColor="text1"/>
          <w:sz w:val="21"/>
          <w:szCs w:val="21"/>
          <w14:textFill>
            <w14:solidFill>
              <w14:schemeClr w14:val="tx1"/>
            </w14:solidFill>
          </w14:textFill>
        </w:rPr>
        <w:t>评审　</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对通过</w:t>
      </w:r>
      <w:r>
        <w:rPr>
          <w:rFonts w:hint="eastAsia" w:ascii="宋体" w:hAnsi="宋体"/>
          <w:sz w:val="21"/>
          <w:szCs w:val="21"/>
          <w:lang w:eastAsia="zh-CN"/>
        </w:rPr>
        <w:t>初步</w:t>
      </w:r>
      <w:r>
        <w:rPr>
          <w:rFonts w:hint="eastAsia" w:ascii="宋体" w:hAnsi="宋体"/>
          <w:sz w:val="21"/>
          <w:szCs w:val="21"/>
        </w:rPr>
        <w:t>评审的标书进行商务性评审，商务性评审按以下顺序进行：</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1.1</w:t>
      </w:r>
      <w:r>
        <w:rPr>
          <w:rFonts w:hint="eastAsia" w:ascii="宋体" w:hAnsi="宋体"/>
          <w:sz w:val="21"/>
          <w:szCs w:val="21"/>
        </w:rPr>
        <w:t>在所有阶段评审中均未被认定为废标。</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cs="宋体"/>
          <w:color w:val="000000"/>
          <w:kern w:val="0"/>
          <w:sz w:val="21"/>
          <w:szCs w:val="21"/>
        </w:rPr>
      </w:pPr>
      <w:r>
        <w:rPr>
          <w:rFonts w:hint="eastAsia" w:ascii="宋体" w:hAnsi="宋体"/>
          <w:sz w:val="21"/>
          <w:szCs w:val="21"/>
          <w:lang w:val="en-US" w:eastAsia="zh-CN"/>
        </w:rPr>
        <w:t>1.2</w:t>
      </w:r>
      <w:r>
        <w:rPr>
          <w:rFonts w:hint="eastAsia" w:ascii="宋体" w:hAnsi="宋体"/>
          <w:sz w:val="21"/>
          <w:szCs w:val="21"/>
        </w:rPr>
        <w:t>投标人的报价经评审不低于成本，</w:t>
      </w:r>
      <w:r>
        <w:rPr>
          <w:rFonts w:hint="eastAsia" w:ascii="宋体" w:hAnsi="宋体" w:cs="宋体"/>
          <w:color w:val="000000"/>
          <w:kern w:val="0"/>
          <w:sz w:val="21"/>
          <w:szCs w:val="21"/>
        </w:rPr>
        <w:t>不得出现重大漏项，评标委员会认为投标人的投标报价有可能低于个别成本或出现重大漏项时，应当要求投标人以书面方式作出澄清，并提供相关证明材料后再进行认定。本项目为防止出现过低报价造成恶性竞争，投标人报价低于所有有效投标报价的算术平均值*A%的视同低于企业成本，作废标处理(A%在97%、98%中由投标人代表随机抽取）；有效投标报价仅有两家时，不采用上述系数方法。</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1.3</w:t>
      </w:r>
      <w:r>
        <w:rPr>
          <w:rFonts w:hint="eastAsia" w:ascii="宋体" w:hAnsi="宋体"/>
          <w:sz w:val="21"/>
          <w:szCs w:val="21"/>
        </w:rPr>
        <w:t>投标文件未遗漏或调整招标文件清单内容等。</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1.4</w:t>
      </w:r>
      <w:r>
        <w:rPr>
          <w:rFonts w:hint="eastAsia" w:ascii="宋体" w:hAnsi="宋体"/>
          <w:sz w:val="21"/>
          <w:szCs w:val="21"/>
        </w:rPr>
        <w:t>投标人的报价不高于招标控制价。</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rPr>
        <w:t>上述</w:t>
      </w:r>
      <w:r>
        <w:rPr>
          <w:rFonts w:hint="eastAsia" w:ascii="宋体" w:hAnsi="宋体"/>
          <w:sz w:val="21"/>
          <w:szCs w:val="21"/>
          <w:lang w:val="en-US" w:eastAsia="zh-CN"/>
        </w:rPr>
        <w:t>1.1</w:t>
      </w:r>
      <w:r>
        <w:rPr>
          <w:rFonts w:hint="eastAsia" w:ascii="宋体" w:hAnsi="宋体"/>
          <w:sz w:val="21"/>
          <w:szCs w:val="21"/>
        </w:rPr>
        <w:t>至</w:t>
      </w:r>
      <w:r>
        <w:rPr>
          <w:rFonts w:hint="eastAsia" w:ascii="宋体" w:hAnsi="宋体"/>
          <w:sz w:val="21"/>
          <w:szCs w:val="21"/>
          <w:lang w:val="en-US" w:eastAsia="zh-CN"/>
        </w:rPr>
        <w:t>1.4</w:t>
      </w:r>
      <w:r>
        <w:rPr>
          <w:rFonts w:hint="eastAsia" w:ascii="宋体" w:hAnsi="宋体"/>
          <w:sz w:val="21"/>
          <w:szCs w:val="21"/>
        </w:rPr>
        <w:t>项按顺序进行评审，前一项未通过的不参与下一项的评审，不符合上述</w:t>
      </w:r>
      <w:r>
        <w:rPr>
          <w:rFonts w:hint="eastAsia" w:ascii="宋体" w:hAnsi="宋体"/>
          <w:sz w:val="21"/>
          <w:szCs w:val="21"/>
          <w:lang w:val="en-US" w:eastAsia="zh-CN"/>
        </w:rPr>
        <w:t>1.1</w:t>
      </w:r>
      <w:r>
        <w:rPr>
          <w:rFonts w:hint="eastAsia" w:ascii="宋体" w:hAnsi="宋体"/>
          <w:sz w:val="21"/>
          <w:szCs w:val="21"/>
        </w:rPr>
        <w:t>至</w:t>
      </w:r>
      <w:r>
        <w:rPr>
          <w:rFonts w:hint="eastAsia" w:ascii="宋体" w:hAnsi="宋体"/>
          <w:sz w:val="21"/>
          <w:szCs w:val="21"/>
          <w:lang w:val="en-US" w:eastAsia="zh-CN"/>
        </w:rPr>
        <w:t>1.4</w:t>
      </w:r>
      <w:r>
        <w:rPr>
          <w:rFonts w:hint="eastAsia" w:ascii="宋体" w:hAnsi="宋体"/>
          <w:sz w:val="21"/>
          <w:szCs w:val="21"/>
        </w:rPr>
        <w:t>项任意一项要求的，不予通过商务性评审。</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exact"/>
        <w:ind w:left="1" w:right="-4" w:rightChars="-2" w:firstLine="48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 xml:space="preserve">、定标办法： </w:t>
      </w:r>
    </w:p>
    <w:p>
      <w:pPr>
        <w:spacing w:line="360" w:lineRule="exact"/>
        <w:ind w:left="38" w:leftChars="18" w:firstLine="443" w:firstLineChars="211"/>
        <w:rPr>
          <w:rFonts w:hint="eastAsia" w:ascii="宋体" w:hAnsi="宋体"/>
          <w:sz w:val="21"/>
          <w:szCs w:val="21"/>
        </w:rPr>
      </w:pPr>
      <w:r>
        <w:rPr>
          <w:rFonts w:hint="eastAsia" w:ascii="宋体" w:hAnsi="宋体"/>
          <w:sz w:val="21"/>
          <w:szCs w:val="21"/>
          <w:lang w:val="en-US" w:eastAsia="zh-CN"/>
        </w:rPr>
        <w:t>2.1</w:t>
      </w:r>
      <w:r>
        <w:rPr>
          <w:rFonts w:hint="eastAsia" w:ascii="宋体" w:hAnsi="宋体"/>
          <w:sz w:val="21"/>
          <w:szCs w:val="21"/>
        </w:rPr>
        <w:t>、对于通过</w:t>
      </w:r>
      <w:r>
        <w:rPr>
          <w:rFonts w:hint="eastAsia" w:ascii="宋体" w:hAnsi="宋体"/>
          <w:sz w:val="21"/>
          <w:szCs w:val="21"/>
          <w:lang w:eastAsia="zh-CN"/>
        </w:rPr>
        <w:t>初步</w:t>
      </w:r>
      <w:r>
        <w:rPr>
          <w:rFonts w:hint="eastAsia" w:ascii="宋体" w:hAnsi="宋体"/>
          <w:sz w:val="21"/>
          <w:szCs w:val="21"/>
        </w:rPr>
        <w:t>评审和</w:t>
      </w:r>
      <w:r>
        <w:rPr>
          <w:rFonts w:hint="eastAsia" w:ascii="宋体" w:hAnsi="宋体"/>
          <w:sz w:val="21"/>
          <w:szCs w:val="21"/>
          <w:lang w:eastAsia="zh-CN"/>
        </w:rPr>
        <w:t>详细</w:t>
      </w:r>
      <w:r>
        <w:rPr>
          <w:rFonts w:hint="eastAsia" w:ascii="宋体" w:hAnsi="宋体"/>
          <w:sz w:val="21"/>
          <w:szCs w:val="21"/>
        </w:rPr>
        <w:t>评审的投标人，评标委员会按其投标报价由低到高推荐</w:t>
      </w:r>
      <w:r>
        <w:rPr>
          <w:rFonts w:hint="eastAsia" w:ascii="宋体" w:hAnsi="宋体"/>
          <w:sz w:val="21"/>
          <w:szCs w:val="21"/>
          <w:u w:val="single"/>
        </w:rPr>
        <w:t>　</w:t>
      </w:r>
      <w:r>
        <w:rPr>
          <w:rFonts w:hint="eastAsia" w:ascii="宋体" w:hAnsi="宋体"/>
          <w:sz w:val="21"/>
          <w:szCs w:val="21"/>
          <w:u w:val="single"/>
          <w:lang w:val="en-US" w:eastAsia="zh-CN"/>
        </w:rPr>
        <w:t>1</w:t>
      </w:r>
      <w:r>
        <w:rPr>
          <w:rFonts w:hint="eastAsia" w:ascii="宋体" w:hAnsi="宋体"/>
          <w:sz w:val="21"/>
          <w:szCs w:val="21"/>
        </w:rPr>
        <w:t xml:space="preserve">名有排序的中标候选人。投标人的投标报价相等时，由评标委员会通过抽签的方式确定中标候选人的排序。 </w:t>
      </w:r>
      <w:r>
        <w:rPr>
          <w:rFonts w:hint="eastAsia" w:ascii="宋体" w:hAnsi="宋体"/>
          <w:sz w:val="21"/>
          <w:szCs w:val="21"/>
        </w:rPr>
        <w:cr/>
      </w:r>
      <w:r>
        <w:rPr>
          <w:rFonts w:hint="eastAsia" w:ascii="宋体" w:hAnsi="宋体"/>
          <w:sz w:val="21"/>
          <w:szCs w:val="21"/>
        </w:rPr>
        <w:t xml:space="preserve">    </w:t>
      </w:r>
      <w:r>
        <w:rPr>
          <w:rFonts w:hint="eastAsia" w:ascii="宋体" w:hAnsi="宋体"/>
          <w:sz w:val="21"/>
          <w:szCs w:val="21"/>
          <w:lang w:val="en-US" w:eastAsia="zh-CN"/>
        </w:rPr>
        <w:t>2.</w:t>
      </w:r>
      <w:r>
        <w:rPr>
          <w:rFonts w:hint="eastAsia" w:ascii="宋体" w:hAnsi="宋体"/>
          <w:sz w:val="21"/>
          <w:szCs w:val="21"/>
        </w:rPr>
        <w:t>2、招标人根据评标委员会推荐的中标候选人，招标人当场确定排名第一的中标候选人为最终中标人。</w:t>
      </w:r>
    </w:p>
    <w:p>
      <w:pPr>
        <w:autoSpaceDE w:val="0"/>
        <w:autoSpaceDN w:val="0"/>
        <w:adjustRightInd w:val="0"/>
        <w:spacing w:line="360" w:lineRule="exact"/>
        <w:ind w:firstLine="480"/>
        <w:jc w:val="left"/>
        <w:rPr>
          <w:rFonts w:hint="eastAsia" w:ascii="宋体" w:hAnsi="宋体"/>
          <w:sz w:val="24"/>
        </w:rPr>
      </w:pPr>
      <w:r>
        <w:rPr>
          <w:rFonts w:hint="eastAsia" w:ascii="宋体" w:hAnsi="宋体"/>
          <w:sz w:val="21"/>
          <w:szCs w:val="21"/>
          <w:lang w:val="en-US" w:eastAsia="zh-CN"/>
        </w:rPr>
        <w:t>2.3</w:t>
      </w:r>
      <w:r>
        <w:rPr>
          <w:rFonts w:hint="eastAsia" w:ascii="宋体" w:hAnsi="宋体"/>
          <w:sz w:val="21"/>
          <w:szCs w:val="21"/>
        </w:rPr>
        <w:t>3、对不中标的候选人，招标人有权不作任何解释。</w:t>
      </w:r>
    </w:p>
    <w:p>
      <w:pPr>
        <w:spacing w:line="480" w:lineRule="exact"/>
        <w:ind w:firstLine="422" w:firstLineChars="200"/>
        <w:jc w:val="left"/>
        <w:rPr>
          <w:rFonts w:asciiTheme="minorEastAsia" w:hAnsiTheme="minorEastAsia" w:eastAsiaTheme="minorEastAsia" w:cs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Cs w:val="21"/>
          <w:highlight w:val="none"/>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Cs w:val="21"/>
          <w:highlight w:val="none"/>
          <w14:textFill>
            <w14:solidFill>
              <w14:schemeClr w14:val="tx1"/>
            </w14:solidFill>
          </w14:textFill>
        </w:rPr>
        <w:t>、其它</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1、本办法未述及的事宜，由评标委员会依据法律法规处置。</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2、不符合法律、法规规定，出现《盐城市市场廉政准入规定（试行）》限制情形的，按照规定予以无效标处置。</w:t>
      </w:r>
    </w:p>
    <w:p>
      <w:pPr>
        <w:spacing w:line="480" w:lineRule="exact"/>
        <w:ind w:firstLine="420" w:firstLineChars="200"/>
        <w:jc w:val="lef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3、经审查为虚假材料的，按无效标书处理。</w:t>
      </w:r>
    </w:p>
    <w:p>
      <w:pPr>
        <w:spacing w:line="480" w:lineRule="exact"/>
        <w:jc w:val="center"/>
        <w:rPr>
          <w:rFonts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32"/>
          <w:szCs w:val="32"/>
          <w14:textFill>
            <w14:solidFill>
              <w14:schemeClr w14:val="tx1"/>
            </w14:solidFill>
          </w14:textFill>
        </w:rPr>
        <w:t>二、通用评标规则</w:t>
      </w:r>
    </w:p>
    <w:p>
      <w:pPr>
        <w:snapToGrid w:val="0"/>
        <w:spacing w:line="480" w:lineRule="exact"/>
        <w:ind w:firstLine="657" w:firstLineChars="274"/>
        <w:rPr>
          <w:rFonts w:asciiTheme="minorEastAsia" w:hAnsiTheme="minorEastAsia" w:eastAsiaTheme="minorEastAsia" w:cstheme="minorEastAsia"/>
          <w:color w:val="000000" w:themeColor="text1"/>
          <w:sz w:val="24"/>
          <w14:textFill>
            <w14:solidFill>
              <w14:schemeClr w14:val="tx1"/>
            </w14:solidFill>
          </w14:textFill>
        </w:rPr>
      </w:pP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为进一步规范本次招标项目的评标、定标工作，制定本规则。</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一、评标程序：</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资格审查材料、技术标书、商务标书应分别评审，评审后不得更改。</w:t>
      </w:r>
    </w:p>
    <w:p>
      <w:pPr>
        <w:snapToGrid w:val="0"/>
        <w:spacing w:line="460" w:lineRule="exact"/>
        <w:ind w:firstLine="575" w:firstLineChars="27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二、不规范标书：评标审查中有发现投标书或投标人行为属不规范者，评标办法采用合理低价法的，经评标委员会认定后减0.3—2分；</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打分：评委应记名打分，打分未记名的和未按招标文件规定的打分办法打分的，一律按无效票处理。技术类评委打分：当评标委员会成员为5人时，取所有评委的有效分值进行计分、汇总；当评标委员会成员多于5人时，按大项在所有成员中去掉一个最高评分和一个最低评分后的算术平均值作为投标人该项得分（有项目负责人陈述及答辩的，取各单位项目实施方案得分与项目负责人陈述及答辨得分之和后，去掉一个最高评分和一个最低评分后的算术平均值作为投标人该项得分）。每大项记分保留三位小数(第四位四舍五入)；总得分保留二位小数(第三位四舍五入)。</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五、得分并列：投标人得分并列的，须明确中标候选人或需对中标候选人排序的，由评标委员会抽签进行排序。</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六、投标文件中有评标委员会认为需要投标人作出必要澄清、说明的，投标人在接到通知后应当在规定的时间前赶到指定地点接受质询。逾期未赶到的，作自动放弃处理。投标人的澄清、说明应当采用书面形式，并不得超出投标文件的范围或者改变投标文件的实质性内容。</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评标委员会不得暗示或者诱导投标人作出澄清、说明，不得接受投标人主动提出的澄清、说明。</w:t>
      </w:r>
    </w:p>
    <w:p>
      <w:pPr>
        <w:snapToGrid w:val="0"/>
        <w:spacing w:line="460" w:lineRule="exact"/>
        <w:ind w:left="120" w:leftChars="57" w:firstLine="470" w:firstLineChars="224"/>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七、争议处理：评标中发生重大情况或重大争议，需要进一步调查了解、协调处理的，现场监督人员报盐城市大丰区招标采购管理办公室同意后可暂时休会，待有关问题得到澄清后再行复会。休会期间，所有招投标资料一律封存盐城市大丰区招标采购交易中心档案室，所有与会人员一律不得泄露评标情况。</w:t>
      </w:r>
    </w:p>
    <w:p>
      <w:pPr>
        <w:snapToGrid w:val="0"/>
        <w:spacing w:line="460" w:lineRule="exact"/>
        <w:ind w:left="120" w:leftChars="57" w:firstLine="470" w:firstLineChars="224"/>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八、违法违纪行为：在招投标过程中发生行贿受贿、扰乱招投标活动秩序及其他严重违法违纪行为的，一律取消有关责任人参与招投标活动的资格；已有评审结果的，应宣布评审结果无效。</w:t>
      </w:r>
      <w:bookmarkEnd w:id="65"/>
      <w:bookmarkEnd w:id="66"/>
      <w:bookmarkEnd w:id="67"/>
      <w:bookmarkEnd w:id="68"/>
    </w:p>
    <w:p>
      <w:pPr>
        <w:pStyle w:val="3"/>
        <w:spacing w:line="540" w:lineRule="exact"/>
        <w:jc w:val="center"/>
        <w:rPr>
          <w:rFonts w:asciiTheme="minorEastAsia" w:hAnsiTheme="minorEastAsia" w:eastAsiaTheme="minorEastAsia" w:cstheme="minorEastAsia"/>
          <w:b w:val="0"/>
          <w:color w:val="000000" w:themeColor="text1"/>
          <w:szCs w:val="21"/>
          <w14:textFill>
            <w14:solidFill>
              <w14:schemeClr w14:val="tx1"/>
            </w14:solidFill>
          </w14:textFill>
        </w:rPr>
      </w:pPr>
      <w:bookmarkStart w:id="73" w:name="_Toc398107898"/>
      <w:r>
        <w:rPr>
          <w:rFonts w:hint="eastAsia" w:asciiTheme="minorEastAsia" w:hAnsiTheme="minorEastAsia" w:eastAsiaTheme="minorEastAsia" w:cstheme="minorEastAsia"/>
          <w:color w:val="000000" w:themeColor="text1"/>
          <w14:textFill>
            <w14:solidFill>
              <w14:schemeClr w14:val="tx1"/>
            </w14:solidFill>
          </w14:textFill>
        </w:rPr>
        <w:br w:type="page"/>
      </w:r>
      <w:bookmarkEnd w:id="73"/>
    </w:p>
    <w:p>
      <w:pPr>
        <w:jc w:val="center"/>
        <w:rPr>
          <w:rFonts w:ascii="黑体" w:eastAsia="黑体"/>
          <w:b/>
          <w:color w:val="000000" w:themeColor="text1"/>
          <w:sz w:val="44"/>
          <w:szCs w:val="44"/>
          <w14:textFill>
            <w14:solidFill>
              <w14:schemeClr w14:val="tx1"/>
            </w14:solidFill>
          </w14:textFill>
        </w:rPr>
      </w:pPr>
      <w:bookmarkStart w:id="74" w:name="_Toc398107926"/>
      <w:r>
        <w:rPr>
          <w:rFonts w:hint="eastAsia" w:ascii="黑体" w:eastAsia="黑体"/>
          <w:b/>
          <w:color w:val="000000" w:themeColor="text1"/>
          <w:sz w:val="44"/>
          <w:szCs w:val="44"/>
          <w14:textFill>
            <w14:solidFill>
              <w14:schemeClr w14:val="tx1"/>
            </w14:solidFill>
          </w14:textFill>
        </w:rPr>
        <w:t>第四章 合同条款</w:t>
      </w:r>
    </w:p>
    <w:p>
      <w:pPr>
        <w:jc w:val="center"/>
        <w:rPr>
          <w:rFonts w:ascii="黑体" w:eastAsia="黑体"/>
          <w:b/>
          <w:color w:val="000000" w:themeColor="text1"/>
          <w:sz w:val="44"/>
          <w:szCs w:val="44"/>
          <w14:textFill>
            <w14:solidFill>
              <w14:schemeClr w14:val="tx1"/>
            </w14:solidFill>
          </w14:textFill>
        </w:rPr>
      </w:pPr>
    </w:p>
    <w:p>
      <w:pPr>
        <w:jc w:val="center"/>
        <w:rPr>
          <w:rFonts w:ascii="黑体" w:eastAsia="黑体"/>
          <w:b/>
          <w:color w:val="000000" w:themeColor="text1"/>
          <w:sz w:val="44"/>
          <w:szCs w:val="44"/>
          <w14:textFill>
            <w14:solidFill>
              <w14:schemeClr w14:val="tx1"/>
            </w14:solidFill>
          </w14:textFill>
        </w:rPr>
      </w:pPr>
    </w:p>
    <w:p>
      <w:pPr>
        <w:spacing w:line="440" w:lineRule="exact"/>
        <w:jc w:val="center"/>
        <w:rPr>
          <w:rFonts w:ascii="宋体" w:cs="宋体"/>
          <w:b/>
          <w:bCs/>
          <w:color w:val="000000" w:themeColor="text1"/>
          <w:kern w:val="0"/>
          <w:sz w:val="32"/>
          <w:szCs w:val="32"/>
          <w14:textFill>
            <w14:solidFill>
              <w14:schemeClr w14:val="tx1"/>
            </w14:solidFill>
          </w14:textFill>
        </w:rPr>
      </w:pPr>
    </w:p>
    <w:p>
      <w:pPr>
        <w:spacing w:line="600" w:lineRule="exact"/>
        <w:rPr>
          <w:rFonts w:ascii="宋体" w:cs="宋体"/>
          <w:b/>
          <w:color w:val="000000" w:themeColor="text1"/>
          <w:sz w:val="32"/>
          <w:szCs w:val="32"/>
          <w14:textFill>
            <w14:solidFill>
              <w14:schemeClr w14:val="tx1"/>
            </w14:solidFill>
          </w14:textFill>
        </w:rPr>
      </w:pPr>
    </w:p>
    <w:p>
      <w:pPr>
        <w:spacing w:line="360" w:lineRule="auto"/>
        <w:jc w:val="center"/>
        <w:rPr>
          <w:rFonts w:asci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建设工程</w:t>
      </w:r>
      <w:r>
        <w:rPr>
          <w:rFonts w:hint="eastAsia" w:ascii="宋体" w:hAnsi="宋体" w:cs="宋体"/>
          <w:b/>
          <w:bCs/>
          <w:color w:val="000000" w:themeColor="text1"/>
          <w:sz w:val="52"/>
          <w:szCs w:val="52"/>
          <w:lang w:eastAsia="zh-CN"/>
          <w14:textFill>
            <w14:solidFill>
              <w14:schemeClr w14:val="tx1"/>
            </w14:solidFill>
          </w14:textFill>
        </w:rPr>
        <w:t>搬迁</w:t>
      </w:r>
      <w:r>
        <w:rPr>
          <w:rFonts w:hint="eastAsia" w:ascii="宋体" w:hAnsi="宋体" w:cs="宋体"/>
          <w:b/>
          <w:bCs/>
          <w:color w:val="000000" w:themeColor="text1"/>
          <w:sz w:val="52"/>
          <w:szCs w:val="52"/>
          <w14:textFill>
            <w14:solidFill>
              <w14:schemeClr w14:val="tx1"/>
            </w14:solidFill>
          </w14:textFill>
        </w:rPr>
        <w:t>合同</w:t>
      </w:r>
    </w:p>
    <w:p>
      <w:pPr>
        <w:spacing w:line="600" w:lineRule="exact"/>
        <w:jc w:val="center"/>
        <w:rPr>
          <w:rFonts w:asci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（示范文本）</w:t>
      </w: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600" w:lineRule="exact"/>
        <w:jc w:val="center"/>
        <w:rPr>
          <w:rFonts w:ascii="宋体" w:cs="宋体"/>
          <w:b/>
          <w:bCs/>
          <w:color w:val="000000" w:themeColor="text1"/>
          <w:sz w:val="52"/>
          <w:szCs w:val="52"/>
          <w14:textFill>
            <w14:solidFill>
              <w14:schemeClr w14:val="tx1"/>
            </w14:solidFill>
          </w14:textFill>
        </w:rPr>
      </w:pPr>
    </w:p>
    <w:p>
      <w:pPr>
        <w:spacing w:line="360" w:lineRule="auto"/>
        <w:jc w:val="center"/>
        <w:rPr>
          <w:rFonts w:ascii="宋体" w:cs="宋体"/>
          <w:b/>
          <w:color w:val="000000" w:themeColor="text1"/>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住房和城乡建设部</w:t>
      </w:r>
    </w:p>
    <w:p>
      <w:pPr>
        <w:spacing w:line="360" w:lineRule="auto"/>
        <w:jc w:val="center"/>
        <w:rPr>
          <w:rFonts w:asci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                                 制定</w:t>
      </w:r>
    </w:p>
    <w:p>
      <w:pPr>
        <w:spacing w:line="600" w:lineRule="exact"/>
        <w:jc w:val="center"/>
        <w:rPr>
          <w:rFonts w:asci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国家工商行政管理总局</w:t>
      </w:r>
    </w:p>
    <w:p>
      <w:pPr>
        <w:spacing w:line="360" w:lineRule="auto"/>
        <w:ind w:firstLine="420" w:firstLineChars="200"/>
        <w:rPr>
          <w:rFonts w:hint="eastAsia" w:ascii="宋体" w:hAnsi="宋体" w:cs="宋体"/>
          <w:sz w:val="21"/>
          <w:szCs w:val="21"/>
          <w:u w:val="single"/>
        </w:rPr>
      </w:pPr>
      <w:r>
        <w:rPr>
          <w:color w:val="000000" w:themeColor="text1"/>
          <w14:textFill>
            <w14:solidFill>
              <w14:schemeClr w14:val="tx1"/>
            </w14:solidFill>
          </w14:textFill>
        </w:rPr>
        <w:br w:type="page"/>
      </w:r>
      <w:bookmarkEnd w:id="74"/>
      <w:r>
        <w:rPr>
          <w:rFonts w:hint="eastAsia" w:ascii="宋体" w:hAnsi="宋体" w:cs="宋体"/>
          <w:sz w:val="21"/>
          <w:szCs w:val="21"/>
        </w:rPr>
        <w:t>委托单位（房屋征收搬迁部门）：</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职务：</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受委托单位（房屋征收搬迁实施单位）：</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rPr>
        <w:t>法定代表人：</w:t>
      </w:r>
      <w:r>
        <w:rPr>
          <w:rFonts w:hint="eastAsia" w:ascii="宋体" w:hAnsi="宋体" w:cs="宋体"/>
          <w:sz w:val="21"/>
          <w:szCs w:val="21"/>
          <w:u w:val="single"/>
        </w:rPr>
        <w:t xml:space="preserve">               </w:t>
      </w:r>
      <w:r>
        <w:rPr>
          <w:rFonts w:hint="eastAsia" w:ascii="宋体" w:hAnsi="宋体" w:cs="宋体"/>
          <w:sz w:val="21"/>
          <w:szCs w:val="21"/>
        </w:rPr>
        <w:t>职务：</w:t>
      </w:r>
      <w:r>
        <w:rPr>
          <w:rFonts w:hint="eastAsia" w:ascii="宋体" w:hAnsi="宋体" w:cs="宋体"/>
          <w:sz w:val="21"/>
          <w:szCs w:val="21"/>
          <w:u w:val="single"/>
        </w:rPr>
        <w:t xml:space="preserve">              </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依据《国有土地上房屋征收与补偿条例》和其他有关法律法规的规定，委托单位</w:t>
      </w:r>
      <w:r>
        <w:rPr>
          <w:rFonts w:hint="eastAsia" w:ascii="宋体" w:hAnsi="宋体" w:cs="宋体"/>
          <w:sz w:val="21"/>
          <w:szCs w:val="21"/>
          <w:u w:val="single"/>
        </w:rPr>
        <w:t xml:space="preserve">              </w:t>
      </w:r>
      <w:r>
        <w:rPr>
          <w:rFonts w:hint="eastAsia" w:ascii="宋体" w:hAnsi="宋体" w:cs="宋体"/>
          <w:sz w:val="21"/>
          <w:szCs w:val="21"/>
        </w:rPr>
        <w:t>将</w:t>
      </w:r>
      <w:r>
        <w:rPr>
          <w:rFonts w:hint="eastAsia" w:ascii="宋体" w:hAnsi="宋体" w:cs="宋体"/>
          <w:sz w:val="21"/>
          <w:szCs w:val="21"/>
          <w:u w:val="single"/>
        </w:rPr>
        <w:t xml:space="preserve">                </w:t>
      </w:r>
      <w:r>
        <w:rPr>
          <w:rFonts w:hint="eastAsia" w:ascii="宋体" w:hAnsi="宋体" w:cs="宋体"/>
          <w:sz w:val="21"/>
          <w:szCs w:val="21"/>
        </w:rPr>
        <w:t>征收搬迁范围内的房屋及其附属物征收搬迁与补偿安置的具体工作委托受委托单位</w:t>
      </w:r>
      <w:r>
        <w:rPr>
          <w:rFonts w:hint="eastAsia" w:ascii="宋体" w:hAnsi="宋体" w:cs="宋体"/>
          <w:sz w:val="21"/>
          <w:szCs w:val="21"/>
          <w:u w:val="single"/>
        </w:rPr>
        <w:t xml:space="preserve">             </w:t>
      </w:r>
      <w:r>
        <w:rPr>
          <w:rFonts w:hint="eastAsia" w:ascii="宋体" w:hAnsi="宋体" w:cs="宋体"/>
          <w:sz w:val="21"/>
          <w:szCs w:val="21"/>
        </w:rPr>
        <w:t>组织实施。</w:t>
      </w:r>
    </w:p>
    <w:p>
      <w:pPr>
        <w:spacing w:line="360" w:lineRule="auto"/>
        <w:rPr>
          <w:rFonts w:hint="eastAsia" w:ascii="宋体" w:hAnsi="宋体" w:cs="宋体"/>
          <w:sz w:val="21"/>
          <w:szCs w:val="21"/>
        </w:rPr>
      </w:pPr>
      <w:r>
        <w:rPr>
          <w:rFonts w:hint="eastAsia" w:ascii="宋体" w:hAnsi="宋体" w:cs="宋体"/>
          <w:sz w:val="21"/>
          <w:szCs w:val="21"/>
        </w:rPr>
        <w:t xml:space="preserve">   一、委托事项</w:t>
      </w:r>
    </w:p>
    <w:p>
      <w:pPr>
        <w:spacing w:line="360" w:lineRule="auto"/>
        <w:rPr>
          <w:rFonts w:hint="eastAsia" w:ascii="宋体" w:hAnsi="宋体" w:cs="宋体"/>
          <w:sz w:val="21"/>
          <w:szCs w:val="21"/>
        </w:rPr>
      </w:pPr>
      <w:r>
        <w:rPr>
          <w:rFonts w:hint="eastAsia" w:ascii="宋体" w:hAnsi="宋体" w:cs="宋体"/>
          <w:sz w:val="21"/>
          <w:szCs w:val="21"/>
        </w:rPr>
        <w:t xml:space="preserve">   1.征收搬迁补偿方案编制前，协助对征收搬迁范围内房屋的权属、区位、用途、建筑面积等现状进行调查、登记；向相关部门调取被征收搬迁范围内房屋的土地、规划、房产等手续；向民政部门、街道办事处（居委会）、社区调取被征收搬迁人是否符合住房保障条件情况。</w:t>
      </w:r>
    </w:p>
    <w:p>
      <w:pPr>
        <w:spacing w:line="360" w:lineRule="auto"/>
        <w:rPr>
          <w:rFonts w:hint="eastAsia" w:ascii="宋体" w:hAnsi="宋体" w:cs="宋体"/>
          <w:sz w:val="21"/>
          <w:szCs w:val="21"/>
        </w:rPr>
      </w:pPr>
      <w:r>
        <w:rPr>
          <w:rFonts w:hint="eastAsia" w:ascii="宋体" w:hAnsi="宋体" w:cs="宋体"/>
          <w:sz w:val="21"/>
          <w:szCs w:val="21"/>
        </w:rPr>
        <w:t xml:space="preserve">   2.协助编制、报批、公示征收搬迁补偿方案，进行房屋征收搬迁与补偿政策的宣传、解释。</w:t>
      </w:r>
    </w:p>
    <w:p>
      <w:pPr>
        <w:spacing w:line="360" w:lineRule="auto"/>
        <w:rPr>
          <w:rFonts w:hint="eastAsia" w:ascii="宋体" w:hAnsi="宋体" w:cs="宋体"/>
          <w:sz w:val="21"/>
          <w:szCs w:val="21"/>
        </w:rPr>
      </w:pPr>
      <w:r>
        <w:rPr>
          <w:rFonts w:hint="eastAsia" w:ascii="宋体" w:hAnsi="宋体" w:cs="宋体"/>
          <w:sz w:val="21"/>
          <w:szCs w:val="21"/>
        </w:rPr>
        <w:t xml:space="preserve">   3.协助编制社会稳定风险评估报告。</w:t>
      </w:r>
    </w:p>
    <w:p>
      <w:pPr>
        <w:spacing w:line="360" w:lineRule="auto"/>
        <w:rPr>
          <w:rFonts w:hint="eastAsia" w:ascii="宋体" w:hAnsi="宋体" w:cs="宋体"/>
          <w:sz w:val="21"/>
          <w:szCs w:val="21"/>
        </w:rPr>
      </w:pPr>
      <w:r>
        <w:rPr>
          <w:rFonts w:hint="eastAsia" w:ascii="宋体" w:hAnsi="宋体" w:cs="宋体"/>
          <w:sz w:val="21"/>
          <w:szCs w:val="21"/>
        </w:rPr>
        <w:t xml:space="preserve">   4.组织对征收搬迁补偿方案进行征求意见、听证、论证、公示等工作。</w:t>
      </w:r>
    </w:p>
    <w:p>
      <w:pPr>
        <w:spacing w:line="360" w:lineRule="auto"/>
        <w:rPr>
          <w:rFonts w:hint="eastAsia" w:ascii="宋体" w:hAnsi="宋体" w:cs="宋体"/>
          <w:sz w:val="21"/>
          <w:szCs w:val="21"/>
        </w:rPr>
      </w:pPr>
      <w:r>
        <w:rPr>
          <w:rFonts w:hint="eastAsia" w:ascii="宋体" w:hAnsi="宋体" w:cs="宋体"/>
          <w:sz w:val="21"/>
          <w:szCs w:val="21"/>
        </w:rPr>
        <w:t xml:space="preserve">   5.组织选择房地产价格评估机构对被征收搬迁房屋价值进行预评估，并提供相关材料。</w:t>
      </w:r>
    </w:p>
    <w:p>
      <w:pPr>
        <w:spacing w:line="360" w:lineRule="auto"/>
        <w:rPr>
          <w:rFonts w:hint="eastAsia" w:ascii="宋体" w:hAnsi="宋体" w:cs="宋体"/>
          <w:sz w:val="21"/>
          <w:szCs w:val="21"/>
        </w:rPr>
      </w:pPr>
      <w:r>
        <w:rPr>
          <w:rFonts w:hint="eastAsia" w:ascii="宋体" w:hAnsi="宋体" w:cs="宋体"/>
          <w:sz w:val="21"/>
          <w:szCs w:val="21"/>
        </w:rPr>
        <w:t xml:space="preserve">   6.确定拟被征收房屋搬迁补偿、临时安置补偿、停产停业损失补偿的标准。</w:t>
      </w:r>
    </w:p>
    <w:p>
      <w:pPr>
        <w:spacing w:line="360" w:lineRule="auto"/>
        <w:rPr>
          <w:rFonts w:hint="eastAsia" w:ascii="宋体" w:hAnsi="宋体" w:cs="宋体"/>
          <w:sz w:val="21"/>
          <w:szCs w:val="21"/>
        </w:rPr>
      </w:pPr>
      <w:r>
        <w:rPr>
          <w:rFonts w:hint="eastAsia" w:ascii="宋体" w:hAnsi="宋体" w:cs="宋体"/>
          <w:sz w:val="21"/>
          <w:szCs w:val="21"/>
        </w:rPr>
        <w:t xml:space="preserve">   7.确定拟被征收搬迁范围内符合住房保障条件的户数。</w:t>
      </w:r>
    </w:p>
    <w:p>
      <w:pPr>
        <w:spacing w:line="360" w:lineRule="auto"/>
        <w:rPr>
          <w:rFonts w:hint="eastAsia" w:ascii="宋体" w:hAnsi="宋体" w:cs="宋体"/>
          <w:sz w:val="21"/>
          <w:szCs w:val="21"/>
        </w:rPr>
      </w:pPr>
      <w:r>
        <w:rPr>
          <w:rFonts w:hint="eastAsia" w:ascii="宋体" w:hAnsi="宋体" w:cs="宋体"/>
          <w:sz w:val="21"/>
          <w:szCs w:val="21"/>
        </w:rPr>
        <w:t xml:space="preserve">   8.按照《</w:t>
      </w:r>
      <w:r>
        <w:rPr>
          <w:rFonts w:hint="eastAsia" w:ascii="宋体" w:hAnsi="宋体" w:cs="宋体"/>
          <w:sz w:val="21"/>
          <w:szCs w:val="21"/>
          <w:u w:val="single"/>
        </w:rPr>
        <w:t xml:space="preserve">         </w:t>
      </w:r>
      <w:r>
        <w:rPr>
          <w:rFonts w:hint="eastAsia" w:ascii="宋体" w:hAnsi="宋体" w:cs="宋体"/>
          <w:sz w:val="21"/>
          <w:szCs w:val="21"/>
        </w:rPr>
        <w:t>项目房屋征收补偿方案》，就征收搬迁补偿的具体问题与被征收搬迁人协商，并签订征收搬迁补偿协议。</w:t>
      </w:r>
    </w:p>
    <w:p>
      <w:pPr>
        <w:spacing w:line="360" w:lineRule="auto"/>
        <w:rPr>
          <w:rFonts w:hint="eastAsia" w:ascii="宋体" w:hAnsi="宋体" w:cs="宋体"/>
          <w:sz w:val="21"/>
          <w:szCs w:val="21"/>
        </w:rPr>
      </w:pPr>
      <w:r>
        <w:rPr>
          <w:rFonts w:hint="eastAsia" w:ascii="宋体" w:hAnsi="宋体" w:cs="宋体"/>
          <w:sz w:val="21"/>
          <w:szCs w:val="21"/>
        </w:rPr>
        <w:t xml:space="preserve">   9.协助开展征收搬迁补偿决定下发前的有关工作。</w:t>
      </w:r>
    </w:p>
    <w:p>
      <w:pPr>
        <w:spacing w:line="360" w:lineRule="auto"/>
        <w:rPr>
          <w:rFonts w:hint="eastAsia" w:ascii="宋体" w:hAnsi="宋体" w:cs="宋体"/>
          <w:sz w:val="21"/>
          <w:szCs w:val="21"/>
        </w:rPr>
      </w:pPr>
      <w:r>
        <w:rPr>
          <w:rFonts w:hint="eastAsia" w:ascii="宋体" w:hAnsi="宋体" w:cs="宋体"/>
          <w:sz w:val="21"/>
          <w:szCs w:val="21"/>
        </w:rPr>
        <w:t xml:space="preserve">   10.根据《</w:t>
      </w:r>
      <w:r>
        <w:rPr>
          <w:rFonts w:hint="eastAsia" w:ascii="宋体" w:hAnsi="宋体" w:cs="宋体"/>
          <w:sz w:val="21"/>
          <w:szCs w:val="21"/>
          <w:u w:val="single"/>
        </w:rPr>
        <w:t xml:space="preserve">         </w:t>
      </w:r>
      <w:r>
        <w:rPr>
          <w:rFonts w:hint="eastAsia" w:ascii="宋体" w:hAnsi="宋体" w:cs="宋体"/>
          <w:sz w:val="21"/>
          <w:szCs w:val="21"/>
        </w:rPr>
        <w:t>项目房屋征收补偿方案》和《征收补偿协议》落实补偿安置。</w:t>
      </w:r>
    </w:p>
    <w:p>
      <w:pPr>
        <w:spacing w:line="360" w:lineRule="auto"/>
        <w:rPr>
          <w:rFonts w:hint="eastAsia" w:ascii="宋体" w:hAnsi="宋体" w:cs="宋体"/>
          <w:sz w:val="21"/>
          <w:szCs w:val="21"/>
        </w:rPr>
      </w:pPr>
      <w:r>
        <w:rPr>
          <w:rFonts w:hint="eastAsia" w:ascii="宋体" w:hAnsi="宋体" w:cs="宋体"/>
          <w:sz w:val="21"/>
          <w:szCs w:val="21"/>
        </w:rPr>
        <w:t xml:space="preserve">   11.其他房屋征收搬迁与补偿的具体工作事项。</w:t>
      </w:r>
    </w:p>
    <w:p>
      <w:pPr>
        <w:spacing w:line="360" w:lineRule="auto"/>
        <w:rPr>
          <w:rFonts w:hint="eastAsia" w:ascii="宋体" w:hAnsi="宋体" w:cs="宋体"/>
          <w:sz w:val="21"/>
          <w:szCs w:val="21"/>
        </w:rPr>
      </w:pPr>
      <w:r>
        <w:rPr>
          <w:rFonts w:hint="eastAsia" w:ascii="宋体" w:hAnsi="宋体" w:cs="宋体"/>
          <w:sz w:val="21"/>
          <w:szCs w:val="21"/>
        </w:rPr>
        <w:t xml:space="preserve">   二、禁止事项</w:t>
      </w:r>
    </w:p>
    <w:p>
      <w:pPr>
        <w:spacing w:line="360" w:lineRule="auto"/>
        <w:rPr>
          <w:rFonts w:hint="eastAsia" w:ascii="宋体" w:hAnsi="宋体" w:cs="宋体"/>
          <w:sz w:val="21"/>
          <w:szCs w:val="21"/>
        </w:rPr>
      </w:pPr>
      <w:r>
        <w:rPr>
          <w:rFonts w:hint="eastAsia" w:ascii="宋体" w:hAnsi="宋体" w:cs="宋体"/>
          <w:sz w:val="21"/>
          <w:szCs w:val="21"/>
        </w:rPr>
        <w:t xml:space="preserve">   1.不得以营利为目的实施房屋征收搬迁补偿的具体工作。</w:t>
      </w:r>
    </w:p>
    <w:p>
      <w:pPr>
        <w:spacing w:line="360" w:lineRule="auto"/>
        <w:rPr>
          <w:rFonts w:hint="eastAsia" w:ascii="宋体" w:hAnsi="宋体" w:cs="宋体"/>
          <w:sz w:val="21"/>
          <w:szCs w:val="21"/>
        </w:rPr>
      </w:pPr>
      <w:r>
        <w:rPr>
          <w:rFonts w:hint="eastAsia" w:ascii="宋体" w:hAnsi="宋体" w:cs="宋体"/>
          <w:sz w:val="21"/>
          <w:szCs w:val="21"/>
        </w:rPr>
        <w:t xml:space="preserve">   2.不得贪污、侵占、挪用、克扣被征收搬迁人的补偿费用。</w:t>
      </w:r>
    </w:p>
    <w:p>
      <w:pPr>
        <w:spacing w:line="360" w:lineRule="auto"/>
        <w:rPr>
          <w:rFonts w:hint="eastAsia" w:ascii="宋体" w:hAnsi="宋体" w:cs="宋体"/>
          <w:sz w:val="21"/>
          <w:szCs w:val="21"/>
        </w:rPr>
      </w:pPr>
      <w:r>
        <w:rPr>
          <w:rFonts w:hint="eastAsia" w:ascii="宋体" w:hAnsi="宋体" w:cs="宋体"/>
          <w:sz w:val="21"/>
          <w:szCs w:val="21"/>
        </w:rPr>
        <w:t xml:space="preserve">   3.不得采取暴力、胁迫以及中断供水、供电、供气和道路通行等方式迫使被征收搬迁人搬迁。</w:t>
      </w:r>
    </w:p>
    <w:p>
      <w:pPr>
        <w:spacing w:line="360" w:lineRule="auto"/>
        <w:rPr>
          <w:rFonts w:hint="eastAsia" w:ascii="宋体" w:hAnsi="宋体" w:cs="宋体"/>
          <w:sz w:val="21"/>
          <w:szCs w:val="21"/>
        </w:rPr>
      </w:pPr>
      <w:r>
        <w:rPr>
          <w:rFonts w:hint="eastAsia" w:ascii="宋体" w:hAnsi="宋体" w:cs="宋体"/>
          <w:sz w:val="21"/>
          <w:szCs w:val="21"/>
        </w:rPr>
        <w:t xml:space="preserve">   4.不得拒绝委托单位就本委托事项实施的指导、监督和检查。</w:t>
      </w:r>
    </w:p>
    <w:p>
      <w:pPr>
        <w:spacing w:line="360" w:lineRule="auto"/>
        <w:rPr>
          <w:rFonts w:hint="eastAsia" w:ascii="宋体" w:hAnsi="宋体" w:cs="宋体"/>
          <w:sz w:val="21"/>
          <w:szCs w:val="21"/>
        </w:rPr>
      </w:pPr>
      <w:r>
        <w:rPr>
          <w:rFonts w:hint="eastAsia" w:ascii="宋体" w:hAnsi="宋体" w:cs="宋体"/>
          <w:sz w:val="21"/>
          <w:szCs w:val="21"/>
        </w:rPr>
        <w:t xml:space="preserve">   5.不得从事其他与国有土地上房屋征收搬迁补偿有关的法律、法规、规章以及规范性文件中的禁止性行为。</w:t>
      </w:r>
    </w:p>
    <w:p>
      <w:pPr>
        <w:spacing w:line="360" w:lineRule="auto"/>
        <w:rPr>
          <w:rFonts w:hint="eastAsia" w:ascii="宋体" w:hAnsi="宋体" w:cs="宋体"/>
          <w:sz w:val="21"/>
          <w:szCs w:val="21"/>
        </w:rPr>
      </w:pPr>
      <w:r>
        <w:rPr>
          <w:rFonts w:hint="eastAsia" w:ascii="宋体" w:hAnsi="宋体" w:cs="宋体"/>
          <w:sz w:val="21"/>
          <w:szCs w:val="21"/>
        </w:rPr>
        <w:t xml:space="preserve">   三、期限</w:t>
      </w:r>
    </w:p>
    <w:p>
      <w:pPr>
        <w:spacing w:line="360" w:lineRule="auto"/>
        <w:rPr>
          <w:rFonts w:hint="eastAsia" w:ascii="宋体" w:hAnsi="宋体" w:cs="宋体"/>
          <w:sz w:val="21"/>
          <w:szCs w:val="21"/>
        </w:rPr>
      </w:pPr>
      <w:r>
        <w:rPr>
          <w:rFonts w:hint="eastAsia" w:ascii="宋体" w:hAnsi="宋体" w:cs="宋体"/>
          <w:sz w:val="21"/>
          <w:szCs w:val="21"/>
        </w:rPr>
        <w:t xml:space="preserve">   本委托书有效期限自</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日至</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日。期间，委托单位有权撤销该项委托。</w:t>
      </w:r>
    </w:p>
    <w:p>
      <w:pPr>
        <w:spacing w:line="360" w:lineRule="auto"/>
        <w:rPr>
          <w:rFonts w:hint="default" w:ascii="宋体" w:hAnsi="宋体" w:eastAsia="宋体" w:cs="宋体"/>
          <w:sz w:val="21"/>
          <w:szCs w:val="21"/>
          <w:lang w:val="en-US" w:eastAsia="zh-CN"/>
        </w:rPr>
      </w:pPr>
      <w:r>
        <w:rPr>
          <w:rFonts w:hint="eastAsia" w:ascii="宋体" w:hAnsi="宋体" w:cs="宋体"/>
          <w:sz w:val="21"/>
          <w:szCs w:val="21"/>
        </w:rPr>
        <w:t xml:space="preserve">   四、费用</w:t>
      </w:r>
      <w:r>
        <w:rPr>
          <w:rFonts w:hint="eastAsia" w:ascii="宋体" w:hAnsi="宋体" w:cs="宋体"/>
          <w:sz w:val="21"/>
          <w:szCs w:val="21"/>
          <w:lang w:val="en-US" w:eastAsia="zh-CN"/>
        </w:rPr>
        <w:t>及支付方式</w:t>
      </w:r>
    </w:p>
    <w:p>
      <w:pPr>
        <w:numPr>
          <w:ilvl w:val="-1"/>
          <w:numId w:val="0"/>
        </w:numPr>
        <w:spacing w:line="440" w:lineRule="exact"/>
        <w:ind w:firstLine="420" w:firstLineChars="200"/>
        <w:rPr>
          <w:rFonts w:ascii="宋体" w:hAnsi="宋体" w:cs="宋体"/>
          <w:bCs/>
          <w:sz w:val="24"/>
        </w:rPr>
      </w:pPr>
      <w:r>
        <w:rPr>
          <w:rFonts w:hint="eastAsia" w:ascii="宋体" w:hAnsi="宋体" w:cs="宋体"/>
          <w:sz w:val="21"/>
          <w:szCs w:val="21"/>
          <w:lang w:val="en-US" w:eastAsia="zh-CN"/>
        </w:rPr>
        <w:t>本协议的中标价为：大写：           万元；小写：          万元；</w:t>
      </w:r>
    </w:p>
    <w:p>
      <w:pPr>
        <w:spacing w:line="360" w:lineRule="auto"/>
        <w:ind w:firstLine="480" w:firstLineChars="200"/>
        <w:rPr>
          <w:rFonts w:hint="eastAsia" w:ascii="宋体" w:hAnsi="宋体" w:cs="宋体"/>
          <w:sz w:val="21"/>
          <w:szCs w:val="21"/>
        </w:rPr>
      </w:pPr>
      <w:r>
        <w:rPr>
          <w:rFonts w:hint="eastAsia" w:ascii="宋体" w:hAnsi="宋体" w:cs="宋体"/>
          <w:sz w:val="24"/>
        </w:rPr>
        <w:t>付款方式：</w:t>
      </w:r>
      <w:r>
        <w:rPr>
          <w:rFonts w:hint="eastAsia" w:ascii="宋体" w:hAnsi="宋体" w:cs="宋体"/>
          <w:bCs/>
          <w:sz w:val="24"/>
        </w:rPr>
        <w:t>以项目为单位考核兑付服务费。受委托的征收搬迁实施任务完成率达50%的，应付服务费的30%；受委托的征收搬迁实施任务完成率达70%的，预付应付服务费的40%；受委托的征收搬迁实施任务完成率达80%的，预付应付服务费的50%；受委托的征收搬迁实施任务完成率达90%的，预付应付服务费的60%。受委托的征收搬迁实施任务全部完成并经考核验收合格后，兑付余款。</w:t>
      </w:r>
    </w:p>
    <w:p>
      <w:pPr>
        <w:spacing w:line="360" w:lineRule="auto"/>
        <w:rPr>
          <w:rFonts w:hint="eastAsia" w:ascii="宋体" w:hAnsi="宋体" w:cs="宋体"/>
          <w:sz w:val="21"/>
          <w:szCs w:val="21"/>
        </w:rPr>
      </w:pPr>
      <w:r>
        <w:rPr>
          <w:rFonts w:hint="eastAsia" w:ascii="宋体" w:hAnsi="宋体" w:cs="宋体"/>
          <w:sz w:val="21"/>
          <w:szCs w:val="21"/>
        </w:rPr>
        <w:t xml:space="preserve">   五、责任</w:t>
      </w:r>
    </w:p>
    <w:p>
      <w:pPr>
        <w:spacing w:line="360" w:lineRule="auto"/>
        <w:rPr>
          <w:rFonts w:hint="eastAsia" w:ascii="宋体" w:hAnsi="宋体" w:cs="宋体"/>
          <w:sz w:val="21"/>
          <w:szCs w:val="21"/>
        </w:rPr>
      </w:pPr>
      <w:r>
        <w:rPr>
          <w:rFonts w:hint="eastAsia" w:ascii="宋体" w:hAnsi="宋体" w:cs="宋体"/>
          <w:sz w:val="21"/>
          <w:szCs w:val="21"/>
        </w:rPr>
        <w:t xml:space="preserve">   1.委托单位对受委托单位在委托范围内实施的行为负责监督，并对受托人在委托范围内的行为后果承担法律责任。</w:t>
      </w:r>
    </w:p>
    <w:p>
      <w:pPr>
        <w:spacing w:line="360" w:lineRule="auto"/>
        <w:rPr>
          <w:rFonts w:hint="eastAsia" w:ascii="宋体" w:hAnsi="宋体" w:cs="宋体"/>
          <w:sz w:val="21"/>
          <w:szCs w:val="21"/>
        </w:rPr>
      </w:pPr>
      <w:r>
        <w:rPr>
          <w:rFonts w:hint="eastAsia" w:ascii="宋体" w:hAnsi="宋体" w:cs="宋体"/>
          <w:sz w:val="21"/>
          <w:szCs w:val="21"/>
        </w:rPr>
        <w:t xml:space="preserve">   2.受委托单位为第二条所列禁止性行为的，自行承担相应法律责任。</w:t>
      </w:r>
    </w:p>
    <w:p>
      <w:pPr>
        <w:spacing w:line="360" w:lineRule="auto"/>
        <w:rPr>
          <w:rFonts w:hint="eastAsia" w:ascii="宋体" w:hAnsi="宋体" w:cs="宋体"/>
          <w:sz w:val="21"/>
          <w:szCs w:val="21"/>
        </w:rPr>
      </w:pPr>
      <w:r>
        <w:rPr>
          <w:rFonts w:hint="eastAsia" w:ascii="宋体" w:hAnsi="宋体" w:cs="宋体"/>
          <w:sz w:val="21"/>
          <w:szCs w:val="21"/>
        </w:rPr>
        <w:t xml:space="preserve">   六、附则</w:t>
      </w:r>
    </w:p>
    <w:p>
      <w:pPr>
        <w:spacing w:line="360" w:lineRule="auto"/>
        <w:rPr>
          <w:rFonts w:hint="eastAsia" w:ascii="宋体" w:hAnsi="宋体" w:cs="宋体"/>
          <w:sz w:val="21"/>
          <w:szCs w:val="21"/>
        </w:rPr>
      </w:pPr>
      <w:r>
        <w:rPr>
          <w:rFonts w:hint="eastAsia" w:ascii="宋体" w:hAnsi="宋体" w:cs="宋体"/>
          <w:sz w:val="21"/>
          <w:szCs w:val="21"/>
        </w:rPr>
        <w:t xml:space="preserve">   本协议若有未尽事宜，按甲方招标文件乙方投标文件中有关承诺和要求执行，其他可由委托单位、受委托单位协商达成补充协议。补充协议与本协议具有同等效力。</w:t>
      </w:r>
    </w:p>
    <w:p>
      <w:pPr>
        <w:spacing w:line="360" w:lineRule="auto"/>
        <w:ind w:firstLine="420" w:firstLineChars="200"/>
        <w:rPr>
          <w:rFonts w:hint="eastAsia" w:ascii="宋体" w:hAnsi="宋体" w:cs="宋体"/>
          <w:sz w:val="21"/>
          <w:szCs w:val="21"/>
        </w:rPr>
      </w:pPr>
      <w:r>
        <w:rPr>
          <w:rFonts w:hint="eastAsia" w:ascii="宋体" w:hAnsi="宋体" w:cs="宋体"/>
          <w:kern w:val="32"/>
          <w:sz w:val="21"/>
          <w:szCs w:val="21"/>
        </w:rPr>
        <w:t>七、本协议一式</w:t>
      </w:r>
      <w:r>
        <w:rPr>
          <w:rFonts w:hint="eastAsia" w:ascii="宋体" w:hAnsi="宋体" w:cs="宋体"/>
          <w:b/>
          <w:bCs/>
          <w:kern w:val="32"/>
          <w:sz w:val="21"/>
          <w:szCs w:val="21"/>
          <w:u w:val="single"/>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rPr>
        <w:t>贰</w:t>
      </w:r>
      <w:r>
        <w:rPr>
          <w:rFonts w:hint="eastAsia" w:ascii="宋体" w:hAnsi="宋体" w:cs="宋体"/>
          <w:kern w:val="32"/>
          <w:sz w:val="21"/>
          <w:szCs w:val="21"/>
        </w:rPr>
        <w:t>份。</w:t>
      </w:r>
    </w:p>
    <w:p>
      <w:pPr>
        <w:spacing w:line="480" w:lineRule="exact"/>
        <w:jc w:val="center"/>
        <w:rPr>
          <w:rFonts w:hint="eastAsia" w:ascii="宋体" w:hAnsi="宋体" w:cs="宋体"/>
          <w:b/>
          <w:bCs/>
          <w:sz w:val="21"/>
          <w:szCs w:val="21"/>
        </w:rPr>
      </w:pPr>
    </w:p>
    <w:p>
      <w:pPr>
        <w:adjustRightInd w:val="0"/>
        <w:spacing w:line="480" w:lineRule="exact"/>
        <w:ind w:right="15" w:rightChars="7"/>
        <w:rPr>
          <w:rFonts w:hint="eastAsia" w:ascii="宋体" w:hAnsi="宋体" w:cs="宋体"/>
          <w:sz w:val="21"/>
          <w:szCs w:val="21"/>
        </w:rPr>
      </w:pP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 xml:space="preserve">委托单位（盖章）：                      受托单位（盖章）：      </w:t>
      </w: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 xml:space="preserve">法定代表人（签字）：                    法定代表人（签字）：    </w:t>
      </w:r>
    </w:p>
    <w:p>
      <w:pPr>
        <w:adjustRightInd w:val="0"/>
        <w:spacing w:line="600" w:lineRule="exact"/>
        <w:ind w:right="15" w:rightChars="7" w:firstLine="367" w:firstLineChars="175"/>
        <w:rPr>
          <w:rFonts w:hint="eastAsia" w:ascii="宋体" w:hAnsi="宋体" w:cs="宋体"/>
          <w:sz w:val="21"/>
          <w:szCs w:val="21"/>
        </w:rPr>
      </w:pPr>
      <w:r>
        <w:rPr>
          <w:rFonts w:hint="eastAsia" w:ascii="宋体" w:hAnsi="宋体" w:cs="宋体"/>
          <w:sz w:val="21"/>
          <w:szCs w:val="21"/>
        </w:rPr>
        <w:t>日    期：     年   月   日              日    期：     年   月   日</w:t>
      </w:r>
    </w:p>
    <w:p>
      <w:pPr>
        <w:adjustRightInd w:val="0"/>
        <w:spacing w:line="600" w:lineRule="exact"/>
        <w:ind w:firstLine="367" w:firstLineChars="175"/>
        <w:rPr>
          <w:rFonts w:hint="eastAsia" w:ascii="宋体" w:hAnsi="宋体" w:cs="宋体"/>
          <w:sz w:val="21"/>
          <w:szCs w:val="21"/>
        </w:rPr>
        <w:sectPr>
          <w:pgSz w:w="11906" w:h="16838"/>
          <w:pgMar w:top="1440" w:right="1286" w:bottom="1440" w:left="1418" w:header="708" w:footer="708" w:gutter="0"/>
          <w:cols w:space="720" w:num="1"/>
          <w:docGrid w:linePitch="360" w:charSpace="0"/>
        </w:sectPr>
      </w:pPr>
    </w:p>
    <w:p>
      <w:pPr>
        <w:pStyle w:val="23"/>
        <w:spacing w:beforeLines="50" w:afterLines="50" w:line="460" w:lineRule="exact"/>
        <w:ind w:right="17" w:rightChars="8"/>
        <w:jc w:val="center"/>
        <w:rPr>
          <w:rFonts w:hint="eastAsia" w:hAnsi="宋体" w:cs="宋体"/>
          <w:b/>
          <w:bCs/>
          <w:sz w:val="21"/>
          <w:szCs w:val="21"/>
        </w:rPr>
      </w:pPr>
      <w:r>
        <w:rPr>
          <w:rFonts w:hint="eastAsia" w:hAnsi="宋体" w:cs="宋体"/>
          <w:b/>
          <w:bCs/>
          <w:color w:val="FF0000"/>
          <w:sz w:val="21"/>
          <w:szCs w:val="21"/>
        </w:rPr>
        <w:t>安 全 稳  定 合 同</w:t>
      </w:r>
    </w:p>
    <w:p>
      <w:pPr>
        <w:spacing w:line="460" w:lineRule="exact"/>
        <w:ind w:right="15" w:rightChars="7"/>
        <w:jc w:val="left"/>
        <w:rPr>
          <w:rFonts w:hint="eastAsia" w:ascii="宋体" w:hAnsi="宋体" w:cs="宋体"/>
          <w:sz w:val="21"/>
          <w:szCs w:val="21"/>
        </w:rPr>
      </w:pPr>
      <w:r>
        <w:rPr>
          <w:rFonts w:hint="eastAsia" w:ascii="宋体" w:hAnsi="宋体" w:cs="宋体"/>
          <w:sz w:val="21"/>
          <w:szCs w:val="21"/>
        </w:rPr>
        <w:t>甲方：</w:t>
      </w:r>
      <w:r>
        <w:rPr>
          <w:rFonts w:hint="eastAsia" w:ascii="宋体" w:hAnsi="宋体" w:cs="宋体"/>
          <w:b/>
          <w:bCs/>
          <w:sz w:val="21"/>
          <w:szCs w:val="21"/>
          <w:u w:val="single"/>
        </w:rPr>
        <w:t xml:space="preserve">                          </w:t>
      </w:r>
      <w:r>
        <w:rPr>
          <w:rFonts w:hint="eastAsia" w:ascii="宋体" w:hAnsi="宋体" w:cs="宋体"/>
          <w:sz w:val="21"/>
          <w:szCs w:val="21"/>
        </w:rPr>
        <w:t xml:space="preserve">    （ 以下简称“甲方” ）                             　</w:t>
      </w:r>
    </w:p>
    <w:p>
      <w:pPr>
        <w:spacing w:line="460" w:lineRule="exact"/>
        <w:ind w:right="15" w:rightChars="7"/>
        <w:jc w:val="left"/>
        <w:rPr>
          <w:rFonts w:hint="eastAsia" w:ascii="宋体" w:hAnsi="宋体" w:cs="宋体"/>
          <w:sz w:val="21"/>
          <w:szCs w:val="21"/>
        </w:rPr>
      </w:pPr>
      <w:r>
        <w:rPr>
          <w:rFonts w:hint="eastAsia" w:ascii="宋体" w:hAnsi="宋体" w:cs="宋体"/>
          <w:sz w:val="21"/>
          <w:szCs w:val="21"/>
        </w:rPr>
        <w:t>乙方：</w:t>
      </w:r>
      <w:r>
        <w:rPr>
          <w:rFonts w:hint="eastAsia" w:ascii="宋体" w:hAnsi="宋体" w:cs="宋体"/>
          <w:b/>
          <w:sz w:val="21"/>
          <w:szCs w:val="21"/>
          <w:u w:val="single"/>
        </w:rPr>
        <w:t xml:space="preserve">                         </w:t>
      </w:r>
      <w:r>
        <w:rPr>
          <w:rFonts w:hint="eastAsia" w:ascii="宋体" w:hAnsi="宋体" w:cs="宋体"/>
          <w:b/>
          <w:bCs/>
          <w:sz w:val="21"/>
          <w:szCs w:val="21"/>
          <w:u w:val="single"/>
        </w:rPr>
        <w:t xml:space="preserve"> </w:t>
      </w:r>
      <w:r>
        <w:rPr>
          <w:rFonts w:hint="eastAsia" w:ascii="宋体" w:hAnsi="宋体" w:cs="宋体"/>
          <w:sz w:val="21"/>
          <w:szCs w:val="21"/>
        </w:rPr>
        <w:t xml:space="preserve">    （ 以下简称“乙方” ）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为在</w:t>
      </w:r>
      <w:r>
        <w:rPr>
          <w:rFonts w:hint="eastAsia" w:ascii="宋体" w:hAnsi="宋体" w:cs="宋体"/>
          <w:b/>
          <w:bCs/>
          <w:sz w:val="21"/>
          <w:szCs w:val="21"/>
          <w:u w:val="single"/>
        </w:rPr>
        <w:t xml:space="preserve">                        </w:t>
      </w:r>
      <w:r>
        <w:rPr>
          <w:rFonts w:hint="eastAsia" w:ascii="宋体" w:hAnsi="宋体" w:cs="宋体"/>
          <w:sz w:val="21"/>
          <w:szCs w:val="21"/>
        </w:rPr>
        <w:t>施工合同的实施过程中创造安全、高效的施工环境，切实搞好本项目的安全管理工作，特此签订安全生产合同。具体如下：</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一、甲方职责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1．严格遵守国家有关安全生产的法律法规，认真执行工程承包合同中的有关安全要求。</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2．按照“安全第一、预防为主”和坚持“管生产必须管安全”的原则进行安全生产管理，做到生产与安全工作同时计划、布置、检查、总结和评比。</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3．定期召开安全生产协调会，及时传达中央及地方有关安全生产的精神。</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4．组织对乙方施工现场安全生产检查，建立安全生产责任制网络、汇总重要危险源、监督乙方及时处理发现的各种安全隐患。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二、乙方职责</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1．严格遵守国家有关安全生产的法律法规、有关安全生产的规定，认真执行工程承包合同中的有关安全要求，接受甲方对安全生产工作的指导。</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2．坚持“安全第一、预防为主”和“管生产必须管安全”的原则，加强安全生产宣传教育，增强全员安全生产意识，建立健全各项安全生产管理制度，有组织有领导地开展安全生产活动。必须熟悉和遵守本条款的各项规定，做到生产与安全工作同时计划、布置、检查、总结和评比。</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3．建立健全安全生产责任制网络。主要负责人是工程的安全生产负责人，对安全生产负领导责任，项目经理是工程的安全生产责任人，对安全生产负直接责任，安全员是工程现场的安全生产直接责任人，对安全生产具体负责。现场设置的安全机构，安全机构人员，有权按有关规定发布指令，并采取保护性措施防止事故发生。</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4．乙方在任何时侯都应采取各种合理的预防措施，防止其人员发生任何违法、违禁、暴力、违规或妨碍治安的行为。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5．所有机具、设备和劳动保护用品应具备有效的安检合格证明，并保证其处于完好状态；不合格的机具、设备和劳动保护用品严禁使用。</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6．施工现场必须具有相关的安全标志牌。</w:t>
      </w:r>
    </w:p>
    <w:p>
      <w:pPr>
        <w:numPr>
          <w:ins w:id="0" w:author="Administrator" w:date="2017-10-17T09:55:00Z"/>
        </w:num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7．建立主要危险源备案制度，要明确潜在隐患、防范措施和落实责任人。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8．乙方必须按照本工程项目特点，组织制定本工程实施中的生产安全事故应急救援预案；</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三、违约责任</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如因甲方或乙方违约造成安全事故，将报请有关部门依法追究责任。</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本协议书经双方法定代表人或其委托代理人签名并分别盖本单位公章后生效（若需公证或鉴证手续后生效）。                                                                                                                                                                </w:t>
      </w:r>
    </w:p>
    <w:p>
      <w:pPr>
        <w:pStyle w:val="52"/>
        <w:rPr>
          <w:rFonts w:hint="eastAsia" w:ascii="宋体" w:hAnsi="宋体" w:cs="宋体"/>
          <w:kern w:val="32"/>
          <w:sz w:val="21"/>
          <w:szCs w:val="21"/>
        </w:rPr>
      </w:pPr>
    </w:p>
    <w:p>
      <w:pPr>
        <w:pStyle w:val="52"/>
        <w:rPr>
          <w:rFonts w:hint="eastAsia"/>
          <w:sz w:val="21"/>
          <w:szCs w:val="21"/>
        </w:rPr>
      </w:pPr>
      <w:r>
        <w:rPr>
          <w:rFonts w:hint="eastAsia" w:ascii="宋体" w:hAnsi="宋体" w:cs="宋体"/>
          <w:kern w:val="32"/>
          <w:sz w:val="21"/>
          <w:szCs w:val="21"/>
        </w:rPr>
        <w:t>本协议一式</w:t>
      </w:r>
      <w:r>
        <w:rPr>
          <w:rFonts w:hint="eastAsia" w:ascii="宋体" w:hAnsi="宋体" w:cs="宋体"/>
          <w:b/>
          <w:bCs/>
          <w:kern w:val="32"/>
          <w:sz w:val="21"/>
          <w:szCs w:val="21"/>
          <w:u w:val="single"/>
          <w:lang w:val="en-US"/>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lang w:val="en-US"/>
        </w:rPr>
        <w:t>贰</w:t>
      </w:r>
      <w:r>
        <w:rPr>
          <w:rFonts w:hint="eastAsia" w:ascii="宋体" w:hAnsi="宋体" w:cs="宋体"/>
          <w:kern w:val="32"/>
          <w:sz w:val="21"/>
          <w:szCs w:val="21"/>
        </w:rPr>
        <w:t>份。</w:t>
      </w:r>
    </w:p>
    <w:p>
      <w:pPr>
        <w:spacing w:line="460" w:lineRule="exact"/>
        <w:ind w:right="15" w:rightChars="7" w:firstLine="420" w:firstLineChars="200"/>
        <w:jc w:val="left"/>
        <w:rPr>
          <w:rFonts w:hint="eastAsia" w:ascii="宋体" w:hAnsi="宋体" w:cs="宋体"/>
          <w:sz w:val="21"/>
          <w:szCs w:val="21"/>
        </w:rPr>
      </w:pPr>
    </w:p>
    <w:p>
      <w:pPr>
        <w:spacing w:line="460" w:lineRule="exact"/>
        <w:ind w:right="15" w:rightChars="7" w:firstLine="420" w:firstLineChars="200"/>
        <w:jc w:val="left"/>
        <w:rPr>
          <w:rFonts w:hint="eastAsia" w:ascii="宋体" w:hAnsi="宋体" w:cs="宋体"/>
          <w:sz w:val="21"/>
          <w:szCs w:val="21"/>
        </w:rPr>
      </w:pP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甲      方：                              乙    方：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法定代表人（或授权代理人）：              法定代表人（或授权代理人）：</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地       址：                             地     址：             </w:t>
      </w:r>
    </w:p>
    <w:p>
      <w:pPr>
        <w:spacing w:line="460" w:lineRule="exact"/>
        <w:ind w:right="15" w:rightChars="7" w:firstLine="420" w:firstLineChars="200"/>
        <w:jc w:val="left"/>
        <w:rPr>
          <w:rFonts w:hint="eastAsia" w:ascii="宋体" w:hAnsi="宋体" w:cs="宋体"/>
          <w:sz w:val="21"/>
          <w:szCs w:val="21"/>
        </w:rPr>
      </w:pPr>
      <w:r>
        <w:rPr>
          <w:rFonts w:hint="eastAsia" w:ascii="宋体" w:hAnsi="宋体" w:cs="宋体"/>
          <w:sz w:val="21"/>
          <w:szCs w:val="21"/>
        </w:rPr>
        <w:t xml:space="preserve">电       话：                             电     话：              </w:t>
      </w:r>
    </w:p>
    <w:p>
      <w:pPr>
        <w:spacing w:line="460" w:lineRule="exact"/>
        <w:ind w:right="15" w:rightChars="7" w:firstLine="420" w:firstLineChars="200"/>
        <w:jc w:val="left"/>
        <w:rPr>
          <w:rFonts w:hint="eastAsia" w:ascii="宋体" w:hAnsi="宋体" w:cs="宋体"/>
          <w:sz w:val="21"/>
          <w:szCs w:val="21"/>
        </w:rPr>
        <w:sectPr>
          <w:pgSz w:w="11906" w:h="16838"/>
          <w:pgMar w:top="1440" w:right="1287" w:bottom="1440" w:left="1417" w:header="708" w:footer="709" w:gutter="0"/>
          <w:cols w:space="720" w:num="1"/>
          <w:docGrid w:linePitch="360" w:charSpace="0"/>
        </w:sectPr>
      </w:pPr>
      <w:r>
        <w:rPr>
          <w:rFonts w:hint="eastAsia" w:ascii="宋体" w:hAnsi="宋体" w:cs="宋体"/>
          <w:sz w:val="21"/>
          <w:szCs w:val="21"/>
        </w:rPr>
        <w:t>日       期：                             日     期：</w:t>
      </w:r>
    </w:p>
    <w:p>
      <w:pPr>
        <w:spacing w:beforeLines="50" w:afterLines="50" w:line="460" w:lineRule="exact"/>
        <w:ind w:right="15" w:rightChars="7"/>
        <w:jc w:val="center"/>
        <w:rPr>
          <w:rFonts w:hint="eastAsia" w:ascii="宋体" w:hAnsi="宋体" w:cs="宋体"/>
          <w:b/>
          <w:bCs/>
          <w:sz w:val="21"/>
          <w:szCs w:val="21"/>
        </w:rPr>
      </w:pPr>
      <w:r>
        <w:rPr>
          <w:rFonts w:hint="eastAsia" w:ascii="宋体" w:hAnsi="宋体" w:cs="宋体"/>
          <w:b/>
          <w:bCs/>
          <w:sz w:val="21"/>
          <w:szCs w:val="21"/>
        </w:rPr>
        <w:t>廉政合同</w:t>
      </w:r>
    </w:p>
    <w:p>
      <w:pPr>
        <w:spacing w:line="460" w:lineRule="exact"/>
        <w:ind w:right="15" w:rightChars="7"/>
        <w:rPr>
          <w:rFonts w:ascii="宋体" w:hAnsi="宋体" w:cs="宋体"/>
          <w:kern w:val="0"/>
          <w:sz w:val="21"/>
          <w:szCs w:val="21"/>
          <w:u w:val="single"/>
        </w:rPr>
      </w:pPr>
      <w:r>
        <w:rPr>
          <w:rFonts w:hint="eastAsia" w:ascii="宋体" w:hAnsi="宋体" w:cs="宋体"/>
          <w:kern w:val="32"/>
          <w:sz w:val="21"/>
          <w:szCs w:val="21"/>
        </w:rPr>
        <w:t>甲方：</w:t>
      </w:r>
      <w:r>
        <w:rPr>
          <w:rFonts w:hint="eastAsia" w:ascii="宋体" w:hAnsi="宋体" w:cs="宋体"/>
          <w:kern w:val="32"/>
          <w:sz w:val="21"/>
          <w:szCs w:val="21"/>
          <w:u w:val="single"/>
        </w:rPr>
        <w:t xml:space="preserve">                            </w:t>
      </w:r>
    </w:p>
    <w:p>
      <w:pPr>
        <w:pStyle w:val="23"/>
        <w:spacing w:line="460" w:lineRule="exact"/>
        <w:ind w:right="15" w:rightChars="7"/>
        <w:rPr>
          <w:rFonts w:hint="eastAsia" w:hAnsi="宋体" w:cs="宋体"/>
          <w:kern w:val="32"/>
          <w:sz w:val="21"/>
          <w:szCs w:val="21"/>
        </w:rPr>
      </w:pPr>
      <w:r>
        <w:rPr>
          <w:rFonts w:hint="eastAsia" w:hAnsi="宋体" w:cs="宋体"/>
          <w:kern w:val="32"/>
          <w:sz w:val="21"/>
          <w:szCs w:val="21"/>
        </w:rPr>
        <w:t>乙方：</w:t>
      </w:r>
      <w:r>
        <w:rPr>
          <w:rFonts w:hint="eastAsia" w:hAnsi="宋体" w:cs="宋体"/>
          <w:b/>
          <w:bCs/>
          <w:kern w:val="32"/>
          <w:sz w:val="21"/>
          <w:szCs w:val="21"/>
          <w:u w:val="single"/>
        </w:rPr>
        <w:t xml:space="preserve">                            </w:t>
      </w:r>
      <w:r>
        <w:rPr>
          <w:rFonts w:hint="eastAsia" w:hAnsi="宋体" w:cs="宋体"/>
          <w:kern w:val="32"/>
          <w:sz w:val="21"/>
          <w:szCs w:val="21"/>
        </w:rPr>
        <w:t xml:space="preserve">            </w:t>
      </w:r>
    </w:p>
    <w:p>
      <w:pPr>
        <w:spacing w:line="460" w:lineRule="exact"/>
        <w:ind w:right="15" w:rightChars="7" w:firstLine="420" w:firstLineChars="200"/>
        <w:jc w:val="left"/>
        <w:rPr>
          <w:rFonts w:hint="eastAsia" w:ascii="宋体" w:hAnsi="宋体" w:cs="宋体"/>
          <w:kern w:val="32"/>
          <w:sz w:val="21"/>
          <w:szCs w:val="21"/>
        </w:rPr>
      </w:pPr>
      <w:r>
        <w:rPr>
          <w:rFonts w:hint="eastAsia" w:ascii="宋体" w:hAnsi="宋体" w:cs="宋体"/>
          <w:kern w:val="32"/>
          <w:sz w:val="21"/>
          <w:szCs w:val="21"/>
        </w:rPr>
        <w:t>为了贯彻落实党中央、国务院《关于实行党风廉政建设责任制的规定》，加强工程建设中的党风廉政建设，保证工程建设优质、高效、有序地进行，</w:t>
      </w:r>
      <w:r>
        <w:rPr>
          <w:rFonts w:hint="eastAsia" w:ascii="宋体" w:hAnsi="宋体" w:cs="宋体"/>
          <w:kern w:val="32"/>
          <w:sz w:val="21"/>
          <w:szCs w:val="21"/>
          <w:u w:val="single"/>
        </w:rPr>
        <w:t xml:space="preserve">         （以下简称甲方）</w:t>
      </w:r>
      <w:r>
        <w:rPr>
          <w:rFonts w:hint="eastAsia" w:ascii="宋体" w:hAnsi="宋体" w:cs="宋体"/>
          <w:kern w:val="32"/>
          <w:sz w:val="21"/>
          <w:szCs w:val="21"/>
        </w:rPr>
        <w:t>与承建</w:t>
      </w:r>
      <w:r>
        <w:rPr>
          <w:rFonts w:hint="eastAsia" w:ascii="宋体" w:hAnsi="宋体" w:cs="宋体"/>
          <w:b/>
          <w:bCs/>
          <w:kern w:val="32"/>
          <w:sz w:val="21"/>
          <w:szCs w:val="21"/>
          <w:u w:val="single"/>
        </w:rPr>
        <w:t xml:space="preserve">                   </w:t>
      </w:r>
      <w:r>
        <w:rPr>
          <w:rFonts w:hint="eastAsia" w:ascii="宋体" w:hAnsi="宋体" w:cs="宋体"/>
          <w:kern w:val="32"/>
          <w:sz w:val="21"/>
          <w:szCs w:val="21"/>
        </w:rPr>
        <w:t>工程的承包人</w:t>
      </w:r>
      <w:r>
        <w:rPr>
          <w:rFonts w:hint="eastAsia" w:ascii="宋体" w:hAnsi="宋体" w:cs="宋体"/>
          <w:kern w:val="32"/>
          <w:sz w:val="21"/>
          <w:szCs w:val="21"/>
          <w:u w:val="single"/>
        </w:rPr>
        <w:t xml:space="preserve">               </w:t>
      </w:r>
      <w:r>
        <w:rPr>
          <w:rFonts w:hint="eastAsia" w:ascii="宋体" w:hAnsi="宋体" w:cs="宋体"/>
          <w:kern w:val="32"/>
          <w:sz w:val="21"/>
          <w:szCs w:val="21"/>
        </w:rPr>
        <w:t>，特订立如下合同。</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一、甲、乙双方约定</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1、甲、乙双方应加强对本方人员的廉政监督，建立和健全廉政制度。</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2、甲、乙双方有对本方人员开展廉政告知、廉政教育和职业道德教育的义务。</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3、甲、乙双方及其工作人员应遵守国家和省、市以及招标主管部门关于加强基础设施建设管理以及党风廉政建设的各项规定。</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4、甲、乙双方及其工作人员应认真执行双方签订的廉政合同文件，自觉按合同办事。</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5、除法律认定的商业秘密或合同文件另有规定之外，甲、乙双方的业务活动应坚持公开、公平、公正、诚实信用的原则，严禁损害国家和集体利益，严禁违反工程建设管理规章制度的不正当交易。</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6、甲、乙双方如发现对方在业务活动中有不廉洁行为，有及时提醒对方并督促其纠正的权利和义务，并认真查处本方的违纪行为。</w:t>
      </w:r>
    </w:p>
    <w:p>
      <w:pPr>
        <w:spacing w:line="460" w:lineRule="exact"/>
        <w:ind w:right="15" w:rightChars="7" w:firstLine="422" w:firstLineChars="200"/>
        <w:rPr>
          <w:rFonts w:hint="eastAsia" w:ascii="宋体" w:hAnsi="宋体" w:cs="宋体"/>
          <w:b/>
          <w:bCs/>
          <w:kern w:val="32"/>
          <w:sz w:val="21"/>
          <w:szCs w:val="21"/>
        </w:rPr>
      </w:pPr>
      <w:r>
        <w:rPr>
          <w:rFonts w:hint="eastAsia" w:ascii="宋体" w:hAnsi="宋体" w:cs="宋体"/>
          <w:b/>
          <w:bCs/>
          <w:kern w:val="32"/>
          <w:sz w:val="21"/>
          <w:szCs w:val="21"/>
        </w:rPr>
        <w:t>二、甲方在廉政建设方面的责任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1、甲方及其工作人员不得以任何形式向乙方索要和收受金钱、有价证券、贵重物品等财物；对推辞不掉的礼金、有价证券和贵重物品等，应立即上缴纪检监察部门或廉政帐户。</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2、甲方不得向乙方报销任何费用。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3、甲方工作人员不得参加乙方的宴请和旅游等活动；不得要求乙方为其提供吃、住、交通工具、通讯工具和高档办公用品等。</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4、甲方及其工作人员不得要求或者接受乙方为其住房装修、婚丧嫁娶、亲属的工作安排以及出国等提供方便。</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5、甲方及其工作人员不得要求乙方为其亲朋好友及有利害关系的人安排工作或劳务；不得违规从事与乙方工程有关的材料设备供应、工程分包、劳务等经济活动。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6、甲方及其工作人员不得滥用职权影响工程的质量、进度和安全。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7、甲方及其工作人员不得与乙方私下交易。</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三、乙方在廉政建设方面的责任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1、乙方不得以任何理由向甲方及其工作人员馈赠礼金、礼品和有价证券等财物。</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2、乙方不得以任何名义为甲方及其工作人员报销任何不当费用。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3、乙方不得以任何理由邀请甲方工作人员参加吃、喝、玩、乐等活动。</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4、乙方不得为甲方单位或个人购置或提供通讯工具、交通工具、家电和高档办公用品等。</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5、乙方及其工作人员不得以任何理由与甲方进行私下交易。</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四、违约责任</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1、甲方若违反本“廉政合同”的，对违法违纪人员，将依法查处。</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2、乙方若违反本“廉政合同”的，视情节轻重，每次给予1～5万元的违约罚款，若严重违反“廉政合同”对违法违纪人员，将依法查处。</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五、对督促单位的约定和授权</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六、检查</w:t>
      </w:r>
      <w:r>
        <w:rPr>
          <w:rFonts w:hint="eastAsia" w:ascii="宋体" w:hAnsi="宋体" w:cs="宋体"/>
          <w:kern w:val="32"/>
          <w:sz w:val="21"/>
          <w:szCs w:val="21"/>
        </w:rPr>
        <w:t>双方约定：本合同的督查单位为</w:t>
      </w:r>
      <w:r>
        <w:rPr>
          <w:rFonts w:hint="eastAsia" w:ascii="宋体" w:hAnsi="宋体" w:cs="宋体"/>
          <w:kern w:val="32"/>
          <w:sz w:val="21"/>
          <w:szCs w:val="21"/>
          <w:u w:val="single"/>
        </w:rPr>
        <w:t xml:space="preserve">             </w:t>
      </w:r>
      <w:r>
        <w:rPr>
          <w:rFonts w:hint="eastAsia" w:ascii="宋体" w:hAnsi="宋体" w:cs="宋体"/>
          <w:b/>
          <w:kern w:val="32"/>
          <w:sz w:val="21"/>
          <w:szCs w:val="21"/>
          <w:u w:val="single"/>
        </w:rPr>
        <w:t xml:space="preserve"> </w:t>
      </w:r>
      <w:r>
        <w:rPr>
          <w:rFonts w:hint="eastAsia" w:ascii="宋体" w:hAnsi="宋体" w:cs="宋体"/>
          <w:kern w:val="32"/>
          <w:sz w:val="21"/>
          <w:szCs w:val="21"/>
        </w:rPr>
        <w:t>。双方授权督查单位主持本 “合同”执行情况的督查，提出在本合同规定规范内的裁定意见，执行本“合同”第四条所规定的处罚。</w:t>
      </w:r>
    </w:p>
    <w:p>
      <w:pPr>
        <w:spacing w:line="460" w:lineRule="exact"/>
        <w:ind w:right="15" w:rightChars="7" w:firstLine="422" w:firstLineChars="200"/>
        <w:rPr>
          <w:rFonts w:hint="eastAsia" w:ascii="宋体" w:hAnsi="宋体" w:cs="宋体"/>
          <w:kern w:val="32"/>
          <w:sz w:val="21"/>
          <w:szCs w:val="21"/>
        </w:rPr>
      </w:pPr>
      <w:r>
        <w:rPr>
          <w:rFonts w:hint="eastAsia" w:ascii="宋体" w:hAnsi="宋体" w:cs="宋体"/>
          <w:b/>
          <w:bCs/>
          <w:kern w:val="32"/>
          <w:sz w:val="21"/>
          <w:szCs w:val="21"/>
        </w:rPr>
        <w:t>七、方式</w:t>
      </w:r>
    </w:p>
    <w:p>
      <w:pPr>
        <w:spacing w:line="460" w:lineRule="exact"/>
        <w:ind w:right="15" w:rightChars="7" w:firstLine="420" w:firstLineChars="200"/>
        <w:rPr>
          <w:rFonts w:hint="eastAsia" w:ascii="宋体" w:hAnsi="宋体" w:cs="宋体"/>
          <w:kern w:val="32"/>
          <w:sz w:val="21"/>
          <w:szCs w:val="21"/>
        </w:rPr>
      </w:pPr>
      <w:r>
        <w:rPr>
          <w:rFonts w:hint="eastAsia" w:ascii="宋体" w:hAnsi="宋体" w:cs="宋体"/>
          <w:kern w:val="32"/>
          <w:sz w:val="21"/>
          <w:szCs w:val="21"/>
        </w:rPr>
        <w:t>本“合同”的履约情况检查由督查单位主持，甲、乙双方共同派人参加，检查方式为座谈、问卷调查、查看资料或由各方约定的其它方式等。检查时间、次数、检查方式、检查结论、处罚意见等由各方协商确定，如无法达成一致的，由督查单位依据事实裁定。</w:t>
      </w:r>
    </w:p>
    <w:p>
      <w:pPr>
        <w:spacing w:line="460" w:lineRule="exact"/>
        <w:ind w:right="15" w:rightChars="7" w:firstLine="422" w:firstLineChars="200"/>
        <w:rPr>
          <w:rFonts w:hint="eastAsia" w:ascii="宋体" w:hAnsi="宋体" w:cs="宋体"/>
          <w:b/>
          <w:kern w:val="32"/>
          <w:sz w:val="21"/>
          <w:szCs w:val="21"/>
        </w:rPr>
      </w:pPr>
      <w:r>
        <w:rPr>
          <w:rFonts w:hint="eastAsia" w:ascii="宋体" w:hAnsi="宋体" w:cs="宋体"/>
          <w:b/>
          <w:bCs/>
          <w:kern w:val="32"/>
          <w:sz w:val="21"/>
          <w:szCs w:val="21"/>
        </w:rPr>
        <w:t>八、</w:t>
      </w:r>
      <w:r>
        <w:rPr>
          <w:rFonts w:hint="eastAsia" w:ascii="宋体" w:hAnsi="宋体" w:cs="宋体"/>
          <w:kern w:val="32"/>
          <w:sz w:val="21"/>
          <w:szCs w:val="21"/>
        </w:rPr>
        <w:t>本“合同”有效期为工程开工之日起至该合同段工程项目竣工验收后止。</w:t>
      </w:r>
    </w:p>
    <w:p>
      <w:pPr>
        <w:pStyle w:val="52"/>
        <w:ind w:firstLine="482"/>
        <w:rPr>
          <w:rFonts w:hint="eastAsia" w:ascii="宋体" w:hAnsi="宋体" w:cs="宋体"/>
          <w:b/>
          <w:bCs/>
          <w:kern w:val="32"/>
          <w:sz w:val="21"/>
          <w:szCs w:val="21"/>
        </w:rPr>
      </w:pPr>
    </w:p>
    <w:p>
      <w:pPr>
        <w:pStyle w:val="52"/>
        <w:ind w:firstLine="482"/>
        <w:rPr>
          <w:rFonts w:hint="eastAsia"/>
          <w:sz w:val="21"/>
          <w:szCs w:val="21"/>
        </w:rPr>
      </w:pPr>
      <w:r>
        <w:rPr>
          <w:rFonts w:hint="eastAsia" w:ascii="宋体" w:hAnsi="宋体" w:cs="宋体"/>
          <w:b/>
          <w:bCs/>
          <w:kern w:val="32"/>
          <w:sz w:val="21"/>
          <w:szCs w:val="21"/>
        </w:rPr>
        <w:t>九、</w:t>
      </w:r>
      <w:r>
        <w:rPr>
          <w:rFonts w:hint="eastAsia" w:ascii="宋体" w:hAnsi="宋体" w:cs="宋体"/>
          <w:kern w:val="32"/>
          <w:sz w:val="21"/>
          <w:szCs w:val="21"/>
        </w:rPr>
        <w:t>本协议一式</w:t>
      </w:r>
      <w:r>
        <w:rPr>
          <w:rFonts w:hint="eastAsia" w:ascii="宋体" w:hAnsi="宋体" w:cs="宋体"/>
          <w:b/>
          <w:bCs/>
          <w:kern w:val="32"/>
          <w:sz w:val="21"/>
          <w:szCs w:val="21"/>
          <w:u w:val="single"/>
          <w:lang w:val="en-US"/>
        </w:rPr>
        <w:t>肆</w:t>
      </w:r>
      <w:r>
        <w:rPr>
          <w:rFonts w:hint="eastAsia" w:ascii="宋体" w:hAnsi="宋体" w:cs="宋体"/>
          <w:kern w:val="32"/>
          <w:sz w:val="21"/>
          <w:szCs w:val="21"/>
        </w:rPr>
        <w:t>份，委托单位、受委托单位各执</w:t>
      </w:r>
      <w:r>
        <w:rPr>
          <w:rFonts w:hint="eastAsia" w:ascii="宋体" w:hAnsi="宋体" w:cs="宋体"/>
          <w:b/>
          <w:bCs/>
          <w:kern w:val="32"/>
          <w:sz w:val="21"/>
          <w:szCs w:val="21"/>
          <w:u w:val="single"/>
          <w:lang w:val="en-US"/>
        </w:rPr>
        <w:t>贰</w:t>
      </w:r>
      <w:r>
        <w:rPr>
          <w:rFonts w:hint="eastAsia" w:ascii="宋体" w:hAnsi="宋体" w:cs="宋体"/>
          <w:kern w:val="32"/>
          <w:sz w:val="21"/>
          <w:szCs w:val="21"/>
        </w:rPr>
        <w:t>份。</w:t>
      </w:r>
    </w:p>
    <w:p>
      <w:pPr>
        <w:spacing w:line="460" w:lineRule="exact"/>
        <w:ind w:right="15" w:rightChars="7" w:firstLine="420" w:firstLineChars="200"/>
        <w:rPr>
          <w:rFonts w:hint="eastAsia" w:ascii="宋体" w:hAnsi="宋体" w:cs="宋体"/>
          <w:sz w:val="21"/>
          <w:szCs w:val="21"/>
        </w:rPr>
      </w:pP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甲方单位：      （盖章）              乙方单位：      （盖章）</w:t>
      </w: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法定代表人（或受权代理人签字）：      法定代表人（或受权代理人签字）：    </w:t>
      </w:r>
    </w:p>
    <w:p>
      <w:pPr>
        <w:adjustRightInd w:val="0"/>
        <w:spacing w:line="560" w:lineRule="exact"/>
        <w:ind w:right="15" w:rightChars="7"/>
        <w:rPr>
          <w:rFonts w:hint="eastAsia" w:ascii="宋体" w:hAnsi="宋体" w:cs="宋体"/>
          <w:sz w:val="21"/>
          <w:szCs w:val="21"/>
        </w:rPr>
      </w:pPr>
      <w:r>
        <w:rPr>
          <w:rFonts w:hint="eastAsia" w:ascii="宋体" w:hAnsi="宋体" w:cs="宋体"/>
          <w:sz w:val="21"/>
          <w:szCs w:val="21"/>
        </w:rPr>
        <w:t xml:space="preserve">    单位地址：                            </w:t>
      </w:r>
      <w:r>
        <w:rPr>
          <w:rFonts w:hint="eastAsia" w:ascii="宋体" w:hAnsi="宋体" w:cs="宋体"/>
          <w:kern w:val="0"/>
          <w:sz w:val="21"/>
          <w:szCs w:val="21"/>
        </w:rPr>
        <w:t>单位地址：</w:t>
      </w:r>
    </w:p>
    <w:p>
      <w:pPr>
        <w:adjustRightInd w:val="0"/>
        <w:spacing w:line="560" w:lineRule="exact"/>
        <w:ind w:right="15" w:rightChars="7" w:firstLine="420" w:firstLineChars="200"/>
        <w:rPr>
          <w:rFonts w:hint="eastAsia" w:ascii="宋体" w:hAnsi="宋体" w:cs="宋体"/>
          <w:kern w:val="0"/>
          <w:sz w:val="21"/>
          <w:szCs w:val="21"/>
        </w:rPr>
      </w:pPr>
      <w:r>
        <w:rPr>
          <w:rFonts w:hint="eastAsia" w:ascii="宋体" w:hAnsi="宋体" w:cs="宋体"/>
          <w:sz w:val="21"/>
          <w:szCs w:val="21"/>
        </w:rPr>
        <w:t xml:space="preserve">联系电话：                            </w:t>
      </w:r>
      <w:r>
        <w:rPr>
          <w:rFonts w:hint="eastAsia" w:ascii="宋体" w:hAnsi="宋体" w:cs="宋体"/>
          <w:kern w:val="0"/>
          <w:sz w:val="21"/>
          <w:szCs w:val="21"/>
        </w:rPr>
        <w:t>联系电话：</w:t>
      </w:r>
    </w:p>
    <w:p>
      <w:pPr>
        <w:adjustRightInd w:val="0"/>
        <w:spacing w:line="560" w:lineRule="exact"/>
        <w:ind w:right="15" w:rightChars="7" w:firstLine="420" w:firstLineChars="200"/>
        <w:rPr>
          <w:rFonts w:hint="eastAsia" w:ascii="宋体" w:hAnsi="宋体" w:cs="宋体"/>
          <w:sz w:val="21"/>
          <w:szCs w:val="21"/>
        </w:rPr>
      </w:pPr>
      <w:r>
        <w:rPr>
          <w:rFonts w:hint="eastAsia" w:ascii="宋体" w:hAnsi="宋体" w:cs="宋体"/>
          <w:sz w:val="21"/>
          <w:szCs w:val="21"/>
        </w:rPr>
        <w:t>日    期：     年   月   日           日    期：     年   月   日</w:t>
      </w:r>
    </w:p>
    <w:p>
      <w:pPr>
        <w:adjustRightInd w:val="0"/>
        <w:spacing w:line="560" w:lineRule="exact"/>
        <w:ind w:right="15" w:rightChars="7" w:firstLine="480" w:firstLineChars="200"/>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spacing w:line="480" w:lineRule="exact"/>
        <w:jc w:val="center"/>
        <w:rPr>
          <w:rFonts w:ascii="宋体" w:hAnsi="宋体"/>
          <w:b/>
          <w:sz w:val="28"/>
        </w:rPr>
      </w:pPr>
      <w:r>
        <w:rPr>
          <w:rFonts w:hint="eastAsia" w:ascii="宋体" w:hAnsi="宋体"/>
          <w:b/>
          <w:sz w:val="28"/>
        </w:rPr>
        <w:t>第五章技术资料</w:t>
      </w:r>
    </w:p>
    <w:p>
      <w:pPr>
        <w:spacing w:line="480" w:lineRule="exact"/>
        <w:rPr>
          <w:rFonts w:ascii="宋体" w:hAnsi="宋体"/>
          <w:b/>
        </w:rPr>
      </w:pPr>
    </w:p>
    <w:p>
      <w:pPr>
        <w:spacing w:line="480" w:lineRule="exact"/>
        <w:rPr>
          <w:rFonts w:ascii="宋体" w:hAnsi="宋体"/>
          <w:b/>
        </w:rPr>
      </w:pPr>
      <w:r>
        <w:rPr>
          <w:rFonts w:hint="eastAsia" w:ascii="宋体" w:hAnsi="宋体"/>
          <w:b/>
        </w:rPr>
        <w:t>一、本项目采用的技术规范（但不限于）</w:t>
      </w:r>
    </w:p>
    <w:p>
      <w:pPr>
        <w:spacing w:line="480" w:lineRule="exact"/>
        <w:ind w:firstLine="420" w:firstLineChars="200"/>
        <w:rPr>
          <w:rFonts w:ascii="宋体" w:hAnsi="宋体"/>
          <w:b/>
        </w:rPr>
      </w:pPr>
      <w:r>
        <w:rPr>
          <w:rFonts w:hint="eastAsia" w:ascii="宋体" w:hAnsi="宋体"/>
          <w:u w:val="single"/>
        </w:rPr>
        <w:t>《中华人民共和国建筑法》、《中华人民共和国合同法》、《中华人民共和国招投标法》、《中华人民共和国招标投标法实施条例》、《工程建设项目施工招标投标办法》（国家计委等七部委局令</w:t>
      </w:r>
      <w:r>
        <w:rPr>
          <w:rFonts w:ascii="宋体" w:hAnsi="宋体"/>
          <w:u w:val="single"/>
        </w:rPr>
        <w:t>30</w:t>
      </w:r>
      <w:r>
        <w:rPr>
          <w:rFonts w:hint="eastAsia" w:ascii="宋体" w:hAnsi="宋体"/>
          <w:u w:val="single"/>
        </w:rPr>
        <w:t>号）、《房屋建筑和市政基础设施工程施工招标投标管理办法》（建设部第</w:t>
      </w:r>
      <w:r>
        <w:rPr>
          <w:rFonts w:ascii="宋体" w:hAnsi="宋体"/>
          <w:u w:val="single"/>
        </w:rPr>
        <w:t>89</w:t>
      </w:r>
      <w:r>
        <w:rPr>
          <w:rFonts w:hint="eastAsia" w:ascii="宋体" w:hAnsi="宋体"/>
          <w:u w:val="single"/>
        </w:rPr>
        <w:t>号令）等现行法律法规文件</w:t>
      </w:r>
    </w:p>
    <w:p>
      <w:pPr>
        <w:spacing w:line="480" w:lineRule="exact"/>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widowControl/>
        <w:spacing w:line="360" w:lineRule="auto"/>
        <w:jc w:val="left"/>
        <w:rPr>
          <w:rFonts w:ascii="宋体" w:hAnsi="宋体"/>
          <w:color w:val="000000" w:themeColor="text1"/>
          <w:sz w:val="24"/>
          <w14:textFill>
            <w14:solidFill>
              <w14:schemeClr w14:val="tx1"/>
            </w14:solidFill>
          </w14:textFill>
        </w:rPr>
      </w:pPr>
    </w:p>
    <w:p>
      <w:pPr>
        <w:widowControl/>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br w:type="page"/>
      </w: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3"/>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第六章投标文件格式</w:t>
      </w: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asciiTheme="minorEastAsia" w:hAnsiTheme="minorEastAsia" w:eastAsiaTheme="minorEastAsia" w:cstheme="minorEastAsia"/>
          <w:color w:val="000000" w:themeColor="text1"/>
          <w:szCs w:val="21"/>
          <w14:textFill>
            <w14:solidFill>
              <w14:schemeClr w14:val="tx1"/>
            </w14:solidFill>
          </w14:textFill>
        </w:rPr>
      </w:pPr>
    </w:p>
    <w:p>
      <w:pPr>
        <w:rPr>
          <w:rFonts w:hint="eastAsia" w:asciiTheme="minorEastAsia" w:hAnsiTheme="minorEastAsia" w:eastAsiaTheme="minorEastAsia" w:cstheme="minorEastAsia"/>
          <w:bCs/>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5" w:name="_Toc398107927"/>
      <w:r>
        <w:rPr>
          <w:rFonts w:hint="eastAsia" w:asciiTheme="minorEastAsia" w:hAnsiTheme="minorEastAsia" w:eastAsiaTheme="minorEastAsia" w:cstheme="minorEastAsia"/>
          <w:bCs/>
          <w:color w:val="000000" w:themeColor="text1"/>
          <w:kern w:val="2"/>
          <w:sz w:val="32"/>
          <w:szCs w:val="32"/>
          <w:lang w:val="en-US" w:eastAsia="zh-CN" w:bidi="ar-SA"/>
          <w14:textFill>
            <w14:solidFill>
              <w14:schemeClr w14:val="tx1"/>
            </w14:solidFill>
          </w14:textFill>
        </w:rPr>
        <w:t>附件：控制价一览表</w:t>
      </w:r>
    </w:p>
    <w:p>
      <w:pPr>
        <w:pStyle w:val="52"/>
        <w:spacing w:line="400" w:lineRule="exact"/>
        <w:rPr>
          <w:rFonts w:hint="eastAsia"/>
          <w:color w:val="auto"/>
          <w:sz w:val="24"/>
          <w:szCs w:val="24"/>
          <w:lang w:val="en-US"/>
        </w:rPr>
      </w:pPr>
      <w:r>
        <w:rPr>
          <w:rFonts w:hint="eastAsia"/>
          <w:b/>
          <w:bCs/>
          <w:color w:val="auto"/>
          <w:sz w:val="24"/>
          <w:szCs w:val="24"/>
          <w:lang w:val="en-US"/>
        </w:rPr>
        <w:t>最高限价见下表，最低限价不低于最高限价的</w:t>
      </w:r>
      <w:r>
        <w:rPr>
          <w:rFonts w:hint="eastAsia" w:ascii="宋体" w:hAnsi="宋体" w:cs="宋体"/>
          <w:b/>
          <w:bCs/>
          <w:color w:val="auto"/>
          <w:sz w:val="24"/>
          <w:szCs w:val="24"/>
          <w:lang w:val="en-US"/>
        </w:rPr>
        <w:t>90%</w:t>
      </w:r>
      <w:r>
        <w:rPr>
          <w:rFonts w:hint="eastAsia"/>
          <w:b/>
          <w:bCs/>
          <w:color w:val="auto"/>
          <w:sz w:val="24"/>
          <w:szCs w:val="24"/>
          <w:lang w:val="en-US"/>
        </w:rPr>
        <w:t>。</w:t>
      </w:r>
      <w:r>
        <w:rPr>
          <w:rFonts w:hint="eastAsia"/>
          <w:color w:val="auto"/>
          <w:sz w:val="24"/>
          <w:szCs w:val="24"/>
          <w:lang w:val="en-US"/>
        </w:rPr>
        <w:t>（表中时间段为待定，各时间阶段以实际公布为准）</w:t>
      </w:r>
    </w:p>
    <w:p>
      <w:pPr>
        <w:pStyle w:val="2"/>
        <w:rPr>
          <w:rFonts w:hint="eastAsia"/>
          <w:sz w:val="22"/>
          <w:szCs w:val="21"/>
          <w:lang w:eastAsia="zh-CN"/>
        </w:rPr>
      </w:pPr>
    </w:p>
    <w:tbl>
      <w:tblPr>
        <w:tblStyle w:val="42"/>
        <w:tblW w:w="9583" w:type="dxa"/>
        <w:tblInd w:w="0" w:type="dxa"/>
        <w:tblLayout w:type="fixed"/>
        <w:tblCellMar>
          <w:top w:w="0" w:type="dxa"/>
          <w:left w:w="0" w:type="dxa"/>
          <w:bottom w:w="0" w:type="dxa"/>
          <w:right w:w="0" w:type="dxa"/>
        </w:tblCellMar>
      </w:tblPr>
      <w:tblGrid>
        <w:gridCol w:w="1175"/>
        <w:gridCol w:w="1913"/>
        <w:gridCol w:w="1365"/>
        <w:gridCol w:w="1305"/>
        <w:gridCol w:w="1365"/>
        <w:gridCol w:w="1305"/>
        <w:gridCol w:w="1155"/>
      </w:tblGrid>
      <w:tr>
        <w:tblPrEx>
          <w:tblCellMar>
            <w:top w:w="0" w:type="dxa"/>
            <w:left w:w="0" w:type="dxa"/>
            <w:bottom w:w="0" w:type="dxa"/>
            <w:right w:w="0" w:type="dxa"/>
          </w:tblCellMar>
        </w:tblPrEx>
        <w:trPr>
          <w:trHeight w:val="504" w:hRule="atLeast"/>
        </w:trPr>
        <w:tc>
          <w:tcPr>
            <w:tcW w:w="9583"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24"/>
              </w:rPr>
              <w:t>各阶段费用结算限价表</w:t>
            </w:r>
          </w:p>
        </w:tc>
      </w:tr>
      <w:tr>
        <w:tblPrEx>
          <w:tblCellMar>
            <w:top w:w="0" w:type="dxa"/>
            <w:left w:w="0" w:type="dxa"/>
            <w:bottom w:w="0" w:type="dxa"/>
            <w:right w:w="0" w:type="dxa"/>
          </w:tblCellMar>
        </w:tblPrEx>
        <w:trPr>
          <w:trHeight w:val="540" w:hRule="atLeast"/>
        </w:trPr>
        <w:tc>
          <w:tcPr>
            <w:tcW w:w="30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批  次</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第一阶段</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第二阶段</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第三阶段</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第四阶段</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阶段后</w:t>
            </w:r>
          </w:p>
        </w:tc>
      </w:tr>
      <w:tr>
        <w:tblPrEx>
          <w:tblCellMar>
            <w:top w:w="0" w:type="dxa"/>
            <w:left w:w="0" w:type="dxa"/>
            <w:bottom w:w="0" w:type="dxa"/>
            <w:right w:w="0" w:type="dxa"/>
          </w:tblCellMar>
        </w:tblPrEx>
        <w:trPr>
          <w:trHeight w:val="582" w:hRule="atLeast"/>
        </w:trPr>
        <w:tc>
          <w:tcPr>
            <w:tcW w:w="1175"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时间范围</w:t>
            </w:r>
          </w:p>
        </w:tc>
        <w:tc>
          <w:tcPr>
            <w:tcW w:w="8408" w:type="dxa"/>
            <w:gridSpan w:val="6"/>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待定</w:t>
            </w:r>
          </w:p>
        </w:tc>
      </w:tr>
      <w:tr>
        <w:tblPrEx>
          <w:tblCellMar>
            <w:top w:w="0" w:type="dxa"/>
            <w:left w:w="0" w:type="dxa"/>
            <w:bottom w:w="0" w:type="dxa"/>
            <w:right w:w="0" w:type="dxa"/>
          </w:tblCellMar>
        </w:tblPrEx>
        <w:trPr>
          <w:trHeight w:val="499" w:hRule="atLeast"/>
        </w:trPr>
        <w:tc>
          <w:tcPr>
            <w:tcW w:w="11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房屋性质对应结算费用</w:t>
            </w:r>
          </w:p>
        </w:tc>
        <w:tc>
          <w:tcPr>
            <w:tcW w:w="1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私     房</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15000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15000</w:t>
            </w:r>
            <w:r>
              <w:rPr>
                <w:rFonts w:hint="eastAsia" w:ascii="宋体" w:hAnsi="宋体" w:cs="宋体"/>
                <w:color w:val="000000"/>
                <w:kern w:val="0"/>
                <w:sz w:val="18"/>
                <w:szCs w:val="18"/>
                <w:lang w:val="en-US" w:eastAsia="zh-CN"/>
              </w:rPr>
              <w:t>元/户</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10000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w:t>
            </w:r>
            <w:r>
              <w:rPr>
                <w:rFonts w:hint="eastAsia" w:ascii="宋体" w:hAnsi="宋体" w:cs="宋体"/>
                <w:color w:val="000000"/>
                <w:kern w:val="0"/>
                <w:sz w:val="18"/>
                <w:szCs w:val="18"/>
                <w:lang w:val="en-US" w:eastAsia="zh-CN"/>
              </w:rPr>
              <w:t>元/户</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公房、车库、未见证</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10000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8000</w:t>
            </w:r>
            <w:r>
              <w:rPr>
                <w:rFonts w:hint="eastAsia" w:ascii="宋体" w:hAnsi="宋体" w:cs="宋体"/>
                <w:color w:val="000000"/>
                <w:kern w:val="0"/>
                <w:sz w:val="18"/>
                <w:szCs w:val="18"/>
                <w:lang w:val="en-US" w:eastAsia="zh-CN"/>
              </w:rPr>
              <w:t>元/户</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6000</w:t>
            </w:r>
            <w:r>
              <w:rPr>
                <w:rFonts w:hint="eastAsia" w:ascii="宋体" w:hAnsi="宋体" w:cs="宋体"/>
                <w:color w:val="000000"/>
                <w:kern w:val="0"/>
                <w:sz w:val="18"/>
                <w:szCs w:val="18"/>
                <w:lang w:val="en-US" w:eastAsia="zh-CN"/>
              </w:rPr>
              <w:t>元/户</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4000</w:t>
            </w:r>
            <w:r>
              <w:rPr>
                <w:rFonts w:hint="eastAsia" w:ascii="宋体" w:hAnsi="宋体" w:cs="宋体"/>
                <w:color w:val="000000"/>
                <w:kern w:val="0"/>
                <w:sz w:val="18"/>
                <w:szCs w:val="18"/>
                <w:lang w:val="en-US" w:eastAsia="zh-CN"/>
              </w:rPr>
              <w:t>元/户</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企业</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搬迁补偿总额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5000万及以内</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5000万-1亿</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1亿以上</w:t>
            </w:r>
          </w:p>
        </w:tc>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企业服务费不足5万元的，按5万元计算</w:t>
            </w: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期限内</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0.75%</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0.4%</w:t>
            </w:r>
          </w:p>
        </w:tc>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499" w:hRule="atLeast"/>
        </w:trPr>
        <w:tc>
          <w:tcPr>
            <w:tcW w:w="11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9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期限外</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0.375%</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0.25%</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0.2%</w:t>
            </w:r>
          </w:p>
        </w:tc>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r>
    </w:tbl>
    <w:p>
      <w:pPr>
        <w:spacing w:line="420" w:lineRule="exact"/>
        <w:ind w:left="420" w:leftChars="200"/>
        <w:rPr>
          <w:rFonts w:hint="eastAsia" w:ascii="宋体" w:hAnsi="宋体" w:cs="宋体"/>
          <w:b/>
          <w:bCs/>
          <w:sz w:val="21"/>
          <w:szCs w:val="21"/>
        </w:rPr>
      </w:pPr>
      <w:r>
        <w:rPr>
          <w:rFonts w:hint="eastAsia" w:ascii="宋体" w:hAnsi="宋体" w:cs="宋体"/>
          <w:b/>
          <w:bCs/>
          <w:sz w:val="21"/>
          <w:szCs w:val="21"/>
        </w:rPr>
        <w:t>实施阶段及要求：</w:t>
      </w:r>
    </w:p>
    <w:p>
      <w:pPr>
        <w:spacing w:line="420" w:lineRule="exact"/>
        <w:ind w:left="420" w:leftChars="200"/>
        <w:rPr>
          <w:rFonts w:hint="eastAsia" w:ascii="宋体" w:hAnsi="宋体" w:cs="宋体"/>
          <w:color w:val="auto"/>
          <w:sz w:val="21"/>
          <w:szCs w:val="21"/>
        </w:rPr>
      </w:pPr>
      <w:r>
        <w:rPr>
          <w:rFonts w:hint="eastAsia" w:ascii="宋体" w:hAnsi="宋体" w:cs="宋体"/>
          <w:color w:val="auto"/>
          <w:sz w:val="21"/>
          <w:szCs w:val="21"/>
        </w:rPr>
        <w:t>征收搬迁项目实施分为丈量调查和征收搬迁实施两个阶段。</w:t>
      </w:r>
    </w:p>
    <w:p>
      <w:pPr>
        <w:spacing w:line="420" w:lineRule="exact"/>
        <w:ind w:left="420" w:leftChars="200"/>
        <w:rPr>
          <w:rFonts w:hint="eastAsia" w:ascii="宋体" w:hAnsi="宋体"/>
          <w:color w:val="auto"/>
          <w:sz w:val="21"/>
          <w:szCs w:val="21"/>
        </w:rPr>
      </w:pPr>
      <w:r>
        <w:rPr>
          <w:rFonts w:hint="eastAsia" w:ascii="宋体" w:hAnsi="宋体"/>
          <w:color w:val="auto"/>
          <w:sz w:val="21"/>
          <w:szCs w:val="21"/>
        </w:rPr>
        <w:t>（1）、</w:t>
      </w:r>
      <w:r>
        <w:rPr>
          <w:rFonts w:hint="eastAsia" w:ascii="宋体" w:hAnsi="宋体" w:cs="宋体"/>
          <w:color w:val="auto"/>
          <w:sz w:val="21"/>
          <w:szCs w:val="21"/>
        </w:rPr>
        <w:t>丈量调查阶段</w:t>
      </w:r>
    </w:p>
    <w:p>
      <w:pPr>
        <w:spacing w:line="420" w:lineRule="exact"/>
        <w:ind w:firstLine="420" w:firstLineChars="200"/>
        <w:rPr>
          <w:rFonts w:hint="eastAsia" w:ascii="宋体" w:hAnsi="宋体" w:cs="宋体"/>
          <w:color w:val="auto"/>
          <w:sz w:val="21"/>
          <w:szCs w:val="21"/>
          <w:lang w:eastAsia="zh-CN"/>
        </w:rPr>
      </w:pPr>
      <w:r>
        <w:rPr>
          <w:rFonts w:ascii="宋体" w:hAnsi="宋体" w:cs="宋体"/>
          <w:color w:val="auto"/>
          <w:sz w:val="21"/>
          <w:szCs w:val="21"/>
        </w:rPr>
        <w:t>①</w:t>
      </w:r>
      <w:r>
        <w:rPr>
          <w:rFonts w:hint="eastAsia" w:ascii="宋体" w:hAnsi="宋体" w:cs="宋体"/>
          <w:color w:val="auto"/>
          <w:sz w:val="21"/>
          <w:szCs w:val="21"/>
        </w:rPr>
        <w:t>、丈量调查阶段的服务费用上限为“800元/户”，下限为“700元/户”</w:t>
      </w:r>
      <w:r>
        <w:rPr>
          <w:rFonts w:hint="eastAsia" w:ascii="宋体" w:hAnsi="宋体" w:cs="宋体"/>
          <w:color w:val="auto"/>
          <w:sz w:val="21"/>
          <w:szCs w:val="21"/>
          <w:lang w:eastAsia="zh-CN"/>
        </w:rPr>
        <w:t>；</w:t>
      </w:r>
    </w:p>
    <w:p>
      <w:pPr>
        <w:spacing w:line="420" w:lineRule="exact"/>
        <w:ind w:firstLine="420" w:firstLineChars="200"/>
        <w:rPr>
          <w:rFonts w:hint="eastAsia" w:ascii="宋体" w:hAnsi="宋体" w:cs="宋体"/>
          <w:color w:val="auto"/>
          <w:sz w:val="21"/>
          <w:szCs w:val="21"/>
        </w:rPr>
      </w:pPr>
      <w:r>
        <w:rPr>
          <w:rFonts w:ascii="宋体" w:hAnsi="宋体" w:cs="宋体"/>
          <w:color w:val="auto"/>
          <w:sz w:val="21"/>
          <w:szCs w:val="21"/>
        </w:rPr>
        <w:t>②</w:t>
      </w:r>
      <w:r>
        <w:rPr>
          <w:rFonts w:hint="eastAsia" w:ascii="宋体" w:hAnsi="宋体" w:cs="宋体"/>
          <w:color w:val="auto"/>
          <w:sz w:val="21"/>
          <w:szCs w:val="21"/>
        </w:rPr>
        <w:t>、丈量调查</w:t>
      </w:r>
      <w:r>
        <w:rPr>
          <w:rFonts w:hint="eastAsia" w:ascii="宋体" w:hAnsi="宋体"/>
          <w:color w:val="auto"/>
          <w:sz w:val="21"/>
          <w:szCs w:val="21"/>
        </w:rPr>
        <w:t>阶段</w:t>
      </w:r>
      <w:r>
        <w:rPr>
          <w:rFonts w:hint="eastAsia" w:ascii="宋体" w:hAnsi="宋体" w:cs="宋体"/>
          <w:color w:val="auto"/>
          <w:sz w:val="21"/>
          <w:szCs w:val="21"/>
        </w:rPr>
        <w:t>填报数据须在通知进场后的7天报招标人。调查登记填报数据的准确率必须达95%以上，如误差1%的每户扣除100元，不足1%按1%计算。</w:t>
      </w:r>
    </w:p>
    <w:p>
      <w:pPr>
        <w:spacing w:line="420" w:lineRule="exact"/>
        <w:ind w:firstLine="420" w:firstLineChars="200"/>
        <w:rPr>
          <w:rFonts w:hint="eastAsia" w:ascii="宋体" w:hAnsi="宋体" w:cs="宋体"/>
          <w:sz w:val="21"/>
          <w:szCs w:val="21"/>
        </w:rPr>
      </w:pPr>
      <w:r>
        <w:rPr>
          <w:rFonts w:hint="eastAsia" w:ascii="宋体" w:hAnsi="宋体" w:cs="宋体"/>
          <w:sz w:val="21"/>
          <w:szCs w:val="21"/>
        </w:rPr>
        <w:t>（2）、征收搬迁实施阶段</w:t>
      </w:r>
    </w:p>
    <w:p>
      <w:pPr>
        <w:pStyle w:val="52"/>
        <w:rPr>
          <w:rFonts w:hint="default" w:ascii="宋体" w:hAnsi="宋体" w:eastAsia="宋体"/>
          <w:color w:val="auto"/>
          <w:sz w:val="21"/>
          <w:szCs w:val="21"/>
          <w:highlight w:val="yellow"/>
          <w:lang w:val="en-US" w:eastAsia="zh-CN"/>
        </w:rPr>
      </w:pPr>
      <w:r>
        <w:rPr>
          <w:rFonts w:hint="eastAsia" w:ascii="宋体" w:hAnsi="宋体"/>
          <w:color w:val="auto"/>
          <w:sz w:val="21"/>
          <w:szCs w:val="21"/>
          <w:highlight w:val="yellow"/>
          <w:lang w:val="en-US"/>
        </w:rPr>
        <w:t>征收搬迁实施前，招标人可根据预丈量调查情况及项目进展情况</w:t>
      </w:r>
      <w:r>
        <w:rPr>
          <w:rFonts w:hint="eastAsia" w:ascii="宋体" w:hAnsi="宋体"/>
          <w:color w:val="auto"/>
          <w:sz w:val="21"/>
          <w:szCs w:val="21"/>
          <w:highlight w:val="yellow"/>
          <w:lang w:val="en-US" w:eastAsia="zh-CN"/>
        </w:rPr>
        <w:t>以及考核情况进行比选</w:t>
      </w:r>
      <w:r>
        <w:rPr>
          <w:rFonts w:hint="eastAsia" w:ascii="宋体" w:hAnsi="宋体"/>
          <w:color w:val="auto"/>
          <w:sz w:val="21"/>
          <w:szCs w:val="21"/>
          <w:highlight w:val="yellow"/>
          <w:lang w:val="en-US"/>
        </w:rPr>
        <w:t>确定项目实施单位</w:t>
      </w:r>
      <w:r>
        <w:rPr>
          <w:rFonts w:hint="eastAsia" w:ascii="宋体" w:hAnsi="宋体"/>
          <w:color w:val="auto"/>
          <w:sz w:val="21"/>
          <w:szCs w:val="21"/>
          <w:highlight w:val="yellow"/>
          <w:lang w:val="en-US" w:eastAsia="zh-CN"/>
        </w:rPr>
        <w:t>并签订委托合同。</w:t>
      </w:r>
    </w:p>
    <w:p>
      <w:pPr>
        <w:pStyle w:val="52"/>
        <w:rPr>
          <w:rFonts w:hint="eastAsia" w:ascii="宋体" w:hAnsi="宋体" w:eastAsia="宋体" w:cs="宋体"/>
          <w:sz w:val="21"/>
          <w:szCs w:val="21"/>
          <w:lang w:eastAsia="zh-CN"/>
        </w:rPr>
      </w:pPr>
      <w:r>
        <w:rPr>
          <w:rFonts w:hint="eastAsia" w:ascii="宋体" w:hAnsi="宋体" w:cs="宋体"/>
          <w:sz w:val="21"/>
          <w:szCs w:val="21"/>
        </w:rPr>
        <w:t>（3）、项目实施要求</w:t>
      </w:r>
      <w:r>
        <w:rPr>
          <w:rFonts w:hint="eastAsia" w:ascii="宋体" w:hAnsi="宋体" w:cs="宋体"/>
          <w:sz w:val="21"/>
          <w:szCs w:val="21"/>
          <w:highlight w:val="yellow"/>
          <w:lang w:eastAsia="zh-CN"/>
        </w:rPr>
        <w:t>（</w:t>
      </w:r>
      <w:r>
        <w:rPr>
          <w:rFonts w:hint="eastAsia" w:ascii="宋体" w:hAnsi="宋体" w:cs="宋体"/>
          <w:sz w:val="21"/>
          <w:szCs w:val="21"/>
          <w:highlight w:val="yellow"/>
          <w:lang w:val="en-US" w:eastAsia="zh-CN"/>
        </w:rPr>
        <w:t>实施内容以签订合同为准</w:t>
      </w:r>
      <w:r>
        <w:rPr>
          <w:rFonts w:hint="eastAsia" w:ascii="宋体" w:hAnsi="宋体" w:cs="宋体"/>
          <w:sz w:val="21"/>
          <w:szCs w:val="21"/>
          <w:highlight w:val="yellow"/>
          <w:lang w:eastAsia="zh-CN"/>
        </w:rPr>
        <w:t>）</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①、签约期限为1个月的。签约期限第1天至第15天为房屋征收搬迁实施第一时间段；签约期限第16天至第20天为房屋征收搬迁实施第二时间段；签约期限第21天至第25天为房屋征收搬迁实施第三时间段；签约期限第26天至第30天为房屋征收搬迁实施第四时间段。</w:t>
      </w:r>
    </w:p>
    <w:p>
      <w:pPr>
        <w:spacing w:line="400" w:lineRule="exact"/>
        <w:ind w:firstLine="420" w:firstLineChars="200"/>
        <w:rPr>
          <w:rFonts w:hint="eastAsia" w:ascii="宋体" w:hAnsi="宋体" w:cs="宋体"/>
          <w:sz w:val="21"/>
          <w:szCs w:val="21"/>
        </w:rPr>
      </w:pPr>
      <w:r>
        <w:rPr>
          <w:rFonts w:hint="eastAsia" w:ascii="宋体" w:hAnsi="宋体" w:cs="宋体"/>
          <w:sz w:val="21"/>
          <w:szCs w:val="21"/>
        </w:rPr>
        <w:t>②、签约期限为2个月的。签约期限第1天至第30天为房屋征收搬迁实施第一时间段；签约期限第31天至第40天为房屋征收搬迁实施第二时间段；签约期限第41天至第50天为房屋征收搬迁实施第三时间段；签约期限第51天至第60天为房屋征收搬迁实施第四时间段。</w:t>
      </w:r>
    </w:p>
    <w:p>
      <w:pPr>
        <w:widowControl/>
        <w:spacing w:line="440" w:lineRule="exact"/>
        <w:ind w:firstLine="420" w:firstLineChars="200"/>
        <w:jc w:val="left"/>
        <w:rPr>
          <w:rFonts w:ascii="宋体" w:hAnsi="宋体" w:cs="宋体"/>
          <w:kern w:val="0"/>
          <w:sz w:val="21"/>
          <w:szCs w:val="21"/>
        </w:rPr>
      </w:pPr>
      <w:r>
        <w:rPr>
          <w:rFonts w:ascii="宋体" w:hAnsi="宋体" w:cs="宋体"/>
          <w:kern w:val="0"/>
          <w:sz w:val="21"/>
          <w:szCs w:val="21"/>
        </w:rPr>
        <w:t>③</w:t>
      </w:r>
      <w:r>
        <w:rPr>
          <w:rFonts w:hint="eastAsia" w:ascii="宋体" w:hAnsi="宋体" w:cs="宋体"/>
          <w:kern w:val="0"/>
          <w:sz w:val="21"/>
          <w:szCs w:val="21"/>
        </w:rPr>
        <w:t>、</w:t>
      </w:r>
      <w:r>
        <w:rPr>
          <w:rFonts w:ascii="宋体" w:hAnsi="宋体" w:cs="宋体"/>
          <w:kern w:val="0"/>
          <w:sz w:val="21"/>
          <w:szCs w:val="21"/>
        </w:rPr>
        <w:t>严格执行</w:t>
      </w:r>
      <w:r>
        <w:rPr>
          <w:rFonts w:hint="eastAsia" w:ascii="宋体" w:hAnsi="宋体" w:cs="宋体"/>
          <w:kern w:val="0"/>
          <w:sz w:val="21"/>
          <w:szCs w:val="21"/>
        </w:rPr>
        <w:t>相关法律、</w:t>
      </w:r>
      <w:r>
        <w:rPr>
          <w:rFonts w:ascii="宋体" w:hAnsi="宋体" w:cs="宋体"/>
          <w:kern w:val="0"/>
          <w:sz w:val="21"/>
          <w:szCs w:val="21"/>
        </w:rPr>
        <w:t>法规</w:t>
      </w:r>
      <w:r>
        <w:rPr>
          <w:rFonts w:hint="eastAsia" w:ascii="宋体" w:hAnsi="宋体" w:cs="宋体"/>
          <w:kern w:val="0"/>
          <w:sz w:val="21"/>
          <w:szCs w:val="21"/>
        </w:rPr>
        <w:t>及</w:t>
      </w:r>
      <w:r>
        <w:rPr>
          <w:rFonts w:ascii="宋体" w:hAnsi="宋体" w:cs="宋体"/>
          <w:kern w:val="0"/>
          <w:sz w:val="21"/>
          <w:szCs w:val="21"/>
        </w:rPr>
        <w:t>政策，按</w:t>
      </w:r>
      <w:r>
        <w:rPr>
          <w:rFonts w:hint="eastAsia" w:ascii="宋体" w:hAnsi="宋体" w:cs="宋体"/>
          <w:kern w:val="0"/>
          <w:sz w:val="21"/>
          <w:szCs w:val="21"/>
        </w:rPr>
        <w:t>流程</w:t>
      </w:r>
      <w:r>
        <w:rPr>
          <w:rFonts w:ascii="宋体" w:hAnsi="宋体" w:cs="宋体"/>
          <w:kern w:val="0"/>
          <w:sz w:val="21"/>
          <w:szCs w:val="21"/>
        </w:rPr>
        <w:t>认真规范操作</w:t>
      </w:r>
      <w:r>
        <w:rPr>
          <w:rFonts w:hint="eastAsia" w:ascii="宋体" w:hAnsi="宋体" w:cs="宋体"/>
          <w:kern w:val="0"/>
          <w:sz w:val="21"/>
          <w:szCs w:val="21"/>
        </w:rPr>
        <w:t>。</w:t>
      </w:r>
      <w:r>
        <w:rPr>
          <w:rFonts w:hint="eastAsia" w:ascii="宋体" w:hAnsi="宋体"/>
          <w:sz w:val="21"/>
          <w:szCs w:val="21"/>
        </w:rPr>
        <w:t>不滥用职权、玩忽职守、弄虚作假、徇私舞弊。不损害国家、集体的利益，切实维护征收搬迁当事人的合法权益。不与被征收搬迁人进行权钱交易，不接受被征收搬迁人的财物或吃请。</w:t>
      </w:r>
    </w:p>
    <w:p>
      <w:pPr>
        <w:spacing w:line="440" w:lineRule="exact"/>
        <w:ind w:firstLine="420" w:firstLineChars="200"/>
        <w:jc w:val="left"/>
        <w:rPr>
          <w:rFonts w:ascii="宋体" w:hAnsi="宋体" w:cs="宋体"/>
          <w:kern w:val="0"/>
          <w:sz w:val="21"/>
          <w:szCs w:val="21"/>
        </w:rPr>
      </w:pPr>
      <w:r>
        <w:rPr>
          <w:rFonts w:hint="eastAsia" w:ascii="宋体" w:hAnsi="宋体" w:cs="宋体"/>
          <w:kern w:val="0"/>
          <w:sz w:val="21"/>
          <w:szCs w:val="21"/>
        </w:rPr>
        <w:t>④、项目实施前，所有调查资料（包括影像资料）必须全部准备到位，项目经理和工作人员自</w:t>
      </w:r>
      <w:r>
        <w:rPr>
          <w:rFonts w:ascii="宋体" w:hAnsi="宋体" w:cs="宋体"/>
          <w:kern w:val="0"/>
          <w:sz w:val="21"/>
          <w:szCs w:val="21"/>
        </w:rPr>
        <w:t>确定</w:t>
      </w:r>
      <w:r>
        <w:rPr>
          <w:rFonts w:hint="eastAsia" w:ascii="宋体" w:hAnsi="宋体" w:cs="宋体"/>
          <w:kern w:val="0"/>
          <w:sz w:val="21"/>
          <w:szCs w:val="21"/>
        </w:rPr>
        <w:t>后不变更撤离</w:t>
      </w:r>
      <w:r>
        <w:rPr>
          <w:rFonts w:hint="eastAsia" w:ascii="宋体" w:hAnsi="宋体"/>
          <w:sz w:val="21"/>
          <w:szCs w:val="21"/>
        </w:rPr>
        <w:t>直至工程全部结束</w:t>
      </w:r>
      <w:r>
        <w:rPr>
          <w:rFonts w:hint="eastAsia" w:ascii="宋体" w:hAnsi="宋体" w:cs="宋体"/>
          <w:kern w:val="0"/>
          <w:sz w:val="21"/>
          <w:szCs w:val="21"/>
        </w:rPr>
        <w:t>，如要调整人员需请示申请。</w:t>
      </w:r>
      <w:r>
        <w:rPr>
          <w:rFonts w:hint="eastAsia" w:ascii="宋体" w:hAnsi="宋体"/>
          <w:sz w:val="21"/>
          <w:szCs w:val="21"/>
        </w:rPr>
        <w:t>项目实施过程中，所有工作人员牵头组织工作组共同实施并承担主体责任，</w:t>
      </w:r>
      <w:r>
        <w:rPr>
          <w:rFonts w:hint="eastAsia" w:ascii="宋体" w:hAnsi="宋体" w:cs="宋体"/>
          <w:kern w:val="0"/>
          <w:sz w:val="21"/>
          <w:szCs w:val="21"/>
        </w:rPr>
        <w:t>如有扫尾任务，主要负责人直接在现场组织安排实施。</w:t>
      </w:r>
    </w:p>
    <w:p>
      <w:pPr>
        <w:spacing w:line="440" w:lineRule="exact"/>
        <w:ind w:firstLine="420" w:firstLineChars="200"/>
        <w:jc w:val="left"/>
        <w:rPr>
          <w:rFonts w:ascii="宋体" w:hAnsi="宋体" w:cs="宋体"/>
          <w:kern w:val="0"/>
          <w:sz w:val="21"/>
          <w:szCs w:val="21"/>
        </w:rPr>
      </w:pPr>
      <w:r>
        <w:rPr>
          <w:rFonts w:hint="eastAsia" w:ascii="宋体" w:hAnsi="宋体" w:cs="宋体"/>
          <w:kern w:val="0"/>
          <w:sz w:val="21"/>
          <w:szCs w:val="21"/>
        </w:rPr>
        <w:t>⑤、对被征收搬迁人</w:t>
      </w:r>
      <w:r>
        <w:rPr>
          <w:rFonts w:ascii="宋体" w:hAnsi="宋体" w:cs="宋体"/>
          <w:kern w:val="0"/>
          <w:sz w:val="21"/>
          <w:szCs w:val="21"/>
        </w:rPr>
        <w:t>签订</w:t>
      </w:r>
      <w:r>
        <w:rPr>
          <w:rFonts w:hint="eastAsia" w:ascii="宋体" w:hAnsi="宋体" w:cs="宋体"/>
          <w:kern w:val="0"/>
          <w:sz w:val="21"/>
          <w:szCs w:val="21"/>
        </w:rPr>
        <w:t>房屋补偿协议</w:t>
      </w:r>
      <w:r>
        <w:rPr>
          <w:rFonts w:ascii="宋体" w:hAnsi="宋体" w:cs="宋体"/>
          <w:kern w:val="0"/>
          <w:sz w:val="21"/>
          <w:szCs w:val="21"/>
        </w:rPr>
        <w:t>后，</w:t>
      </w:r>
      <w:r>
        <w:rPr>
          <w:rFonts w:hint="eastAsia" w:ascii="宋体" w:hAnsi="宋体" w:cs="宋体"/>
          <w:kern w:val="0"/>
          <w:sz w:val="21"/>
          <w:szCs w:val="21"/>
        </w:rPr>
        <w:t>跟踪、督促被征收搬迁人及时搬迁交房，</w:t>
      </w:r>
      <w:r>
        <w:rPr>
          <w:rFonts w:hint="eastAsia" w:ascii="宋体" w:hAnsi="宋体"/>
          <w:sz w:val="21"/>
          <w:szCs w:val="21"/>
        </w:rPr>
        <w:t>同时妥善处理各种矛盾和纠纷，遇事不推诿、不扯皮。</w:t>
      </w:r>
      <w:r>
        <w:rPr>
          <w:rFonts w:ascii="宋体" w:hAnsi="宋体" w:cs="宋体"/>
          <w:kern w:val="0"/>
          <w:sz w:val="21"/>
          <w:szCs w:val="21"/>
        </w:rPr>
        <w:t>在被</w:t>
      </w:r>
      <w:r>
        <w:rPr>
          <w:rFonts w:hint="eastAsia" w:ascii="宋体" w:hAnsi="宋体" w:cs="宋体"/>
          <w:kern w:val="0"/>
          <w:sz w:val="21"/>
          <w:szCs w:val="21"/>
        </w:rPr>
        <w:t>征收搬迁</w:t>
      </w:r>
      <w:r>
        <w:rPr>
          <w:rFonts w:ascii="宋体" w:hAnsi="宋体" w:cs="宋体"/>
          <w:kern w:val="0"/>
          <w:sz w:val="21"/>
          <w:szCs w:val="21"/>
        </w:rPr>
        <w:t>人</w:t>
      </w:r>
      <w:r>
        <w:rPr>
          <w:rFonts w:hint="eastAsia" w:ascii="宋体" w:hAnsi="宋体" w:cs="宋体"/>
          <w:kern w:val="0"/>
          <w:sz w:val="21"/>
          <w:szCs w:val="21"/>
        </w:rPr>
        <w:t>搬迁交房后的</w:t>
      </w:r>
      <w:r>
        <w:rPr>
          <w:rFonts w:ascii="宋体" w:hAnsi="宋体" w:cs="宋体"/>
          <w:kern w:val="0"/>
          <w:sz w:val="21"/>
          <w:szCs w:val="21"/>
        </w:rPr>
        <w:t>10</w:t>
      </w:r>
      <w:r>
        <w:rPr>
          <w:rFonts w:hint="eastAsia" w:ascii="宋体" w:hAnsi="宋体" w:cs="宋体"/>
          <w:kern w:val="0"/>
          <w:sz w:val="21"/>
          <w:szCs w:val="21"/>
        </w:rPr>
        <w:t>个自然</w:t>
      </w:r>
      <w:r>
        <w:rPr>
          <w:rFonts w:ascii="宋体" w:hAnsi="宋体" w:cs="宋体"/>
          <w:kern w:val="0"/>
          <w:sz w:val="21"/>
          <w:szCs w:val="21"/>
        </w:rPr>
        <w:t>日内</w:t>
      </w:r>
      <w:r>
        <w:rPr>
          <w:rFonts w:hint="eastAsia" w:ascii="宋体" w:hAnsi="宋体" w:cs="宋体"/>
          <w:kern w:val="0"/>
          <w:sz w:val="21"/>
          <w:szCs w:val="21"/>
        </w:rPr>
        <w:t>须完善好所有资料并将房屋补偿协议提交</w:t>
      </w:r>
      <w:r>
        <w:rPr>
          <w:rFonts w:ascii="宋体" w:hAnsi="宋体" w:cs="宋体"/>
          <w:kern w:val="0"/>
          <w:sz w:val="21"/>
          <w:szCs w:val="21"/>
        </w:rPr>
        <w:t>审核。</w:t>
      </w:r>
      <w:r>
        <w:rPr>
          <w:rFonts w:hint="eastAsia" w:ascii="宋体" w:hAnsi="宋体" w:cs="宋体"/>
          <w:kern w:val="0"/>
          <w:sz w:val="21"/>
          <w:szCs w:val="21"/>
        </w:rPr>
        <w:t>如因</w:t>
      </w:r>
      <w:r>
        <w:rPr>
          <w:rFonts w:ascii="宋体" w:hAnsi="宋体" w:cs="宋体"/>
          <w:kern w:val="0"/>
          <w:sz w:val="21"/>
          <w:szCs w:val="21"/>
        </w:rPr>
        <w:t>被</w:t>
      </w:r>
      <w:r>
        <w:rPr>
          <w:rFonts w:hint="eastAsia" w:ascii="宋体" w:hAnsi="宋体" w:cs="宋体"/>
          <w:kern w:val="0"/>
          <w:sz w:val="21"/>
          <w:szCs w:val="21"/>
        </w:rPr>
        <w:t>征收搬迁</w:t>
      </w:r>
      <w:r>
        <w:rPr>
          <w:rFonts w:ascii="宋体" w:hAnsi="宋体" w:cs="宋体"/>
          <w:kern w:val="0"/>
          <w:sz w:val="21"/>
          <w:szCs w:val="21"/>
        </w:rPr>
        <w:t>人原因</w:t>
      </w:r>
      <w:r>
        <w:rPr>
          <w:rFonts w:hint="eastAsia" w:ascii="宋体" w:hAnsi="宋体" w:cs="宋体"/>
          <w:kern w:val="0"/>
          <w:sz w:val="21"/>
          <w:szCs w:val="21"/>
        </w:rPr>
        <w:t>无法及时报审</w:t>
      </w:r>
      <w:r>
        <w:rPr>
          <w:rFonts w:ascii="宋体" w:hAnsi="宋体" w:cs="宋体"/>
          <w:kern w:val="0"/>
          <w:sz w:val="21"/>
          <w:szCs w:val="21"/>
        </w:rPr>
        <w:t>的，经批准可以适当延期，</w:t>
      </w:r>
      <w:r>
        <w:rPr>
          <w:rFonts w:hint="eastAsia" w:ascii="宋体" w:hAnsi="宋体" w:cs="宋体"/>
          <w:kern w:val="0"/>
          <w:sz w:val="21"/>
          <w:szCs w:val="21"/>
        </w:rPr>
        <w:t>但</w:t>
      </w:r>
      <w:r>
        <w:rPr>
          <w:rFonts w:ascii="宋体" w:hAnsi="宋体" w:cs="宋体"/>
          <w:kern w:val="0"/>
          <w:sz w:val="21"/>
          <w:szCs w:val="21"/>
        </w:rPr>
        <w:t>延长</w:t>
      </w:r>
      <w:r>
        <w:rPr>
          <w:rFonts w:hint="eastAsia" w:ascii="宋体" w:hAnsi="宋体" w:cs="宋体"/>
          <w:kern w:val="0"/>
          <w:sz w:val="21"/>
          <w:szCs w:val="21"/>
        </w:rPr>
        <w:t>时间</w:t>
      </w:r>
      <w:r>
        <w:rPr>
          <w:rFonts w:ascii="宋体" w:hAnsi="宋体" w:cs="宋体"/>
          <w:kern w:val="0"/>
          <w:sz w:val="21"/>
          <w:szCs w:val="21"/>
        </w:rPr>
        <w:t>不得超过20</w:t>
      </w:r>
      <w:r>
        <w:rPr>
          <w:rFonts w:hint="eastAsia" w:ascii="宋体" w:hAnsi="宋体" w:cs="宋体"/>
          <w:kern w:val="0"/>
          <w:sz w:val="21"/>
          <w:szCs w:val="21"/>
        </w:rPr>
        <w:t>个自然</w:t>
      </w:r>
      <w:r>
        <w:rPr>
          <w:rFonts w:ascii="宋体" w:hAnsi="宋体" w:cs="宋体"/>
          <w:kern w:val="0"/>
          <w:sz w:val="21"/>
          <w:szCs w:val="21"/>
        </w:rPr>
        <w:t>日。</w:t>
      </w:r>
    </w:p>
    <w:p>
      <w:pPr>
        <w:pStyle w:val="52"/>
        <w:spacing w:line="440" w:lineRule="exact"/>
        <w:rPr>
          <w:rFonts w:hint="eastAsia" w:ascii="宋体" w:hAnsi="宋体"/>
          <w:sz w:val="21"/>
          <w:szCs w:val="21"/>
          <w:lang w:val="en-US"/>
        </w:rPr>
      </w:pPr>
      <w:r>
        <w:rPr>
          <w:rFonts w:ascii="宋体" w:hAnsi="宋体" w:cs="宋体"/>
          <w:kern w:val="0"/>
          <w:sz w:val="21"/>
          <w:szCs w:val="21"/>
        </w:rPr>
        <w:t>⑥</w:t>
      </w:r>
      <w:r>
        <w:rPr>
          <w:rFonts w:hint="eastAsia" w:ascii="宋体" w:hAnsi="宋体" w:cs="宋体"/>
          <w:kern w:val="0"/>
          <w:sz w:val="21"/>
          <w:szCs w:val="21"/>
        </w:rPr>
        <w:t>、</w:t>
      </w:r>
      <w:r>
        <w:rPr>
          <w:rFonts w:ascii="宋体" w:hAnsi="宋体" w:cs="宋体"/>
          <w:kern w:val="0"/>
          <w:sz w:val="21"/>
          <w:szCs w:val="21"/>
        </w:rPr>
        <w:t>认真做好现场进度、补偿情况、安置房源等各项统计工作，并</w:t>
      </w:r>
      <w:r>
        <w:rPr>
          <w:rFonts w:hint="eastAsia" w:ascii="宋体" w:hAnsi="宋体" w:cs="宋体"/>
          <w:kern w:val="0"/>
          <w:sz w:val="21"/>
          <w:szCs w:val="21"/>
        </w:rPr>
        <w:t>按要求</w:t>
      </w:r>
      <w:r>
        <w:rPr>
          <w:rFonts w:ascii="宋体" w:hAnsi="宋体" w:cs="宋体"/>
          <w:kern w:val="0"/>
          <w:sz w:val="21"/>
          <w:szCs w:val="21"/>
        </w:rPr>
        <w:t>及时、</w:t>
      </w:r>
      <w:r>
        <w:rPr>
          <w:rFonts w:hint="eastAsia" w:ascii="宋体" w:hAnsi="宋体" w:cs="宋体"/>
          <w:kern w:val="0"/>
          <w:sz w:val="21"/>
          <w:szCs w:val="21"/>
        </w:rPr>
        <w:t>完整报送相关信息。项目结束后，及时整理项目工程档案资料并装订成册移交给具体职能部门。</w:t>
      </w:r>
    </w:p>
    <w:p>
      <w:pPr>
        <w:rPr>
          <w:rFonts w:hint="eastAsia"/>
          <w:sz w:val="21"/>
          <w:szCs w:val="21"/>
          <w:lang w:eastAsia="zh-CN"/>
        </w:rPr>
      </w:pPr>
      <w:r>
        <w:rPr>
          <w:rFonts w:hint="eastAsia"/>
          <w:sz w:val="21"/>
          <w:szCs w:val="21"/>
          <w:lang w:eastAsia="zh-CN"/>
        </w:rPr>
        <w:br w:type="page"/>
      </w:r>
    </w:p>
    <w:p>
      <w:pPr>
        <w:pStyle w:val="52"/>
        <w:rPr>
          <w:rFonts w:hint="eastAsia"/>
          <w:lang w:eastAsia="zh-CN"/>
        </w:rPr>
      </w:pP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 投标文件封面、目录</w:t>
      </w:r>
      <w:bookmarkEnd w:id="75"/>
    </w:p>
    <w:p>
      <w:pPr>
        <w:snapToGrid w:val="0"/>
        <w:spacing w:before="156" w:beforeLines="50" w:after="50" w:line="480" w:lineRule="exact"/>
        <w:outlineLvl w:val="1"/>
        <w:rPr>
          <w:rFonts w:asciiTheme="minorEastAsia" w:hAnsiTheme="minorEastAsia" w:eastAsiaTheme="minorEastAsia" w:cstheme="minorEastAsia"/>
          <w:b/>
          <w:bCs/>
          <w:color w:val="000000" w:themeColor="text1"/>
          <w:szCs w:val="21"/>
          <w14:textFill>
            <w14:solidFill>
              <w14:schemeClr w14:val="tx1"/>
            </w14:solidFill>
          </w14:textFill>
        </w:rPr>
      </w:pPr>
      <w:bookmarkStart w:id="76" w:name="_Toc398107929"/>
      <w:r>
        <w:rPr>
          <w:rFonts w:hint="eastAsia" w:asciiTheme="minorEastAsia" w:hAnsiTheme="minorEastAsia" w:eastAsiaTheme="minorEastAsia" w:cstheme="minorEastAsia"/>
          <w:b/>
          <w:bCs/>
          <w:color w:val="000000" w:themeColor="text1"/>
          <w:szCs w:val="21"/>
          <w14:textFill>
            <w14:solidFill>
              <w14:schemeClr w14:val="tx1"/>
            </w14:solidFill>
          </w14:textFill>
        </w:rPr>
        <w:t>1.1投标文件外层包装封面格式</w:t>
      </w:r>
    </w:p>
    <w:p>
      <w:pPr>
        <w:snapToGrid w:val="0"/>
        <w:spacing w:before="156" w:beforeLines="50" w:after="50" w:line="480" w:lineRule="exact"/>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投标文件</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项目名称：</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标书内容：资信文件、商务文件</w:t>
      </w:r>
    </w:p>
    <w:p>
      <w:pPr>
        <w:snapToGrid w:val="0"/>
        <w:spacing w:before="156" w:beforeLines="50" w:after="50" w:line="440" w:lineRule="exact"/>
        <w:ind w:firstLine="420" w:firstLineChars="20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项目编号：</w:t>
      </w:r>
    </w:p>
    <w:p>
      <w:pPr>
        <w:pStyle w:val="13"/>
        <w:snapToGrid w:val="0"/>
        <w:spacing w:before="50" w:after="50" w:line="44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投标人名称：</w:t>
      </w:r>
    </w:p>
    <w:p>
      <w:pPr>
        <w:pStyle w:val="13"/>
        <w:snapToGrid w:val="0"/>
        <w:spacing w:before="50" w:after="50" w:line="44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在</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年   月   日  时  分之前不得启封</w:t>
      </w:r>
    </w:p>
    <w:p>
      <w:pPr>
        <w:snapToGrid w:val="0"/>
        <w:spacing w:before="156" w:beforeLines="50" w:after="50" w:line="480" w:lineRule="exact"/>
        <w:ind w:firstLine="645"/>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  月  日</w:t>
      </w:r>
    </w:p>
    <w:p>
      <w:pPr>
        <w:pStyle w:val="23"/>
        <w:tabs>
          <w:tab w:val="left" w:pos="2472"/>
        </w:tabs>
        <w:snapToGrid w:val="0"/>
        <w:spacing w:line="480" w:lineRule="exact"/>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3"/>
        <w:tabs>
          <w:tab w:val="left" w:pos="2472"/>
        </w:tabs>
        <w:snapToGrid w:val="0"/>
        <w:spacing w:line="480" w:lineRule="exact"/>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1.2、投标文件封面格式</w:t>
      </w:r>
    </w:p>
    <w:p>
      <w:pPr>
        <w:pStyle w:val="23"/>
        <w:tabs>
          <w:tab w:val="left" w:pos="2472"/>
        </w:tabs>
        <w:snapToGrid w:val="0"/>
        <w:spacing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本（填正或副）</w:t>
      </w:r>
    </w:p>
    <w:p>
      <w:pPr>
        <w:pStyle w:val="23"/>
        <w:tabs>
          <w:tab w:val="left" w:pos="2472"/>
        </w:tabs>
        <w:snapToGrid w:val="0"/>
        <w:spacing w:line="480" w:lineRule="exact"/>
        <w:rPr>
          <w:rFonts w:asciiTheme="minorEastAsia" w:hAnsiTheme="minorEastAsia" w:eastAsiaTheme="minorEastAsia" w:cstheme="minorEastAsia"/>
          <w:color w:val="000000" w:themeColor="text1"/>
          <w:sz w:val="21"/>
          <w:szCs w:val="21"/>
          <w14:textFill>
            <w14:solidFill>
              <w14:schemeClr w14:val="tx1"/>
            </w14:solidFill>
          </w14:textFill>
        </w:rPr>
      </w:pPr>
    </w:p>
    <w:p>
      <w:pPr>
        <w:snapToGrid w:val="0"/>
        <w:spacing w:before="156" w:beforeLines="50" w:after="50" w:line="480" w:lineRule="exact"/>
        <w:rPr>
          <w:rFonts w:asciiTheme="minorEastAsia" w:hAnsiTheme="minorEastAsia" w:eastAsiaTheme="minorEastAsia" w:cstheme="minorEastAsia"/>
          <w:bCs/>
          <w:color w:val="000000" w:themeColor="text1"/>
          <w:szCs w:val="21"/>
          <w14:textFill>
            <w14:solidFill>
              <w14:schemeClr w14:val="tx1"/>
            </w14:solidFill>
          </w14:textFill>
        </w:rPr>
      </w:pP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项目名称：</w:t>
      </w: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标书内容：资信文件、商务文件</w:t>
      </w:r>
    </w:p>
    <w:p>
      <w:pPr>
        <w:snapToGrid w:val="0"/>
        <w:spacing w:before="156" w:beforeLines="50" w:after="50" w:line="400" w:lineRule="exact"/>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项目编号：</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投标人名称：（盖法人章）</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法定代理人或委托代理人：（签字或盖章）</w:t>
      </w:r>
    </w:p>
    <w:p>
      <w:pPr>
        <w:snapToGrid w:val="0"/>
        <w:spacing w:before="156" w:beforeLines="50" w:after="50"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日期： 年 月 日</w:t>
      </w:r>
    </w:p>
    <w:p>
      <w:pPr>
        <w:snapToGrid w:val="0"/>
        <w:spacing w:before="156" w:beforeLines="50" w:after="50" w:line="480" w:lineRule="exact"/>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1.3目录</w:t>
      </w:r>
    </w:p>
    <w:p>
      <w:pPr>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（1）参照投标文件的组成及评分标准，特别须参考评分标准顺序，目录清晰可评，若凌乱造成的评标影响，后果自负。</w:t>
      </w:r>
    </w:p>
    <w:p>
      <w:pPr>
        <w:snapToGrid w:val="0"/>
        <w:spacing w:line="40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注：本招标文件内的格式仅供参考，可自制，但不得缺项。</w:t>
      </w:r>
    </w:p>
    <w:p>
      <w:pPr>
        <w:pStyle w:val="23"/>
        <w:tabs>
          <w:tab w:val="left" w:pos="2472"/>
        </w:tabs>
        <w:snapToGrid w:val="0"/>
        <w:spacing w:line="480" w:lineRule="exact"/>
        <w:rPr>
          <w:rFonts w:hAnsi="宋体"/>
          <w:sz w:val="32"/>
        </w:rPr>
      </w:pPr>
      <w:r>
        <w:rPr>
          <w:rFonts w:hint="eastAsia" w:asciiTheme="minorEastAsia" w:hAnsiTheme="minorEastAsia" w:eastAsiaTheme="minorEastAsia" w:cstheme="minorEastAsia"/>
          <w:color w:val="000000" w:themeColor="text1"/>
          <w:sz w:val="24"/>
          <w14:textFill>
            <w14:solidFill>
              <w14:schemeClr w14:val="tx1"/>
            </w14:solidFill>
          </w14:textFill>
        </w:rPr>
        <w:br w:type="page"/>
      </w:r>
      <w:bookmarkEnd w:id="76"/>
      <w:bookmarkStart w:id="77" w:name="_Toc398107930"/>
      <w:r>
        <w:rPr>
          <w:rFonts w:hAnsi="宋体"/>
          <w:sz w:val="32"/>
        </w:rPr>
        <w:t xml:space="preserve">2. </w:t>
      </w:r>
      <w:r>
        <w:rPr>
          <w:rFonts w:hint="eastAsia" w:hAnsi="宋体"/>
          <w:sz w:val="32"/>
        </w:rPr>
        <w:t>投标函</w:t>
      </w:r>
      <w:bookmarkEnd w:id="77"/>
    </w:p>
    <w:p>
      <w:pPr>
        <w:pStyle w:val="189"/>
        <w:spacing w:line="360" w:lineRule="auto"/>
        <w:jc w:val="center"/>
        <w:rPr>
          <w:rFonts w:hint="eastAsia" w:ascii="宋体" w:hAnsi="宋体" w:eastAsia="宋体" w:cs="宋体"/>
          <w:sz w:val="21"/>
          <w:szCs w:val="21"/>
        </w:rPr>
      </w:pPr>
      <w:bookmarkStart w:id="78" w:name="_Toc398107931"/>
      <w:r>
        <w:rPr>
          <w:rFonts w:hint="eastAsia" w:ascii="宋体" w:hAnsi="宋体" w:eastAsia="宋体" w:cs="宋体"/>
          <w:sz w:val="21"/>
          <w:szCs w:val="21"/>
        </w:rPr>
        <w:t>投   标   函</w:t>
      </w:r>
    </w:p>
    <w:p>
      <w:pPr>
        <w:pStyle w:val="189"/>
        <w:spacing w:line="360" w:lineRule="auto"/>
        <w:rPr>
          <w:rFonts w:hint="eastAsia" w:ascii="宋体" w:hAnsi="宋体" w:eastAsia="宋体" w:cs="宋体"/>
          <w:sz w:val="21"/>
          <w:szCs w:val="21"/>
        </w:rPr>
      </w:pPr>
      <w:r>
        <w:rPr>
          <w:rFonts w:hint="eastAsia" w:ascii="宋体" w:hAnsi="宋体" w:eastAsia="宋体" w:cs="宋体"/>
          <w:sz w:val="21"/>
          <w:szCs w:val="21"/>
          <w:u w:val="single"/>
        </w:rPr>
        <w:t xml:space="preserve">  （招标人）            </w:t>
      </w:r>
      <w:r>
        <w:rPr>
          <w:rFonts w:hint="eastAsia" w:ascii="宋体" w:hAnsi="宋体" w:eastAsia="宋体" w:cs="宋体"/>
          <w:sz w:val="21"/>
          <w:szCs w:val="21"/>
        </w:rPr>
        <w:t>：</w:t>
      </w:r>
    </w:p>
    <w:p>
      <w:pPr>
        <w:numPr>
          <w:ilvl w:val="0"/>
          <w:numId w:val="1"/>
        </w:numPr>
        <w:spacing w:line="48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我方已仔细研究了</w:t>
      </w:r>
      <w:r>
        <w:rPr>
          <w:rFonts w:hint="eastAsia" w:ascii="宋体" w:hAnsi="宋体" w:eastAsia="宋体" w:cs="宋体"/>
          <w:sz w:val="21"/>
          <w:szCs w:val="21"/>
          <w:u w:val="single"/>
        </w:rPr>
        <w:t xml:space="preserve">               （项目名称及标段）</w:t>
      </w:r>
      <w:r>
        <w:rPr>
          <w:rFonts w:hint="eastAsia" w:ascii="宋体" w:hAnsi="宋体" w:eastAsia="宋体" w:cs="宋体"/>
          <w:sz w:val="21"/>
          <w:szCs w:val="21"/>
        </w:rPr>
        <w:t>招标公告的全部内容，并考察和调研了现场实际情况，</w:t>
      </w:r>
    </w:p>
    <w:p>
      <w:pPr>
        <w:spacing w:line="48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（1）</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u w:val="single"/>
          <w:lang w:val="en-US" w:eastAsia="zh-CN"/>
        </w:rPr>
        <w:t>01</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（2）</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02</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（3）</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03</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（4）</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04</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2" w:firstLineChars="200"/>
        <w:rPr>
          <w:rFonts w:hint="eastAsia" w:ascii="宋体" w:hAnsi="宋体" w:eastAsia="宋体" w:cs="宋体"/>
          <w:sz w:val="21"/>
          <w:szCs w:val="21"/>
          <w:highlight w:val="green"/>
        </w:rPr>
      </w:pPr>
      <w:r>
        <w:rPr>
          <w:rFonts w:hint="eastAsia" w:ascii="宋体" w:hAnsi="宋体" w:cs="宋体"/>
          <w:b/>
          <w:bCs/>
          <w:sz w:val="21"/>
          <w:szCs w:val="21"/>
          <w:highlight w:val="green"/>
          <w:lang w:val="en-US" w:eastAsia="zh-CN"/>
        </w:rPr>
        <w:t>（5）</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rPr>
        <w:t>愿意以人民币</w:t>
      </w:r>
      <w:r>
        <w:rPr>
          <w:rFonts w:hint="eastAsia" w:ascii="宋体" w:hAnsi="宋体" w:eastAsia="宋体" w:cs="宋体"/>
          <w:sz w:val="21"/>
          <w:szCs w:val="21"/>
          <w:highlight w:val="green"/>
          <w:lang w:eastAsia="zh-CN"/>
        </w:rPr>
        <w:t>：</w:t>
      </w:r>
      <w:r>
        <w:rPr>
          <w:rFonts w:hint="eastAsia" w:ascii="宋体" w:hAnsi="宋体" w:eastAsia="宋体" w:cs="宋体"/>
          <w:sz w:val="21"/>
          <w:szCs w:val="21"/>
          <w:highlight w:val="green"/>
          <w:u w:val="single"/>
          <w:lang w:val="en-US" w:eastAsia="zh-CN"/>
        </w:rPr>
        <w:t>0</w:t>
      </w:r>
      <w:r>
        <w:rPr>
          <w:rFonts w:hint="eastAsia" w:ascii="宋体" w:hAnsi="宋体" w:cs="宋体"/>
          <w:sz w:val="21"/>
          <w:szCs w:val="21"/>
          <w:highlight w:val="green"/>
          <w:u w:val="single"/>
          <w:lang w:val="en-US" w:eastAsia="zh-CN"/>
        </w:rPr>
        <w:t>5</w:t>
      </w:r>
      <w:r>
        <w:rPr>
          <w:rFonts w:hint="eastAsia" w:ascii="宋体" w:hAnsi="宋体" w:eastAsia="宋体" w:cs="宋体"/>
          <w:sz w:val="21"/>
          <w:szCs w:val="21"/>
          <w:highlight w:val="green"/>
        </w:rPr>
        <w:t>标段合计报价（各时间段） （大写）</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元，（小写）RMB：</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元”参与</w:t>
      </w:r>
      <w:r>
        <w:rPr>
          <w:rFonts w:hint="eastAsia" w:ascii="宋体" w:hAnsi="宋体" w:eastAsia="宋体" w:cs="宋体"/>
          <w:sz w:val="21"/>
          <w:szCs w:val="21"/>
          <w:highlight w:val="green"/>
          <w:u w:val="single"/>
        </w:rPr>
        <w:t xml:space="preserve">                </w:t>
      </w:r>
      <w:r>
        <w:rPr>
          <w:rFonts w:hint="eastAsia" w:ascii="宋体" w:hAnsi="宋体" w:eastAsia="宋体" w:cs="宋体"/>
          <w:sz w:val="21"/>
          <w:szCs w:val="21"/>
          <w:highlight w:val="green"/>
        </w:rPr>
        <w:t>该地段</w:t>
      </w:r>
      <w:r>
        <w:rPr>
          <w:rFonts w:hint="eastAsia" w:ascii="宋体" w:hAnsi="宋体" w:eastAsia="宋体" w:cs="宋体"/>
          <w:b/>
          <w:bCs/>
          <w:sz w:val="21"/>
          <w:szCs w:val="21"/>
          <w:highlight w:val="green"/>
        </w:rPr>
        <w:t>住宅户</w:t>
      </w:r>
      <w:r>
        <w:rPr>
          <w:rFonts w:hint="eastAsia" w:ascii="宋体" w:hAnsi="宋体" w:eastAsia="宋体" w:cs="宋体"/>
          <w:b/>
          <w:bCs/>
          <w:sz w:val="21"/>
          <w:szCs w:val="21"/>
          <w:highlight w:val="green"/>
          <w:lang w:val="en-US" w:eastAsia="zh-CN"/>
        </w:rPr>
        <w:t>的预丈量、</w:t>
      </w:r>
      <w:r>
        <w:rPr>
          <w:rFonts w:hint="eastAsia" w:ascii="宋体" w:hAnsi="宋体" w:eastAsia="宋体" w:cs="宋体"/>
          <w:b/>
          <w:bCs/>
          <w:sz w:val="21"/>
          <w:szCs w:val="21"/>
          <w:highlight w:val="green"/>
        </w:rPr>
        <w:t>征</w:t>
      </w:r>
      <w:r>
        <w:rPr>
          <w:rFonts w:hint="eastAsia" w:ascii="宋体" w:hAnsi="宋体" w:eastAsia="宋体" w:cs="宋体"/>
          <w:sz w:val="21"/>
          <w:szCs w:val="21"/>
          <w:highlight w:val="green"/>
        </w:rPr>
        <w:t>收搬迁实施工作，并将按</w:t>
      </w:r>
      <w:r>
        <w:rPr>
          <w:rFonts w:hint="eastAsia" w:ascii="宋体" w:hAnsi="宋体" w:cs="宋体"/>
          <w:sz w:val="21"/>
          <w:szCs w:val="21"/>
          <w:highlight w:val="green"/>
          <w:lang w:eastAsia="zh-CN"/>
        </w:rPr>
        <w:t>招标文件</w:t>
      </w:r>
      <w:r>
        <w:rPr>
          <w:rFonts w:hint="eastAsia" w:ascii="宋体" w:hAnsi="宋体" w:eastAsia="宋体" w:cs="宋体"/>
          <w:sz w:val="21"/>
          <w:szCs w:val="21"/>
          <w:highlight w:val="green"/>
        </w:rPr>
        <w:t>的规定履行合同责任和义务，</w:t>
      </w:r>
      <w:r>
        <w:rPr>
          <w:rFonts w:hint="eastAsia" w:ascii="宋体" w:hAnsi="宋体" w:cs="宋体"/>
          <w:sz w:val="21"/>
          <w:szCs w:val="21"/>
          <w:highlight w:val="green"/>
          <w:lang w:eastAsia="zh-CN"/>
        </w:rPr>
        <w:t>实现征收搬迁、预丈量</w:t>
      </w:r>
      <w:r>
        <w:rPr>
          <w:rFonts w:hint="eastAsia" w:ascii="宋体" w:hAnsi="宋体" w:eastAsia="宋体" w:cs="宋体"/>
          <w:sz w:val="21"/>
          <w:szCs w:val="21"/>
          <w:highlight w:val="green"/>
        </w:rPr>
        <w:t>目的。</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2．我方承诺在招标文件规定的投标有效期内不修改、撤销投标文件。</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3．如果我方中标，将派出</w:t>
      </w:r>
      <w:r>
        <w:rPr>
          <w:rFonts w:hint="eastAsia" w:ascii="宋体" w:hAnsi="宋体" w:eastAsia="宋体" w:cs="宋体"/>
          <w:sz w:val="21"/>
          <w:szCs w:val="21"/>
          <w:u w:val="single"/>
        </w:rPr>
        <w:t xml:space="preserve">         </w:t>
      </w:r>
      <w:r>
        <w:rPr>
          <w:rFonts w:hint="eastAsia" w:ascii="宋体" w:hAnsi="宋体" w:eastAsia="宋体" w:cs="宋体"/>
          <w:sz w:val="21"/>
          <w:szCs w:val="21"/>
        </w:rPr>
        <w:t>作为本项目的项目负责人。</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4．如我方中标：</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（1）我方承诺在收到中标通知书后，在中标通知书规定的期限内与你方签订合同。</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（2）我方承诺按照招标文件规定向你方递交履约保证金。</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（3）我方将严格履行本投标文件中的全部承诺和责任，并遵守招标文件中对投标人的所有规定。</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5．我方在此声明，所递交的投标文件及有关资料内容完整、真实和准确。</w:t>
      </w:r>
    </w:p>
    <w:p>
      <w:pPr>
        <w:spacing w:line="4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6． </w:t>
      </w:r>
      <w:r>
        <w:rPr>
          <w:rFonts w:hint="eastAsia" w:ascii="宋体" w:hAnsi="宋体" w:eastAsia="宋体" w:cs="宋体"/>
          <w:sz w:val="21"/>
          <w:szCs w:val="21"/>
          <w:u w:val="single"/>
        </w:rPr>
        <w:t xml:space="preserve">                    （</w:t>
      </w:r>
      <w:r>
        <w:rPr>
          <w:rFonts w:hint="eastAsia" w:ascii="宋体" w:hAnsi="宋体" w:eastAsia="宋体" w:cs="宋体"/>
          <w:sz w:val="21"/>
          <w:szCs w:val="21"/>
        </w:rPr>
        <w:t>其他补充说明）。</w:t>
      </w:r>
    </w:p>
    <w:p>
      <w:pPr>
        <w:pStyle w:val="189"/>
        <w:tabs>
          <w:tab w:val="left" w:pos="5665"/>
          <w:tab w:val="right" w:pos="8360"/>
        </w:tabs>
        <w:spacing w:line="480" w:lineRule="exact"/>
        <w:ind w:right="42" w:firstLine="1365" w:firstLineChars="650"/>
        <w:rPr>
          <w:rFonts w:hint="eastAsia" w:ascii="宋体" w:hAnsi="宋体" w:eastAsia="宋体" w:cs="宋体"/>
          <w:sz w:val="21"/>
          <w:szCs w:val="21"/>
          <w:u w:val="single"/>
        </w:rPr>
      </w:pPr>
      <w:r>
        <w:rPr>
          <w:rFonts w:hint="eastAsia" w:ascii="宋体" w:hAnsi="宋体" w:eastAsia="宋体" w:cs="宋体"/>
          <w:sz w:val="21"/>
          <w:szCs w:val="21"/>
        </w:rPr>
        <w:t>投标人(公章)：</w:t>
      </w:r>
      <w:r>
        <w:rPr>
          <w:rFonts w:hint="eastAsia" w:ascii="宋体" w:hAnsi="宋体" w:eastAsia="宋体" w:cs="宋体"/>
          <w:sz w:val="21"/>
          <w:szCs w:val="21"/>
          <w:u w:val="single"/>
        </w:rPr>
        <w:t xml:space="preserve">                                  </w:t>
      </w:r>
    </w:p>
    <w:p>
      <w:pPr>
        <w:pStyle w:val="189"/>
        <w:tabs>
          <w:tab w:val="left" w:pos="5665"/>
          <w:tab w:val="right" w:pos="8360"/>
        </w:tabs>
        <w:spacing w:line="480" w:lineRule="exact"/>
        <w:ind w:right="42" w:firstLine="1365" w:firstLineChars="650"/>
        <w:rPr>
          <w:rFonts w:hint="eastAsia" w:ascii="宋体" w:hAnsi="宋体" w:eastAsia="宋体" w:cs="宋体"/>
          <w:sz w:val="21"/>
          <w:szCs w:val="21"/>
          <w:u w:val="single"/>
        </w:rPr>
      </w:pPr>
      <w:r>
        <w:rPr>
          <w:rFonts w:hint="eastAsia" w:ascii="宋体" w:hAnsi="宋体" w:eastAsia="宋体" w:cs="宋体"/>
          <w:sz w:val="21"/>
          <w:szCs w:val="21"/>
        </w:rPr>
        <w:t>法人代表或授权委托人（签字或印章）：</w:t>
      </w:r>
      <w:r>
        <w:rPr>
          <w:rFonts w:hint="eastAsia" w:ascii="宋体" w:hAnsi="宋体" w:eastAsia="宋体" w:cs="宋体"/>
          <w:sz w:val="21"/>
          <w:szCs w:val="21"/>
          <w:u w:val="single"/>
        </w:rPr>
        <w:t xml:space="preserve">             </w:t>
      </w:r>
    </w:p>
    <w:p>
      <w:pPr>
        <w:pStyle w:val="189"/>
        <w:tabs>
          <w:tab w:val="left" w:pos="5665"/>
          <w:tab w:val="right" w:pos="8360"/>
        </w:tabs>
        <w:spacing w:line="480" w:lineRule="exact"/>
        <w:ind w:right="42" w:firstLine="1575" w:firstLineChars="750"/>
        <w:jc w:val="lef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rPr>
          <w:rFonts w:asciiTheme="minorEastAsia" w:hAnsiTheme="minorEastAsia" w:eastAsiaTheme="minorEastAsia" w:cstheme="minorEastAsia"/>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Cs/>
          <w:color w:val="000000" w:themeColor="text1"/>
          <w:sz w:val="32"/>
          <w:szCs w:val="32"/>
          <w14:textFill>
            <w14:solidFill>
              <w14:schemeClr w14:val="tx1"/>
            </w14:solidFill>
          </w14:textFill>
        </w:rPr>
        <w:t>3. 法定代表人身份证明</w:t>
      </w:r>
      <w:bookmarkEnd w:id="78"/>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 标 人：</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单位性质：</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地    址：</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成立时间：年月日</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经营期限：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    名：     性  别：</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龄：    职  务：</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系</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（投标人名称）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的法定代表人。</w:t>
      </w:r>
    </w:p>
    <w:p>
      <w:pPr>
        <w:autoSpaceDE w:val="0"/>
        <w:autoSpaceDN w:val="0"/>
        <w:adjustRightInd w:val="0"/>
        <w:spacing w:line="360" w:lineRule="auto"/>
        <w:ind w:firstLine="840" w:firstLineChars="4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特此证明。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投标人：（盖单位章）</w:t>
      </w:r>
    </w:p>
    <w:p>
      <w:pPr>
        <w:autoSpaceDE w:val="0"/>
        <w:autoSpaceDN w:val="0"/>
        <w:adjustRightInd w:val="0"/>
        <w:spacing w:line="360" w:lineRule="auto"/>
        <w:ind w:firstLine="1995" w:firstLineChars="95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3150" w:firstLineChars="15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月  日</w:t>
      </w: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9" w:name="_Toc398107932"/>
      <w:r>
        <w:rPr>
          <w:rFonts w:hint="eastAsia" w:asciiTheme="minorEastAsia" w:hAnsiTheme="minorEastAsia" w:eastAsiaTheme="minorEastAsia" w:cstheme="minorEastAsia"/>
          <w:color w:val="000000" w:themeColor="text1"/>
          <w14:textFill>
            <w14:solidFill>
              <w14:schemeClr w14:val="tx1"/>
            </w14:solidFill>
          </w14:textFill>
        </w:rPr>
        <w:t>4. 授权委托书</w:t>
      </w:r>
      <w:bookmarkEnd w:id="79"/>
    </w:p>
    <w:p>
      <w:pPr>
        <w:autoSpaceDE w:val="0"/>
        <w:autoSpaceDN w:val="0"/>
        <w:adjustRightInd w:val="0"/>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授权委托书</w:t>
      </w:r>
    </w:p>
    <w:p>
      <w:pPr>
        <w:autoSpaceDE w:val="0"/>
        <w:autoSpaceDN w:val="0"/>
        <w:adjustRightInd w:val="0"/>
        <w:spacing w:line="360" w:lineRule="auto"/>
        <w:jc w:val="center"/>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本人</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kern w:val="0"/>
          <w:szCs w:val="21"/>
          <w14:textFill>
            <w14:solidFill>
              <w14:schemeClr w14:val="tx1"/>
            </w14:solidFill>
          </w14:textFill>
        </w:rPr>
        <w:t>系</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（投标人名称）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的法定代表人，现委托</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kern w:val="0"/>
          <w:szCs w:val="21"/>
          <w14:textFill>
            <w14:solidFill>
              <w14:schemeClr w14:val="tx1"/>
            </w14:solidFill>
          </w14:textFill>
        </w:rPr>
        <w:t>为我方代理人。代理人根据授权，以我方名义签署、澄清、说明、补正、递交、撤回、修改</w:t>
      </w:r>
      <w:r>
        <w:rPr>
          <w:rFonts w:hint="eastAsia" w:asciiTheme="minorEastAsia" w:hAnsiTheme="minorEastAsia" w:eastAsiaTheme="minorEastAsia" w:cstheme="minorEastAsia"/>
          <w:color w:val="000000" w:themeColor="text1"/>
          <w:kern w:val="0"/>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kern w:val="0"/>
          <w:szCs w:val="21"/>
          <w14:textFill>
            <w14:solidFill>
              <w14:schemeClr w14:val="tx1"/>
            </w14:solidFill>
          </w14:textFill>
        </w:rPr>
        <w:t>投标文件、签订合同和处理有关事宜，其法律后果由我方承担。</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委托期限：。</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代理人无转委托权。</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附：法定代表人身份证明</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投标人：（盖单位章）</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法定代表人：（签字）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委托代理人：（签字）</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身份证号码：</w:t>
      </w:r>
    </w:p>
    <w:p>
      <w:pPr>
        <w:autoSpaceDE w:val="0"/>
        <w:autoSpaceDN w:val="0"/>
        <w:adjustRightInd w:val="0"/>
        <w:spacing w:line="360" w:lineRule="auto"/>
        <w:ind w:firstLine="420" w:firstLineChars="200"/>
        <w:jc w:val="left"/>
        <w:rPr>
          <w:rFonts w:asciiTheme="minorEastAsia" w:hAnsiTheme="minorEastAsia" w:eastAsiaTheme="minorEastAsia" w:cstheme="minorEastAsia"/>
          <w:color w:val="000000" w:themeColor="text1"/>
          <w:kern w:val="0"/>
          <w:szCs w:val="21"/>
          <w14:textFill>
            <w14:solidFill>
              <w14:schemeClr w14:val="tx1"/>
            </w14:solidFill>
          </w14:textFill>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themeColor="text1"/>
          <w:kern w:val="0"/>
          <w:szCs w:val="21"/>
          <w:u w:val="single"/>
          <w14:textFill>
            <w14:solidFill>
              <w14:schemeClr w14:val="tx1"/>
            </w14:solidFill>
          </w14:textFill>
        </w:rPr>
      </w:pPr>
    </w:p>
    <w:p>
      <w:pPr>
        <w:autoSpaceDE w:val="0"/>
        <w:autoSpaceDN w:val="0"/>
        <w:adjustRightInd w:val="0"/>
        <w:spacing w:line="360" w:lineRule="auto"/>
        <w:ind w:firstLine="3255" w:firstLineChars="1550"/>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年  月  日</w:t>
      </w: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br w:type="page"/>
      </w:r>
      <w:r>
        <w:rPr>
          <w:rFonts w:hint="eastAsia" w:asciiTheme="minorEastAsia" w:hAnsiTheme="minorEastAsia" w:eastAsiaTheme="minorEastAsia" w:cstheme="minorEastAsia"/>
          <w:color w:val="000000" w:themeColor="text1"/>
          <w14:textFill>
            <w14:solidFill>
              <w14:schemeClr w14:val="tx1"/>
            </w14:solidFill>
          </w14:textFill>
        </w:rPr>
        <w:t>5. 项目负责人委任书</w:t>
      </w:r>
    </w:p>
    <w:p>
      <w:pPr>
        <w:spacing w:line="846" w:lineRule="atLeast"/>
        <w:ind w:firstLine="160" w:firstLineChars="50"/>
        <w:jc w:val="center"/>
        <w:rPr>
          <w:rFonts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项目负责人委任书</w:t>
      </w:r>
    </w:p>
    <w:p>
      <w:pPr>
        <w:spacing w:line="457" w:lineRule="atLeast"/>
        <w:jc w:val="center"/>
        <w:rPr>
          <w:rFonts w:asciiTheme="minorEastAsia" w:hAnsiTheme="minorEastAsia" w:eastAsiaTheme="minorEastAsia" w:cstheme="minorEastAsia"/>
          <w:b/>
          <w:color w:val="000000" w:themeColor="text1"/>
          <w:sz w:val="24"/>
          <w14:textFill>
            <w14:solidFill>
              <w14:schemeClr w14:val="tx1"/>
            </w14:solidFill>
          </w14:textFill>
        </w:rPr>
      </w:pPr>
    </w:p>
    <w:p>
      <w:pPr>
        <w:spacing w:line="793" w:lineRule="atLeast"/>
        <w:rPr>
          <w:rFonts w:asciiTheme="minorEastAsia" w:hAnsiTheme="minorEastAsia" w:eastAsiaTheme="minorEastAsia" w:cstheme="minorEastAsia"/>
          <w:color w:val="000000" w:themeColor="text1"/>
          <w:spacing w:val="7"/>
          <w:szCs w:val="21"/>
          <w:u w:val="single"/>
          <w14:textFill>
            <w14:solidFill>
              <w14:schemeClr w14:val="tx1"/>
            </w14:solidFill>
          </w14:textFill>
        </w:rPr>
      </w:pPr>
      <w:r>
        <w:rPr>
          <w:rFonts w:hint="eastAsia" w:asciiTheme="minorEastAsia" w:hAnsiTheme="minorEastAsia" w:eastAsiaTheme="minorEastAsia" w:cstheme="minorEastAsia"/>
          <w:color w:val="000000" w:themeColor="text1"/>
          <w:spacing w:val="7"/>
          <w:szCs w:val="21"/>
          <w14:textFill>
            <w14:solidFill>
              <w14:schemeClr w14:val="tx1"/>
            </w14:solidFill>
          </w14:textFill>
        </w:rPr>
        <w:t>致：</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（招标人名称）</w:t>
      </w:r>
    </w:p>
    <w:p>
      <w:pPr>
        <w:spacing w:line="793" w:lineRule="atLeast"/>
        <w:ind w:firstLine="560"/>
        <w:rPr>
          <w:rFonts w:asciiTheme="minorEastAsia" w:hAnsiTheme="minorEastAsia" w:eastAsiaTheme="minorEastAsia" w:cstheme="minorEastAsia"/>
          <w:color w:val="000000" w:themeColor="text1"/>
          <w:spacing w:val="7"/>
          <w:szCs w:val="21"/>
          <w14:textFill>
            <w14:solidFill>
              <w14:schemeClr w14:val="tx1"/>
            </w14:solidFill>
          </w14:textFill>
        </w:rPr>
      </w:pP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（投标人全称）</w:t>
      </w:r>
      <w:r>
        <w:rPr>
          <w:rFonts w:hint="eastAsia" w:asciiTheme="minorEastAsia" w:hAnsiTheme="minorEastAsia" w:eastAsiaTheme="minorEastAsia" w:cstheme="minorEastAsia"/>
          <w:color w:val="000000" w:themeColor="text1"/>
          <w:spacing w:val="7"/>
          <w:szCs w:val="21"/>
          <w14:textFill>
            <w14:solidFill>
              <w14:schemeClr w14:val="tx1"/>
            </w14:solidFill>
          </w14:textFill>
        </w:rPr>
        <w:t>法定代表人</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（职务、姓名）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代表本单位委任</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（在本单位职务、姓名）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为</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（合同工程名称）</w:t>
      </w:r>
      <w:r>
        <w:rPr>
          <w:rFonts w:hint="eastAsia" w:asciiTheme="minorEastAsia" w:hAnsiTheme="minorEastAsia" w:eastAsiaTheme="minorEastAsia" w:cstheme="minorEastAsia"/>
          <w:color w:val="000000" w:themeColor="text1"/>
          <w:spacing w:val="7"/>
          <w:szCs w:val="21"/>
          <w14:textFill>
            <w14:solidFill>
              <w14:schemeClr w14:val="tx1"/>
            </w14:solidFill>
          </w14:textFill>
        </w:rPr>
        <w:t>的项目负责人。凡本合同执行中的有关服务等方面工作，由</w:t>
      </w:r>
      <w:r>
        <w:rPr>
          <w:rFonts w:hint="eastAsia" w:asciiTheme="minorEastAsia" w:hAnsiTheme="minorEastAsia" w:eastAsiaTheme="minorEastAsia" w:cstheme="minorEastAsia"/>
          <w:color w:val="000000" w:themeColor="text1"/>
          <w:spacing w:val="7"/>
          <w:szCs w:val="21"/>
          <w:u w:val="single"/>
          <w14:textFill>
            <w14:solidFill>
              <w14:schemeClr w14:val="tx1"/>
            </w14:solidFill>
          </w14:textFill>
        </w:rPr>
        <w:t>（姓名）</w:t>
      </w:r>
      <w:r>
        <w:rPr>
          <w:rFonts w:hint="eastAsia" w:asciiTheme="minorEastAsia" w:hAnsiTheme="minorEastAsia" w:eastAsiaTheme="minorEastAsia" w:cstheme="minorEastAsia"/>
          <w:color w:val="000000" w:themeColor="text1"/>
          <w:spacing w:val="7"/>
          <w:szCs w:val="21"/>
          <w14:textFill>
            <w14:solidFill>
              <w14:schemeClr w14:val="tx1"/>
            </w14:solidFill>
          </w14:textFill>
        </w:rPr>
        <w:t>代表本单位全面负责。</w:t>
      </w:r>
    </w:p>
    <w:p>
      <w:pPr>
        <w:spacing w:line="645" w:lineRule="atLeast"/>
        <w:ind w:firstLine="560"/>
        <w:rPr>
          <w:rFonts w:asciiTheme="minorEastAsia" w:hAnsiTheme="minorEastAsia" w:eastAsiaTheme="minorEastAsia" w:cstheme="minorEastAsia"/>
          <w:color w:val="000000" w:themeColor="text1"/>
          <w:szCs w:val="21"/>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60"/>
        <w:rPr>
          <w:rFonts w:asciiTheme="minorEastAsia" w:hAnsiTheme="minorEastAsia" w:eastAsiaTheme="minorEastAsia" w:cstheme="minorEastAsia"/>
          <w:color w:val="000000" w:themeColor="text1"/>
          <w:sz w:val="24"/>
          <w14:textFill>
            <w14:solidFill>
              <w14:schemeClr w14:val="tx1"/>
            </w14:solidFill>
          </w14:textFill>
        </w:rPr>
      </w:pPr>
    </w:p>
    <w:p>
      <w:pPr>
        <w:spacing w:line="645" w:lineRule="atLeast"/>
        <w:ind w:firstLine="5447"/>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w:t>
      </w:r>
      <w:r>
        <w:rPr>
          <w:rFonts w:hint="eastAsia" w:asciiTheme="minorEastAsia" w:hAnsiTheme="minorEastAsia" w:eastAsiaTheme="minorEastAsia" w:cstheme="minorEastAsia"/>
          <w:color w:val="000000" w:themeColor="text1"/>
          <w:szCs w:val="21"/>
          <w:u w:val="single"/>
          <w14:textFill>
            <w14:solidFill>
              <w14:schemeClr w14:val="tx1"/>
            </w14:solidFill>
          </w14:textFill>
        </w:rPr>
        <w:t>（全称）（盖章）</w:t>
      </w:r>
    </w:p>
    <w:p>
      <w:pPr>
        <w:spacing w:line="645" w:lineRule="atLeast"/>
        <w:ind w:firstLine="5447"/>
        <w:rPr>
          <w:rFonts w:asciiTheme="minorEastAsia" w:hAnsiTheme="minorEastAsia" w:eastAsiaTheme="minorEastAsia" w:cstheme="minorEastAsia"/>
          <w:color w:val="000000" w:themeColor="text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法定代表人：</w:t>
      </w:r>
      <w:r>
        <w:rPr>
          <w:rFonts w:hint="eastAsia" w:asciiTheme="minorEastAsia" w:hAnsiTheme="minorEastAsia" w:eastAsiaTheme="minorEastAsia" w:cstheme="minorEastAsia"/>
          <w:color w:val="000000" w:themeColor="text1"/>
          <w:szCs w:val="21"/>
          <w:u w:val="single"/>
          <w14:textFill>
            <w14:solidFill>
              <w14:schemeClr w14:val="tx1"/>
            </w14:solidFill>
          </w14:textFill>
        </w:rPr>
        <w:t>（签字及盖章）</w:t>
      </w:r>
    </w:p>
    <w:p>
      <w:pPr>
        <w:spacing w:line="645" w:lineRule="atLeast"/>
        <w:ind w:firstLine="6720" w:firstLineChars="3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  月  日</w:t>
      </w:r>
    </w:p>
    <w:p>
      <w:pPr>
        <w:spacing w:line="645" w:lineRule="atLeast"/>
        <w:ind w:firstLine="5447"/>
        <w:rPr>
          <w:rFonts w:asciiTheme="minorEastAsia" w:hAnsiTheme="minorEastAsia" w:eastAsiaTheme="minorEastAsia" w:cstheme="minorEastAsia"/>
          <w:color w:val="000000" w:themeColor="text1"/>
          <w:sz w:val="24"/>
          <w14:textFill>
            <w14:solidFill>
              <w14:schemeClr w14:val="tx1"/>
            </w14:solidFill>
          </w14:textFill>
        </w:rPr>
      </w:pPr>
    </w:p>
    <w:p>
      <w:pPr>
        <w:rPr>
          <w:rFonts w:asciiTheme="minorEastAsia" w:hAnsiTheme="minorEastAsia" w:eastAsiaTheme="minorEastAsia" w:cstheme="minorEastAsia"/>
          <w:color w:val="000000" w:themeColor="text1"/>
          <w:sz w:val="24"/>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tabs>
          <w:tab w:val="left" w:pos="6264"/>
        </w:tabs>
        <w:snapToGrid w:val="0"/>
        <w:spacing w:line="374" w:lineRule="atLeast"/>
        <w:ind w:firstLine="623"/>
        <w:rPr>
          <w:rFonts w:asciiTheme="minorEastAsia" w:hAnsiTheme="minorEastAsia" w:eastAsiaTheme="minorEastAsia" w:cstheme="minorEastAsia"/>
          <w:color w:val="000000" w:themeColor="text1"/>
          <w14:textFill>
            <w14:solidFill>
              <w14:schemeClr w14:val="tx1"/>
            </w14:solidFill>
          </w14:textFill>
        </w:rPr>
      </w:pPr>
    </w:p>
    <w:p>
      <w:pPr>
        <w:pStyle w:val="5"/>
        <w:ind w:firstLine="138"/>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br w:type="page"/>
      </w:r>
      <w:r>
        <w:rPr>
          <w:rFonts w:hint="eastAsia" w:asciiTheme="minorEastAsia" w:hAnsiTheme="minorEastAsia" w:eastAsiaTheme="minorEastAsia" w:cstheme="minorEastAsia"/>
          <w:b w:val="0"/>
          <w:bCs/>
          <w:color w:val="000000" w:themeColor="text1"/>
          <w:sz w:val="30"/>
          <w:szCs w:val="30"/>
          <w14:textFill>
            <w14:solidFill>
              <w14:schemeClr w14:val="tx1"/>
            </w14:solidFill>
          </w14:textFill>
        </w:rPr>
        <w:t>6.</w:t>
      </w:r>
      <w:r>
        <w:rPr>
          <w:rFonts w:hint="eastAsia" w:ascii="新宋体" w:hAnsi="新宋体" w:eastAsia="新宋体" w:cs="宋体"/>
          <w:b w:val="0"/>
          <w:bCs/>
          <w:color w:val="auto"/>
          <w:sz w:val="30"/>
          <w:szCs w:val="30"/>
        </w:rPr>
        <w:t>投标承诺书</w:t>
      </w:r>
    </w:p>
    <w:p>
      <w:pPr>
        <w:pStyle w:val="183"/>
        <w:jc w:val="center"/>
        <w:rPr>
          <w:rFonts w:ascii="黑体" w:hAnsi="黑体" w:eastAsia="黑体"/>
          <w:b/>
          <w:color w:val="auto"/>
          <w:sz w:val="28"/>
          <w:szCs w:val="28"/>
        </w:rPr>
      </w:pPr>
      <w:r>
        <w:rPr>
          <w:rFonts w:hint="eastAsia" w:ascii="黑体" w:hAnsi="黑体" w:eastAsia="黑体"/>
          <w:b/>
          <w:color w:val="auto"/>
          <w:sz w:val="28"/>
          <w:szCs w:val="28"/>
        </w:rPr>
        <w:t>入库信息诚信承诺书</w:t>
      </w:r>
    </w:p>
    <w:p>
      <w:pPr>
        <w:keepNext w:val="0"/>
        <w:keepLines w:val="0"/>
        <w:pageBreakBefore w:val="0"/>
        <w:widowControl w:val="0"/>
        <w:kinsoku/>
        <w:wordWrap/>
        <w:overflowPunct/>
        <w:topLinePunct w:val="0"/>
        <w:autoSpaceDE/>
        <w:autoSpaceDN/>
        <w:bidi w:val="0"/>
        <w:adjustRightInd/>
        <w:snapToGrid/>
        <w:spacing w:line="440" w:lineRule="exact"/>
        <w:ind w:firstLine="411" w:firstLineChars="196"/>
        <w:textAlignment w:val="auto"/>
        <w:rPr>
          <w:rFonts w:ascii="新宋体" w:hAnsi="新宋体" w:eastAsia="新宋体"/>
          <w:color w:val="auto"/>
        </w:rPr>
      </w:pPr>
      <w:r>
        <w:rPr>
          <w:rFonts w:hint="eastAsia" w:ascii="新宋体" w:hAnsi="新宋体" w:eastAsia="新宋体"/>
          <w:color w:val="auto"/>
        </w:rPr>
        <w:t>为维护市场公平竞争，营造诚实守信的招投标交易环境，我单位自愿加入 “盐城市公共资源交易平台主体信息库”（诚信库），自愿将本单位相关信息予以登记并对外发布，信息库（诚信库）发布的相关信息均经我单位确认无误，对此郑重承诺如下：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一、我单位提交并在信息库（诚信库）发布的相关信息均真实有效，提交的材料无任何伪造、修改、虚假成份，材料所述内容均为本单位真实拥有。若违反本承诺一经查实，本单位自愿退出所有在盐城市招标投标平台上正在进行的投标项目并被取消会员资格，自愿接受禁止1-3年内进入盐城市招标市场的处罚。同时作为失信行为推送至相关网站，进行联合惩戒。</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二、我单位在参加投标过程中严格遵守各项廉政制度，如有违反自愿按规定接受处罚。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三、我单位知晓盐城市有关部门不再对信息库（诚信库）内容进行审核把关，有关信息一经提交确认，将无法修改撤回，有关信息若有虚假，无论是否作废，均作为对我单位的处罚依据，我单位保证审慎提交。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新宋体" w:hAnsi="新宋体" w:eastAsia="新宋体"/>
          <w:color w:val="auto"/>
        </w:rPr>
      </w:pPr>
      <w:r>
        <w:rPr>
          <w:rFonts w:hint="eastAsia" w:ascii="新宋体" w:hAnsi="新宋体" w:eastAsia="新宋体"/>
          <w:color w:val="auto"/>
        </w:rPr>
        <w:t>四、我单位保证认真、及时维护和更新信息库（诚信库）中与我单位有关的内容，保证用于投标的有关资料，关键信息齐全、清晰可辨、且是与原件一致的最新版本，若使用带有二维码电子证照投标，保证扫描二维码能正确读取有关数据且与系统查询一致，投标时严格按照招标文件约定从信息库（诚信库）勾选有关资料，如有违反，我单位对评标委员会作出的废标结论无异议。将自愿承担由此造成的一切不良后果。</w:t>
      </w:r>
    </w:p>
    <w:p>
      <w:pPr>
        <w:spacing w:line="400" w:lineRule="exact"/>
        <w:ind w:firstLine="411" w:firstLineChars="196"/>
        <w:rPr>
          <w:rFonts w:ascii="新宋体" w:hAnsi="新宋体" w:eastAsia="新宋体"/>
          <w:color w:val="auto"/>
        </w:rPr>
      </w:pPr>
      <w:r>
        <w:rPr>
          <w:rFonts w:hint="eastAsia" w:ascii="新宋体" w:hAnsi="新宋体" w:eastAsia="新宋体"/>
          <w:color w:val="auto"/>
        </w:rPr>
        <w:t xml:space="preserve">                       </w:t>
      </w:r>
    </w:p>
    <w:p>
      <w:pPr>
        <w:spacing w:line="360" w:lineRule="exact"/>
        <w:ind w:firstLine="1146" w:firstLineChars="546"/>
        <w:rPr>
          <w:rFonts w:hint="eastAsia" w:ascii="新宋体" w:hAnsi="新宋体" w:eastAsia="新宋体"/>
          <w:color w:val="auto"/>
        </w:rPr>
      </w:pPr>
    </w:p>
    <w:p>
      <w:pPr>
        <w:spacing w:line="360" w:lineRule="exact"/>
        <w:ind w:firstLine="1146" w:firstLineChars="546"/>
        <w:rPr>
          <w:rFonts w:ascii="新宋体" w:hAnsi="新宋体" w:eastAsia="新宋体"/>
          <w:color w:val="auto"/>
        </w:rPr>
      </w:pPr>
      <w:r>
        <w:rPr>
          <w:rFonts w:hint="eastAsia" w:ascii="新宋体" w:hAnsi="新宋体" w:eastAsia="新宋体"/>
          <w:color w:val="auto"/>
        </w:rPr>
        <w:t>承诺人法定名称（法人公章）：</w:t>
      </w:r>
    </w:p>
    <w:p>
      <w:pPr>
        <w:spacing w:line="360" w:lineRule="exact"/>
        <w:rPr>
          <w:rFonts w:ascii="新宋体" w:hAnsi="新宋体" w:eastAsia="新宋体"/>
          <w:color w:val="auto"/>
        </w:rPr>
      </w:pPr>
      <w:r>
        <w:rPr>
          <w:rFonts w:hint="eastAsia" w:ascii="新宋体" w:hAnsi="新宋体" w:eastAsia="新宋体"/>
          <w:color w:val="auto"/>
        </w:rPr>
        <w:t xml:space="preserve">  </w:t>
      </w: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统一社会信用代码：                 </w:t>
      </w:r>
    </w:p>
    <w:p>
      <w:pPr>
        <w:spacing w:line="360" w:lineRule="exact"/>
        <w:ind w:firstLine="411" w:firstLineChars="196"/>
        <w:rPr>
          <w:rFonts w:ascii="新宋体" w:hAnsi="新宋体" w:eastAsia="新宋体"/>
          <w:color w:val="auto"/>
        </w:rPr>
      </w:pP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承诺人法定代表人（签字或盖章）：</w:t>
      </w:r>
    </w:p>
    <w:p>
      <w:pPr>
        <w:spacing w:line="360" w:lineRule="exact"/>
        <w:rPr>
          <w:rFonts w:ascii="新宋体" w:hAnsi="新宋体" w:eastAsia="新宋体"/>
          <w:color w:val="auto"/>
        </w:rPr>
      </w:pPr>
    </w:p>
    <w:p>
      <w:pPr>
        <w:spacing w:line="360" w:lineRule="exact"/>
        <w:ind w:firstLine="411" w:firstLineChars="196"/>
        <w:rPr>
          <w:rFonts w:ascii="新宋体" w:hAnsi="新宋体" w:eastAsia="新宋体"/>
          <w:color w:val="auto"/>
        </w:rPr>
      </w:pPr>
      <w:r>
        <w:rPr>
          <w:rFonts w:hint="eastAsia" w:ascii="新宋体" w:hAnsi="新宋体" w:eastAsia="新宋体"/>
          <w:color w:val="auto"/>
        </w:rPr>
        <w:t xml:space="preserve">                                       年    月    日</w:t>
      </w:r>
    </w:p>
    <w:p>
      <w:pPr>
        <w:rPr>
          <w:rFonts w:hint="eastAsia"/>
          <w:color w:val="auto"/>
        </w:rPr>
      </w:pPr>
    </w:p>
    <w:p>
      <w:pPr>
        <w:rPr>
          <w:rFonts w:hint="eastAsia"/>
          <w:color w:val="auto"/>
        </w:rPr>
      </w:pPr>
    </w:p>
    <w:p>
      <w:pPr>
        <w:rPr>
          <w:rFonts w:hint="eastAsia"/>
          <w:color w:val="auto"/>
        </w:rPr>
      </w:pPr>
    </w:p>
    <w:p>
      <w:pPr>
        <w:pStyle w:val="52"/>
        <w:rPr>
          <w:rFonts w:hint="eastAsia"/>
        </w:rPr>
      </w:pPr>
    </w:p>
    <w:p>
      <w:pPr>
        <w:rPr>
          <w:rFonts w:hint="eastAsia"/>
          <w:color w:val="auto"/>
        </w:rPr>
      </w:pPr>
    </w:p>
    <w:p>
      <w:pPr>
        <w:rPr>
          <w:rFonts w:hint="eastAsia"/>
          <w:color w:val="auto"/>
        </w:rPr>
      </w:pPr>
    </w:p>
    <w:p>
      <w:pPr>
        <w:rPr>
          <w:rFonts w:hint="eastAsia"/>
          <w:color w:val="auto"/>
        </w:rPr>
      </w:pPr>
    </w:p>
    <w:p>
      <w:pPr>
        <w:rPr>
          <w:rFonts w:hint="eastAsia"/>
          <w:color w:val="auto"/>
        </w:rPr>
      </w:pPr>
    </w:p>
    <w:p>
      <w:pPr>
        <w:spacing w:line="520" w:lineRule="exact"/>
        <w:jc w:val="center"/>
        <w:rPr>
          <w:rFonts w:ascii="黑体" w:hAnsi="黑体" w:eastAsia="黑体"/>
          <w:b/>
          <w:color w:val="auto"/>
          <w:sz w:val="28"/>
          <w:szCs w:val="28"/>
        </w:rPr>
      </w:pPr>
      <w:r>
        <w:rPr>
          <w:rFonts w:hint="eastAsia" w:ascii="黑体" w:hAnsi="黑体" w:eastAsia="黑体"/>
          <w:b/>
          <w:color w:val="auto"/>
          <w:sz w:val="28"/>
          <w:szCs w:val="28"/>
        </w:rPr>
        <w:t>法定代表人诚信投标承诺书</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本人以企业法定代表人的身份郑重承诺：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一、将遵循公开、公正和诚实信用的原则参加</w:t>
      </w:r>
      <w:r>
        <w:rPr>
          <w:rFonts w:hint="eastAsia" w:ascii="新宋体" w:hAnsi="新宋体" w:eastAsia="新宋体"/>
          <w:color w:val="auto"/>
          <w:u w:val="single"/>
        </w:rPr>
        <w:t xml:space="preserve">                </w:t>
      </w:r>
      <w:r>
        <w:rPr>
          <w:rFonts w:hint="eastAsia" w:ascii="新宋体" w:hAnsi="新宋体" w:eastAsia="新宋体"/>
          <w:color w:val="auto"/>
        </w:rPr>
        <w:t>项目的投标;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二、保证我公司盐城市公共资源交易中心诚信库和本次投标文件中所提供的一切材料都是真实、有效、合法的；如有投诉经查实，自愿接受以弄虚作假骗取中标进行处罚；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color w:val="auto"/>
        </w:rPr>
      </w:pPr>
      <w:r>
        <w:rPr>
          <w:rFonts w:hint="eastAsia"/>
          <w:color w:val="auto"/>
        </w:rPr>
        <w:t>三、保证我公司用于本次投标的项目负责人无在建工程，保证项目负责人及代理人均为本单位的正式职工，并确保均已按本招标文件约定的要求在本单位缴纳养老保险。如有投诉经查实，自愿接受以弄虚作假骗取中标进行处罚；</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四、不出借、转让资质证书，不让他人挂靠投标，不以他人名义投标或者以其他方式弄虚作假，骗取中标；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五、不与其他人相互串通投标报价，不排挤其他投标人的公平竞争、损害招标人的合法权益；不与招标人、招标代理机构或其他投标人串通投标，损害国家利益、社会公共利益或者他人的合法权益；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六、严格遵守开标现场纪律，服从监管人员管理；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七、保证中标后不存在转包、违法分包及挂靠等违法行为；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八、保证中标之后，按照投标文件承诺派驻管理人员及投入机械设备；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九、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十、若对本次投标有投诉（异议），我保证由我投标时授权的代理人全权处理投诉（异议）事项，不再另行委托他人处理，如若违背，招标人或监管机构有权拒绝受理我公司投诉（异议）事项。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 xml:space="preserve"> 以上内容我已仔细阅读，本公司若有违反以上承诺内容、或其他弄虚作假，骗取中标的行为，自愿依法接受取消投标、中标资格、计失信行为录入不良行为记录系统、没收投标保证金等有关处理。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ascii="新宋体" w:hAnsi="新宋体" w:eastAsia="新宋体"/>
          <w:color w:val="auto"/>
        </w:rPr>
      </w:pPr>
      <w:r>
        <w:rPr>
          <w:rFonts w:hint="eastAsia" w:ascii="新宋体" w:hAnsi="新宋体" w:eastAsia="新宋体"/>
          <w:color w:val="auto"/>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515" w:firstLineChars="2150"/>
        <w:textAlignment w:val="auto"/>
        <w:rPr>
          <w:rFonts w:ascii="新宋体" w:hAnsi="新宋体" w:eastAsia="新宋体"/>
          <w:color w:val="auto"/>
        </w:rPr>
      </w:pPr>
      <w:r>
        <w:rPr>
          <w:rFonts w:hint="eastAsia" w:ascii="新宋体" w:hAnsi="新宋体" w:eastAsia="新宋体"/>
          <w:color w:val="auto"/>
        </w:rPr>
        <w:t>投标单位（公章）：</w:t>
      </w:r>
    </w:p>
    <w:p>
      <w:pPr>
        <w:keepNext w:val="0"/>
        <w:keepLines w:val="0"/>
        <w:pageBreakBefore w:val="0"/>
        <w:widowControl w:val="0"/>
        <w:kinsoku/>
        <w:wordWrap/>
        <w:overflowPunct/>
        <w:topLinePunct w:val="0"/>
        <w:autoSpaceDE/>
        <w:autoSpaceDN/>
        <w:bidi w:val="0"/>
        <w:adjustRightInd/>
        <w:snapToGrid/>
        <w:spacing w:line="420" w:lineRule="exact"/>
        <w:ind w:firstLine="4515" w:firstLineChars="2150"/>
        <w:textAlignment w:val="auto"/>
        <w:rPr>
          <w:rFonts w:ascii="新宋体" w:hAnsi="新宋体" w:eastAsia="新宋体"/>
          <w:color w:val="auto"/>
        </w:rPr>
      </w:pPr>
      <w:r>
        <w:rPr>
          <w:rFonts w:hint="eastAsia" w:ascii="新宋体" w:hAnsi="新宋体" w:eastAsia="新宋体"/>
          <w:color w:val="auto"/>
        </w:rPr>
        <w:t>法定代表人（签字并盖章）：</w:t>
      </w:r>
    </w:p>
    <w:p>
      <w:pPr>
        <w:keepNext w:val="0"/>
        <w:keepLines w:val="0"/>
        <w:pageBreakBefore w:val="0"/>
        <w:widowControl w:val="0"/>
        <w:kinsoku/>
        <w:wordWrap/>
        <w:overflowPunct/>
        <w:topLinePunct w:val="0"/>
        <w:autoSpaceDE/>
        <w:autoSpaceDN/>
        <w:bidi w:val="0"/>
        <w:adjustRightInd/>
        <w:snapToGrid/>
        <w:spacing w:line="420" w:lineRule="exact"/>
        <w:ind w:firstLine="6090" w:firstLineChars="2900"/>
        <w:textAlignment w:val="auto"/>
        <w:rPr>
          <w:rFonts w:ascii="新宋体" w:hAnsi="新宋体" w:eastAsia="新宋体"/>
          <w:color w:val="auto"/>
        </w:rPr>
      </w:pPr>
      <w:r>
        <w:rPr>
          <w:rFonts w:hint="eastAsia" w:ascii="新宋体" w:hAnsi="新宋体" w:eastAsia="新宋体"/>
          <w:color w:val="auto"/>
        </w:rPr>
        <w:t>年    月     日</w:t>
      </w:r>
    </w:p>
    <w:p>
      <w:pPr>
        <w:rPr>
          <w:rFonts w:hint="eastAsia" w:ascii="宋体" w:hAnsi="宋体" w:cs="宋体"/>
          <w:color w:val="auto"/>
          <w:szCs w:val="21"/>
        </w:rPr>
      </w:pPr>
    </w:p>
    <w:p>
      <w:pPr>
        <w:spacing w:line="520" w:lineRule="exact"/>
        <w:ind w:firstLine="562" w:firstLineChars="200"/>
        <w:jc w:val="center"/>
        <w:rPr>
          <w:rFonts w:hint="eastAsia" w:ascii="黑体" w:hAnsi="黑体" w:eastAsia="黑体"/>
          <w:b/>
          <w:color w:val="auto"/>
          <w:sz w:val="28"/>
          <w:szCs w:val="28"/>
        </w:rPr>
      </w:pPr>
    </w:p>
    <w:p>
      <w:pPr>
        <w:spacing w:line="520" w:lineRule="exact"/>
        <w:ind w:firstLine="562" w:firstLineChars="200"/>
        <w:jc w:val="both"/>
        <w:rPr>
          <w:rFonts w:hint="eastAsia" w:ascii="黑体" w:hAnsi="黑体" w:eastAsia="黑体"/>
          <w:b/>
          <w:color w:val="auto"/>
          <w:sz w:val="28"/>
          <w:szCs w:val="28"/>
        </w:rPr>
      </w:pPr>
    </w:p>
    <w:p>
      <w:pPr>
        <w:pStyle w:val="52"/>
        <w:rPr>
          <w:rFonts w:hint="eastAsia"/>
        </w:rPr>
      </w:pP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盐城市公共资源交易投标信用承诺书</w:t>
      </w: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为营造公开、公平、公正的公共资源交易环境，树立诚信守法的投标人形象，本人代表本单位作出以下承诺：</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一、本单位对所提交的单位基本信息、单位负责人、项目负责人、技术负责人、从业资质和资格、业绩、财务状况、信誉等所有资料，均合法、真实、准确、有效，无任何伪造、修改、虚假成分；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二、严格依照国家和省、市关于招标投标等方面的法律、法规、规章、规范性文件，参加公共资源交易招标投标活动；积极履行社会责任，促进廉政建设；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三、严格遵守即时信息公示规定，及时更新公共资源交易中心主体信息库中信息；</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四、自我约束、自我管理，守合同、重信用，不参与围标串标、弄虚作假、骗取中标、干扰评标、违约毁约、恶意投诉等行为，主动维护公共资源交易招标投标的良好秩序；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五、自觉接受政府部门、行业组织、社会公众、新闻舆论等监督；</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ascii="新宋体" w:hAnsi="新宋体" w:eastAsia="新宋体"/>
          <w:color w:val="auto"/>
        </w:rPr>
      </w:pPr>
      <w:r>
        <w:rPr>
          <w:rFonts w:hint="eastAsia" w:ascii="新宋体" w:hAnsi="新宋体" w:eastAsia="新宋体"/>
          <w:color w:val="auto"/>
        </w:rPr>
        <w:t>七、上述承诺已向本单位员工作了宣传教育。</w:t>
      </w:r>
    </w:p>
    <w:p>
      <w:pPr>
        <w:pStyle w:val="23"/>
        <w:rPr>
          <w:rFonts w:hint="eastAsia"/>
          <w:color w:val="auto"/>
        </w:rPr>
      </w:pPr>
    </w:p>
    <w:p>
      <w:pPr>
        <w:ind w:left="3780" w:right="840" w:firstLine="420" w:firstLineChars="200"/>
        <w:jc w:val="left"/>
        <w:rPr>
          <w:rFonts w:hint="eastAsia" w:ascii="新宋体" w:hAnsi="新宋体" w:eastAsia="新宋体"/>
          <w:color w:val="auto"/>
        </w:rPr>
      </w:pPr>
    </w:p>
    <w:p>
      <w:pPr>
        <w:ind w:left="3780" w:right="840" w:firstLine="420" w:firstLineChars="200"/>
        <w:jc w:val="left"/>
        <w:rPr>
          <w:rFonts w:ascii="新宋体" w:hAnsi="新宋体" w:eastAsia="新宋体"/>
          <w:color w:val="auto"/>
        </w:rPr>
      </w:pPr>
      <w:r>
        <w:rPr>
          <w:rFonts w:hint="eastAsia" w:ascii="新宋体" w:hAnsi="新宋体" w:eastAsia="新宋体"/>
          <w:color w:val="auto"/>
        </w:rPr>
        <w:t>法定代表人签名：</w:t>
      </w:r>
    </w:p>
    <w:p>
      <w:pPr>
        <w:pStyle w:val="23"/>
        <w:jc w:val="left"/>
        <w:rPr>
          <w:rFonts w:ascii="新宋体" w:hAnsi="新宋体" w:eastAsia="新宋体"/>
          <w:color w:val="auto"/>
          <w:szCs w:val="24"/>
        </w:rPr>
      </w:pPr>
    </w:p>
    <w:p>
      <w:pPr>
        <w:ind w:left="3780" w:right="420" w:firstLine="420" w:firstLineChars="200"/>
        <w:jc w:val="left"/>
        <w:rPr>
          <w:rFonts w:hint="eastAsia" w:ascii="新宋体" w:hAnsi="新宋体" w:eastAsia="新宋体"/>
          <w:color w:val="auto"/>
        </w:rPr>
      </w:pPr>
      <w:r>
        <w:rPr>
          <w:rFonts w:hint="eastAsia" w:ascii="新宋体" w:hAnsi="新宋体" w:eastAsia="新宋体"/>
          <w:color w:val="auto"/>
        </w:rPr>
        <w:t>企业名称（盖章）：</w:t>
      </w:r>
      <w:r>
        <w:rPr>
          <w:rFonts w:ascii="新宋体" w:hAnsi="新宋体" w:eastAsia="新宋体"/>
          <w:color w:val="auto"/>
        </w:rPr>
        <w:t xml:space="preserve">  </w:t>
      </w:r>
    </w:p>
    <w:p>
      <w:pPr>
        <w:ind w:left="3780" w:right="420" w:firstLine="420" w:firstLineChars="200"/>
        <w:jc w:val="left"/>
        <w:rPr>
          <w:rFonts w:hint="eastAsia" w:ascii="新宋体" w:hAnsi="新宋体" w:eastAsia="新宋体"/>
          <w:color w:val="auto"/>
        </w:rPr>
      </w:pPr>
    </w:p>
    <w:p>
      <w:pPr>
        <w:ind w:firstLine="420" w:firstLineChars="200"/>
        <w:jc w:val="right"/>
        <w:rPr>
          <w:rFonts w:hint="eastAsia" w:ascii="新宋体" w:hAnsi="新宋体" w:eastAsia="新宋体"/>
          <w:color w:val="auto"/>
        </w:rPr>
      </w:pPr>
      <w:r>
        <w:rPr>
          <w:rFonts w:hint="eastAsia" w:ascii="新宋体" w:hAnsi="新宋体" w:eastAsia="新宋体"/>
          <w:color w:val="auto"/>
          <w:u w:val="single"/>
        </w:rPr>
        <w:t xml:space="preserve">       </w:t>
      </w:r>
      <w:r>
        <w:rPr>
          <w:rFonts w:hint="eastAsia" w:ascii="新宋体" w:hAnsi="新宋体" w:eastAsia="新宋体"/>
          <w:color w:val="auto"/>
        </w:rPr>
        <w:t>年</w:t>
      </w:r>
      <w:r>
        <w:rPr>
          <w:rFonts w:hint="eastAsia" w:ascii="新宋体" w:hAnsi="新宋体" w:eastAsia="新宋体"/>
          <w:color w:val="auto"/>
          <w:u w:val="single"/>
        </w:rPr>
        <w:t xml:space="preserve">     </w:t>
      </w:r>
      <w:r>
        <w:rPr>
          <w:rFonts w:hint="eastAsia" w:ascii="新宋体" w:hAnsi="新宋体" w:eastAsia="新宋体"/>
          <w:color w:val="auto"/>
        </w:rPr>
        <w:t>月</w:t>
      </w:r>
      <w:r>
        <w:rPr>
          <w:rFonts w:hint="eastAsia" w:ascii="新宋体" w:hAnsi="新宋体" w:eastAsia="新宋体"/>
          <w:color w:val="auto"/>
          <w:u w:val="single"/>
        </w:rPr>
        <w:t xml:space="preserve">     </w:t>
      </w:r>
      <w:r>
        <w:rPr>
          <w:rFonts w:hint="eastAsia" w:ascii="新宋体" w:hAnsi="新宋体" w:eastAsia="新宋体"/>
          <w:color w:val="auto"/>
        </w:rPr>
        <w:t>日</w:t>
      </w:r>
    </w:p>
    <w:p>
      <w:pPr>
        <w:ind w:firstLine="420" w:firstLineChars="200"/>
        <w:jc w:val="right"/>
        <w:rPr>
          <w:rFonts w:hint="eastAsia" w:ascii="新宋体" w:hAnsi="新宋体" w:eastAsia="新宋体"/>
          <w:color w:val="auto"/>
        </w:rPr>
      </w:pPr>
    </w:p>
    <w:p>
      <w:pPr>
        <w:pStyle w:val="183"/>
        <w:jc w:val="center"/>
        <w:rPr>
          <w:rFonts w:hint="eastAsia" w:ascii="黑体" w:hAnsi="黑体" w:eastAsia="黑体"/>
          <w:b/>
          <w:color w:val="auto"/>
          <w:sz w:val="28"/>
          <w:szCs w:val="28"/>
        </w:rPr>
      </w:pPr>
    </w:p>
    <w:p>
      <w:pPr>
        <w:pStyle w:val="183"/>
        <w:jc w:val="center"/>
        <w:rPr>
          <w:rFonts w:hint="eastAsia" w:ascii="黑体" w:hAnsi="黑体" w:eastAsia="黑体"/>
          <w:b/>
          <w:color w:val="auto"/>
          <w:sz w:val="28"/>
          <w:szCs w:val="28"/>
        </w:rPr>
      </w:pPr>
    </w:p>
    <w:p>
      <w:pPr>
        <w:pStyle w:val="183"/>
        <w:jc w:val="center"/>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jc w:val="both"/>
        <w:rPr>
          <w:rFonts w:hint="eastAsia" w:ascii="黑体" w:hAnsi="黑体" w:eastAsia="黑体"/>
          <w:b/>
          <w:color w:val="auto"/>
          <w:sz w:val="28"/>
          <w:szCs w:val="28"/>
        </w:rPr>
      </w:pPr>
    </w:p>
    <w:p>
      <w:pPr>
        <w:pStyle w:val="183"/>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b/>
          <w:color w:val="auto"/>
          <w:sz w:val="28"/>
          <w:szCs w:val="28"/>
        </w:rPr>
      </w:pPr>
      <w:r>
        <w:rPr>
          <w:rFonts w:hint="eastAsia" w:ascii="黑体" w:hAnsi="黑体" w:eastAsia="黑体"/>
          <w:b/>
          <w:color w:val="auto"/>
          <w:sz w:val="28"/>
          <w:szCs w:val="28"/>
        </w:rPr>
        <w:t>项目负责人投标承诺函</w:t>
      </w:r>
    </w:p>
    <w:p>
      <w:pPr>
        <w:spacing w:line="640" w:lineRule="exact"/>
        <w:jc w:val="left"/>
        <w:rPr>
          <w:rFonts w:ascii="宋体" w:hAnsi="宋体" w:cs="宋体"/>
          <w:color w:val="auto"/>
          <w:szCs w:val="21"/>
        </w:rPr>
      </w:pPr>
      <w:r>
        <w:rPr>
          <w:rFonts w:hint="eastAsia" w:ascii="宋体" w:cs="宋体"/>
          <w:color w:val="auto"/>
          <w:szCs w:val="21"/>
        </w:rPr>
        <w:t xml:space="preserve">   </w:t>
      </w:r>
      <w:r>
        <w:rPr>
          <w:rFonts w:hint="eastAsia" w:ascii="宋体" w:hAnsi="宋体" w:cs="宋体"/>
          <w:color w:val="auto"/>
          <w:szCs w:val="21"/>
        </w:rPr>
        <w:t>本人</w:t>
      </w:r>
      <w:r>
        <w:rPr>
          <w:rFonts w:hint="eastAsia" w:asci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szCs w:val="21"/>
        </w:rPr>
        <w:t>投标人名称）参与（项目名称+标段名称）</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rPr>
        <w:t>标段投标的</w:t>
      </w:r>
      <w:r>
        <w:rPr>
          <w:rFonts w:hint="eastAsia" w:ascii="宋体" w:cs="宋体"/>
          <w:color w:val="auto"/>
          <w:szCs w:val="21"/>
        </w:rPr>
        <w:t>项目经理</w:t>
      </w:r>
      <w:r>
        <w:rPr>
          <w:rFonts w:hint="eastAsia" w:ascii="宋体" w:hAnsi="宋体" w:cs="宋体"/>
          <w:color w:val="auto"/>
          <w:szCs w:val="21"/>
        </w:rPr>
        <w:t>，我承诺本次投标截止前本人</w:t>
      </w:r>
      <w:r>
        <w:rPr>
          <w:rFonts w:ascii="宋体" w:hAnsi="宋体" w:cs="宋体"/>
          <w:color w:val="auto"/>
          <w:szCs w:val="21"/>
        </w:rPr>
        <w:t>无在建工程、</w:t>
      </w:r>
      <w:r>
        <w:rPr>
          <w:rFonts w:hint="eastAsia" w:ascii="宋体" w:hAnsi="宋体" w:cs="宋体"/>
          <w:color w:val="auto"/>
          <w:szCs w:val="21"/>
        </w:rPr>
        <w:t>无行贿犯罪行为记录，不存在在</w:t>
      </w:r>
      <w:r>
        <w:rPr>
          <w:rFonts w:ascii="宋体" w:hAnsi="宋体" w:cs="宋体"/>
          <w:color w:val="auto"/>
          <w:szCs w:val="21"/>
        </w:rPr>
        <w:t>两个或者两个以上单位受聘或者执业</w:t>
      </w:r>
      <w:r>
        <w:rPr>
          <w:rFonts w:hint="eastAsia" w:ascii="宋体" w:hAnsi="宋体" w:cs="宋体"/>
          <w:color w:val="auto"/>
          <w:szCs w:val="21"/>
        </w:rPr>
        <w:t>情形，本人身体状况健康，具备项目经理正常履约能力，若我单位中标，本人正常在岗履职，不随意更换项目经理，否则接受除按招标文件及相关规定接受经济处罚外，还将作为盐城市建设工程领域招投标及标后履约不良行为记录进黑名单限制一定时期作为项目负责人投标资格。</w:t>
      </w:r>
    </w:p>
    <w:p>
      <w:pPr>
        <w:spacing w:line="440" w:lineRule="exact"/>
        <w:ind w:firstLine="1995" w:firstLineChars="950"/>
        <w:rPr>
          <w:rFonts w:hint="eastAsia"/>
          <w:color w:val="auto"/>
          <w:szCs w:val="21"/>
        </w:rPr>
      </w:pPr>
    </w:p>
    <w:p>
      <w:pPr>
        <w:spacing w:line="440" w:lineRule="exact"/>
        <w:ind w:firstLine="1995" w:firstLineChars="950"/>
        <w:rPr>
          <w:rFonts w:hint="eastAsia"/>
          <w:color w:val="auto"/>
          <w:szCs w:val="21"/>
        </w:rPr>
      </w:pPr>
    </w:p>
    <w:p>
      <w:pPr>
        <w:spacing w:line="440" w:lineRule="exact"/>
        <w:ind w:firstLine="1995" w:firstLineChars="950"/>
        <w:rPr>
          <w:rFonts w:hint="eastAsia"/>
          <w:color w:val="auto"/>
          <w:szCs w:val="21"/>
        </w:rPr>
      </w:pPr>
    </w:p>
    <w:p>
      <w:pPr>
        <w:spacing w:line="440" w:lineRule="exact"/>
        <w:rPr>
          <w:rFonts w:hint="eastAsia"/>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项目负责人：</w:t>
      </w:r>
      <w:r>
        <w:rPr>
          <w:rFonts w:ascii="宋体" w:hAnsi="宋体" w:cs="宋体"/>
          <w:color w:val="auto"/>
          <w:szCs w:val="21"/>
          <w:u w:val="single"/>
        </w:rPr>
        <w:t xml:space="preserve">                               </w:t>
      </w:r>
      <w:r>
        <w:rPr>
          <w:rFonts w:hint="eastAsia" w:ascii="宋体" w:hAnsi="宋体" w:cs="宋体"/>
          <w:color w:val="auto"/>
          <w:szCs w:val="21"/>
        </w:rPr>
        <w:t>（签字）</w:t>
      </w:r>
    </w:p>
    <w:p>
      <w:pPr>
        <w:spacing w:line="440" w:lineRule="exact"/>
        <w:rPr>
          <w:rFonts w:ascii="宋体" w:hAnsi="宋体" w:cs="宋体"/>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身份证号码：</w:t>
      </w:r>
      <w:r>
        <w:rPr>
          <w:rFonts w:ascii="宋体" w:hAnsi="宋体" w:cs="宋体"/>
          <w:color w:val="auto"/>
          <w:szCs w:val="21"/>
          <w:u w:val="single"/>
        </w:rPr>
        <w:t xml:space="preserve">                               </w:t>
      </w:r>
      <w:r>
        <w:rPr>
          <w:rFonts w:ascii="宋体" w:hAnsi="宋体" w:cs="宋体"/>
          <w:color w:val="auto"/>
          <w:szCs w:val="21"/>
        </w:rPr>
        <w:t xml:space="preserve">      </w:t>
      </w:r>
    </w:p>
    <w:p>
      <w:pPr>
        <w:spacing w:line="440" w:lineRule="exact"/>
        <w:rPr>
          <w:rFonts w:ascii="宋体" w:hAnsi="宋体" w:cs="宋体"/>
          <w:color w:val="auto"/>
          <w:szCs w:val="21"/>
        </w:rPr>
      </w:pPr>
    </w:p>
    <w:p>
      <w:pPr>
        <w:spacing w:line="440" w:lineRule="exact"/>
        <w:ind w:firstLine="3150" w:firstLineChars="1500"/>
        <w:jc w:val="left"/>
        <w:rPr>
          <w:rFonts w:ascii="宋体" w:hAnsi="宋体" w:cs="宋体"/>
          <w:color w:val="auto"/>
          <w:szCs w:val="21"/>
        </w:rPr>
      </w:pPr>
      <w:r>
        <w:rPr>
          <w:rFonts w:hint="eastAsia" w:ascii="宋体" w:hAnsi="宋体" w:cs="宋体"/>
          <w:color w:val="auto"/>
          <w:szCs w:val="21"/>
        </w:rPr>
        <w:t>联系电话：</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pStyle w:val="4"/>
        <w:spacing w:line="360" w:lineRule="auto"/>
        <w:ind w:firstLine="3360" w:firstLineChars="1600"/>
        <w:rPr>
          <w:rFonts w:asciiTheme="minorEastAsia" w:hAnsiTheme="minorEastAsia" w:eastAsiaTheme="minorEastAsia" w:cstheme="minorEastAsia"/>
          <w:color w:val="000000" w:themeColor="text1"/>
          <w:kern w:val="0"/>
          <w:szCs w:val="21"/>
          <w14:textFill>
            <w14:solidFill>
              <w14:schemeClr w14:val="tx1"/>
            </w14:solidFill>
          </w14:textFill>
        </w:rPr>
      </w:pPr>
      <w:r>
        <w:rPr>
          <w:rFonts w:ascii="宋体" w:hAnsi="宋体" w:cs="宋体"/>
          <w:color w:val="auto"/>
          <w:sz w:val="21"/>
          <w:szCs w:val="21"/>
          <w:u w:val="single"/>
        </w:rPr>
        <w:t xml:space="preserve">       </w:t>
      </w:r>
      <w:r>
        <w:rPr>
          <w:rFonts w:hint="eastAsia" w:ascii="宋体" w:hAnsi="宋体" w:cs="宋体"/>
          <w:color w:val="auto"/>
          <w:sz w:val="21"/>
          <w:szCs w:val="21"/>
        </w:rPr>
        <w:t>年</w:t>
      </w:r>
      <w:r>
        <w:rPr>
          <w:rFonts w:ascii="宋体" w:hAnsi="宋体" w:cs="宋体"/>
          <w:color w:val="auto"/>
          <w:sz w:val="21"/>
          <w:szCs w:val="21"/>
          <w:u w:val="single"/>
        </w:rPr>
        <w:t xml:space="preserve">       </w:t>
      </w:r>
      <w:r>
        <w:rPr>
          <w:rFonts w:hint="eastAsia" w:ascii="宋体" w:hAnsi="宋体" w:cs="宋体"/>
          <w:color w:val="auto"/>
          <w:sz w:val="21"/>
          <w:szCs w:val="21"/>
        </w:rPr>
        <w:t>月</w:t>
      </w:r>
      <w:r>
        <w:rPr>
          <w:rFonts w:ascii="宋体" w:hAnsi="宋体" w:cs="宋体"/>
          <w:color w:val="auto"/>
          <w:sz w:val="21"/>
          <w:szCs w:val="21"/>
          <w:u w:val="single"/>
        </w:rPr>
        <w:t xml:space="preserve">       </w:t>
      </w:r>
      <w:r>
        <w:rPr>
          <w:rFonts w:hint="eastAsia" w:ascii="宋体" w:hAnsi="宋体" w:cs="宋体"/>
          <w:color w:val="auto"/>
          <w:sz w:val="21"/>
          <w:szCs w:val="21"/>
        </w:rPr>
        <w:t>日</w:t>
      </w: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80" w:name="_Toc398107934"/>
      <w:r>
        <w:rPr>
          <w:rFonts w:hint="eastAsia" w:asciiTheme="minorEastAsia" w:hAnsiTheme="minorEastAsia" w:eastAsiaTheme="minorEastAsia" w:cstheme="minorEastAsia"/>
          <w:color w:val="000000" w:themeColor="text1"/>
          <w14:textFill>
            <w14:solidFill>
              <w14:schemeClr w14:val="tx1"/>
            </w14:solidFill>
          </w14:textFill>
        </w:rPr>
        <w:t>7.投标人基本情况表</w:t>
      </w:r>
      <w:bookmarkEnd w:id="80"/>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97"/>
        <w:gridCol w:w="1183"/>
        <w:gridCol w:w="1484"/>
        <w:gridCol w:w="1132"/>
        <w:gridCol w:w="67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投标人名称</w:t>
            </w:r>
          </w:p>
        </w:tc>
        <w:tc>
          <w:tcPr>
            <w:tcW w:w="6906" w:type="dxa"/>
            <w:gridSpan w:val="6"/>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注册地址</w:t>
            </w:r>
          </w:p>
        </w:tc>
        <w:tc>
          <w:tcPr>
            <w:tcW w:w="3864" w:type="dxa"/>
            <w:gridSpan w:val="3"/>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邮政编码</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restart"/>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联系方式</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联系人</w:t>
            </w:r>
          </w:p>
        </w:tc>
        <w:tc>
          <w:tcPr>
            <w:tcW w:w="2667"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continue"/>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传真</w:t>
            </w:r>
          </w:p>
        </w:tc>
        <w:tc>
          <w:tcPr>
            <w:tcW w:w="2667"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网址</w:t>
            </w:r>
          </w:p>
        </w:tc>
        <w:tc>
          <w:tcPr>
            <w:tcW w:w="191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法定代表人</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姓名</w:t>
            </w:r>
          </w:p>
        </w:tc>
        <w:tc>
          <w:tcPr>
            <w:tcW w:w="1183"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4"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技术职称</w:t>
            </w: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7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2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技术负责人</w:t>
            </w:r>
          </w:p>
        </w:tc>
        <w:tc>
          <w:tcPr>
            <w:tcW w:w="1197"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姓名</w:t>
            </w:r>
          </w:p>
        </w:tc>
        <w:tc>
          <w:tcPr>
            <w:tcW w:w="1183"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84"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技术职称</w:t>
            </w:r>
          </w:p>
        </w:tc>
        <w:tc>
          <w:tcPr>
            <w:tcW w:w="11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7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w:t>
            </w:r>
          </w:p>
        </w:tc>
        <w:tc>
          <w:tcPr>
            <w:tcW w:w="1232"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成立时间</w:t>
            </w:r>
          </w:p>
        </w:tc>
        <w:tc>
          <w:tcPr>
            <w:tcW w:w="2380" w:type="dxa"/>
            <w:gridSpan w:val="2"/>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4526" w:type="dxa"/>
            <w:gridSpan w:val="4"/>
            <w:vAlign w:val="center"/>
          </w:tcPr>
          <w:p>
            <w:pP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持证</w:t>
            </w:r>
            <w:r>
              <w:rPr>
                <w:rFonts w:hint="eastAsia" w:asciiTheme="minorEastAsia" w:hAnsiTheme="minorEastAsia" w:eastAsiaTheme="minorEastAsia" w:cstheme="minorEastAsia"/>
                <w:color w:val="000000" w:themeColor="text1"/>
                <w:szCs w:val="21"/>
                <w14:textFill>
                  <w14:solidFill>
                    <w14:schemeClr w14:val="tx1"/>
                  </w14:solidFill>
                </w14:textFill>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经营范围</w:t>
            </w:r>
          </w:p>
        </w:tc>
        <w:tc>
          <w:tcPr>
            <w:tcW w:w="6906" w:type="dxa"/>
            <w:gridSpan w:val="6"/>
            <w:vAlign w:val="center"/>
          </w:tcPr>
          <w:p>
            <w:pP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50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备注</w:t>
            </w:r>
          </w:p>
        </w:tc>
        <w:tc>
          <w:tcPr>
            <w:tcW w:w="6906" w:type="dxa"/>
            <w:gridSpan w:val="6"/>
            <w:vAlign w:val="center"/>
          </w:tcPr>
          <w:p>
            <w:pPr>
              <w:ind w:firstLine="420" w:firstLineChars="200"/>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rPr>
          <w:rFonts w:asciiTheme="minorEastAsia" w:hAnsiTheme="minorEastAsia" w:eastAsiaTheme="minorEastAsia" w:cstheme="minorEastAsia"/>
          <w:color w:val="000000" w:themeColor="text1"/>
          <w:kern w:val="0"/>
          <w:szCs w:val="21"/>
          <w14:textFill>
            <w14:solidFill>
              <w14:schemeClr w14:val="tx1"/>
            </w14:solidFill>
          </w14:textFill>
        </w:rPr>
      </w:pPr>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4"/>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81" w:name="_Toc398107935"/>
      <w:r>
        <w:rPr>
          <w:rFonts w:hint="eastAsia" w:asciiTheme="minorEastAsia" w:hAnsiTheme="minorEastAsia" w:eastAsiaTheme="minorEastAsia" w:cstheme="minorEastAsia"/>
          <w:color w:val="000000" w:themeColor="text1"/>
          <w14:textFill>
            <w14:solidFill>
              <w14:schemeClr w14:val="tx1"/>
            </w14:solidFill>
          </w14:textFill>
        </w:rPr>
        <w:t>8.人员配备</w:t>
      </w:r>
      <w:bookmarkEnd w:id="81"/>
    </w:p>
    <w:p>
      <w:pPr>
        <w:rPr>
          <w:rFonts w:asciiTheme="minorEastAsia" w:hAnsiTheme="minorEastAsia" w:eastAsiaTheme="minorEastAsia" w:cstheme="minorEastAsia"/>
          <w:color w:val="000000" w:themeColor="text1"/>
          <w:kern w:val="0"/>
          <w:szCs w:val="21"/>
          <w14:textFill>
            <w14:solidFill>
              <w14:schemeClr w14:val="tx1"/>
            </w14:solidFill>
          </w14:textFill>
        </w:rPr>
      </w:pPr>
    </w:p>
    <w:p>
      <w:pPr>
        <w:pStyle w:val="5"/>
        <w:rPr>
          <w:rFonts w:asciiTheme="minorEastAsia" w:hAnsiTheme="minorEastAsia" w:eastAsiaTheme="minorEastAsia" w:cstheme="minorEastAsia"/>
          <w:color w:val="000000" w:themeColor="text1"/>
          <w14:textFill>
            <w14:solidFill>
              <w14:schemeClr w14:val="tx1"/>
            </w14:solidFill>
          </w14:textFill>
        </w:rPr>
      </w:pPr>
      <w:bookmarkStart w:id="82" w:name="_Toc398107936"/>
      <w:r>
        <w:rPr>
          <w:rFonts w:hint="eastAsia" w:asciiTheme="minorEastAsia" w:hAnsiTheme="minorEastAsia" w:eastAsiaTheme="minorEastAsia" w:cstheme="minorEastAsia"/>
          <w:color w:val="000000" w:themeColor="text1"/>
          <w14:textFill>
            <w14:solidFill>
              <w14:schemeClr w14:val="tx1"/>
            </w14:solidFill>
          </w14:textFill>
        </w:rPr>
        <w:t>8.1拟选派项目组人员一览表</w:t>
      </w:r>
      <w:bookmarkEnd w:id="82"/>
    </w:p>
    <w:p>
      <w:pPr>
        <w:pStyle w:val="2"/>
        <w:jc w:val="center"/>
        <w:rPr>
          <w:rFonts w:hint="eastAsia" w:ascii="宋体" w:hAnsi="宋体" w:cs="宋体"/>
          <w:b/>
          <w:color w:val="000000"/>
          <w:kern w:val="0"/>
          <w:sz w:val="28"/>
          <w:szCs w:val="21"/>
        </w:rPr>
      </w:pPr>
      <w:r>
        <w:rPr>
          <w:rFonts w:hint="eastAsia" w:ascii="宋体" w:hAnsi="宋体" w:cs="宋体"/>
          <w:b/>
          <w:color w:val="000000"/>
          <w:kern w:val="0"/>
          <w:sz w:val="28"/>
          <w:szCs w:val="21"/>
        </w:rPr>
        <w:t>大中街道2021年西河口社区房屋征收</w:t>
      </w:r>
      <w:r>
        <w:rPr>
          <w:rFonts w:hint="eastAsia" w:ascii="宋体" w:hAnsi="宋体" w:cs="宋体"/>
          <w:b/>
          <w:color w:val="000000"/>
          <w:kern w:val="0"/>
          <w:sz w:val="28"/>
          <w:szCs w:val="21"/>
          <w:lang w:eastAsia="zh-CN"/>
        </w:rPr>
        <w:t>搬迁</w:t>
      </w:r>
      <w:r>
        <w:rPr>
          <w:rFonts w:hint="eastAsia" w:ascii="宋体" w:hAnsi="宋体" w:cs="宋体"/>
          <w:b/>
          <w:color w:val="000000"/>
          <w:kern w:val="0"/>
          <w:sz w:val="28"/>
          <w:szCs w:val="21"/>
        </w:rPr>
        <w:t>项目人员情况一览表</w:t>
      </w:r>
    </w:p>
    <w:p>
      <w:pPr>
        <w:pStyle w:val="2"/>
        <w:jc w:val="center"/>
        <w:rPr>
          <w:rFonts w:hint="eastAsia" w:ascii="宋体" w:hAnsi="宋体" w:cs="宋体"/>
          <w:b/>
          <w:color w:val="000000"/>
          <w:kern w:val="0"/>
          <w:sz w:val="28"/>
          <w:szCs w:val="21"/>
        </w:rPr>
      </w:pP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703"/>
        <w:gridCol w:w="901"/>
        <w:gridCol w:w="2240"/>
        <w:gridCol w:w="1974"/>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809" w:type="dxa"/>
            <w:gridSpan w:val="6"/>
            <w:vAlign w:val="center"/>
          </w:tcPr>
          <w:p>
            <w:pPr>
              <w:jc w:val="center"/>
              <w:rPr>
                <w:rFonts w:ascii="仿宋_GB2312"/>
                <w:sz w:val="20"/>
                <w:szCs w:val="20"/>
              </w:rPr>
            </w:pPr>
            <w:r>
              <w:rPr>
                <w:rFonts w:hint="eastAsia" w:ascii="仿宋_GB2312" w:hAnsi="宋体" w:cs="宋体"/>
                <w:sz w:val="20"/>
                <w:szCs w:val="20"/>
              </w:rPr>
              <w:t>项目机构成员一览表（须提交岗位证书原件核查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jc w:val="center"/>
              <w:rPr>
                <w:rFonts w:ascii="宋体" w:hAnsi="宋体" w:cs="宋体"/>
                <w:sz w:val="20"/>
                <w:szCs w:val="20"/>
              </w:rPr>
            </w:pPr>
            <w:r>
              <w:rPr>
                <w:rFonts w:hint="eastAsia" w:ascii="仿宋_GB2312" w:hAnsi="宋体" w:cs="宋体"/>
                <w:sz w:val="20"/>
                <w:szCs w:val="20"/>
              </w:rPr>
              <w:t>序号</w:t>
            </w:r>
          </w:p>
        </w:tc>
        <w:tc>
          <w:tcPr>
            <w:tcW w:w="1604" w:type="dxa"/>
            <w:gridSpan w:val="2"/>
            <w:vAlign w:val="center"/>
          </w:tcPr>
          <w:p>
            <w:pPr>
              <w:spacing w:before="100" w:beforeAutospacing="1"/>
              <w:ind w:left="72"/>
              <w:jc w:val="center"/>
              <w:rPr>
                <w:rFonts w:ascii="宋体" w:hAnsi="宋体" w:cs="宋体"/>
                <w:sz w:val="20"/>
                <w:szCs w:val="20"/>
              </w:rPr>
            </w:pPr>
            <w:r>
              <w:rPr>
                <w:rFonts w:hint="eastAsia" w:ascii="仿宋_GB2312" w:hAnsi="宋体" w:cs="宋体"/>
                <w:sz w:val="20"/>
                <w:szCs w:val="20"/>
              </w:rPr>
              <w:t>姓   名</w:t>
            </w:r>
          </w:p>
        </w:tc>
        <w:tc>
          <w:tcPr>
            <w:tcW w:w="2240" w:type="dxa"/>
            <w:vAlign w:val="center"/>
          </w:tcPr>
          <w:p>
            <w:pPr>
              <w:widowControl/>
              <w:spacing w:before="100" w:beforeAutospacing="1"/>
              <w:jc w:val="center"/>
              <w:rPr>
                <w:rFonts w:ascii="宋体" w:hAnsi="宋体" w:cs="宋体"/>
                <w:sz w:val="20"/>
                <w:szCs w:val="20"/>
              </w:rPr>
            </w:pPr>
            <w:r>
              <w:rPr>
                <w:rFonts w:hint="eastAsia" w:ascii="仿宋_GB2312" w:hAnsi="宋体" w:cs="宋体"/>
                <w:sz w:val="20"/>
                <w:szCs w:val="20"/>
              </w:rPr>
              <w:t>岗位证编号</w:t>
            </w:r>
          </w:p>
        </w:tc>
        <w:tc>
          <w:tcPr>
            <w:tcW w:w="1974" w:type="dxa"/>
            <w:vAlign w:val="center"/>
          </w:tcPr>
          <w:p>
            <w:pPr>
              <w:widowControl/>
              <w:spacing w:before="100" w:beforeAutospacing="1" w:line="300" w:lineRule="exact"/>
              <w:jc w:val="center"/>
              <w:rPr>
                <w:rFonts w:ascii="宋体" w:hAnsi="宋体" w:cs="宋体"/>
                <w:sz w:val="20"/>
                <w:szCs w:val="20"/>
              </w:rPr>
            </w:pPr>
            <w:r>
              <w:rPr>
                <w:rFonts w:hint="eastAsia" w:ascii="仿宋_GB2312" w:hAnsi="宋体" w:cs="宋体"/>
                <w:sz w:val="20"/>
                <w:szCs w:val="20"/>
              </w:rPr>
              <w:t>从业年限</w:t>
            </w:r>
          </w:p>
        </w:tc>
        <w:tc>
          <w:tcPr>
            <w:tcW w:w="2334" w:type="dxa"/>
            <w:vAlign w:val="center"/>
          </w:tcPr>
          <w:p>
            <w:pPr>
              <w:spacing w:line="300" w:lineRule="exact"/>
              <w:jc w:val="center"/>
              <w:rPr>
                <w:rFonts w:hint="eastAsia" w:ascii="仿宋_GB2312"/>
                <w:sz w:val="20"/>
                <w:szCs w:val="20"/>
              </w:rPr>
            </w:pPr>
            <w:r>
              <w:rPr>
                <w:rFonts w:hint="eastAsia" w:ascii="仿宋_GB2312" w:hAnsi="宋体" w:cs="宋体"/>
                <w:color w:val="FF0000"/>
                <w:sz w:val="20"/>
                <w:szCs w:val="20"/>
              </w:rPr>
              <w:t>须提交公安局的征收工作人员无犯罪记录证明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widowControl/>
              <w:spacing w:before="100" w:beforeAutospacing="1" w:after="119"/>
              <w:jc w:val="center"/>
              <w:rPr>
                <w:rFonts w:ascii="宋体" w:hAnsi="宋体" w:cs="宋体"/>
                <w:sz w:val="20"/>
                <w:szCs w:val="20"/>
              </w:rPr>
            </w:pPr>
          </w:p>
        </w:tc>
        <w:tc>
          <w:tcPr>
            <w:tcW w:w="1974" w:type="dxa"/>
            <w:vAlign w:val="center"/>
          </w:tcPr>
          <w:p>
            <w:pPr>
              <w:widowControl/>
              <w:spacing w:before="100" w:beforeAutospacing="1" w:after="119"/>
              <w:rPr>
                <w:rFonts w:ascii="宋体" w:hAnsi="宋体" w:cs="宋体"/>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widowControl/>
              <w:spacing w:before="100" w:beforeAutospacing="1" w:after="119"/>
              <w:jc w:val="center"/>
              <w:rPr>
                <w:rFonts w:ascii="宋体" w:hAnsi="宋体" w:cs="宋体"/>
                <w:sz w:val="20"/>
                <w:szCs w:val="20"/>
              </w:rPr>
            </w:pPr>
          </w:p>
        </w:tc>
        <w:tc>
          <w:tcPr>
            <w:tcW w:w="1974" w:type="dxa"/>
            <w:vAlign w:val="center"/>
          </w:tcPr>
          <w:p>
            <w:pPr>
              <w:widowControl/>
              <w:spacing w:before="100" w:beforeAutospacing="1" w:after="119"/>
              <w:rPr>
                <w:rFonts w:ascii="宋体" w:hAnsi="宋体" w:cs="宋体"/>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57" w:type="dxa"/>
            <w:vAlign w:val="center"/>
          </w:tcPr>
          <w:p>
            <w:pPr>
              <w:widowControl/>
              <w:spacing w:before="100" w:beforeAutospacing="1" w:after="119"/>
              <w:jc w:val="center"/>
              <w:rPr>
                <w:rFonts w:ascii="宋体" w:hAnsi="宋体" w:cs="宋体"/>
                <w:sz w:val="20"/>
                <w:szCs w:val="20"/>
              </w:rPr>
            </w:pPr>
          </w:p>
        </w:tc>
        <w:tc>
          <w:tcPr>
            <w:tcW w:w="1604" w:type="dxa"/>
            <w:gridSpan w:val="2"/>
            <w:vAlign w:val="center"/>
          </w:tcPr>
          <w:p>
            <w:pPr>
              <w:widowControl/>
              <w:spacing w:before="100" w:beforeAutospacing="1" w:after="119"/>
              <w:jc w:val="center"/>
              <w:rPr>
                <w:rFonts w:ascii="宋体" w:hAnsi="宋体" w:cs="宋体"/>
                <w:sz w:val="20"/>
                <w:szCs w:val="20"/>
              </w:rPr>
            </w:pPr>
          </w:p>
        </w:tc>
        <w:tc>
          <w:tcPr>
            <w:tcW w:w="2240" w:type="dxa"/>
            <w:vAlign w:val="center"/>
          </w:tcPr>
          <w:p>
            <w:pPr>
              <w:jc w:val="center"/>
              <w:rPr>
                <w:rFonts w:hint="eastAsia" w:ascii="仿宋_GB2312"/>
                <w:sz w:val="20"/>
                <w:szCs w:val="20"/>
              </w:rPr>
            </w:pPr>
          </w:p>
        </w:tc>
        <w:tc>
          <w:tcPr>
            <w:tcW w:w="1974" w:type="dxa"/>
            <w:vAlign w:val="center"/>
          </w:tcPr>
          <w:p>
            <w:pPr>
              <w:jc w:val="center"/>
              <w:rPr>
                <w:rFonts w:hint="eastAsia" w:ascii="仿宋_GB2312"/>
                <w:sz w:val="20"/>
                <w:szCs w:val="20"/>
              </w:rPr>
            </w:pPr>
          </w:p>
        </w:tc>
        <w:tc>
          <w:tcPr>
            <w:tcW w:w="2334" w:type="dxa"/>
            <w:vAlign w:val="center"/>
          </w:tcPr>
          <w:p>
            <w:pPr>
              <w:jc w:val="center"/>
              <w:rPr>
                <w:rFonts w:hint="eastAsia" w:ascii="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6" w:hRule="atLeast"/>
          <w:jc w:val="center"/>
        </w:trPr>
        <w:tc>
          <w:tcPr>
            <w:tcW w:w="1360" w:type="dxa"/>
            <w:gridSpan w:val="2"/>
            <w:vAlign w:val="center"/>
          </w:tcPr>
          <w:p>
            <w:pPr>
              <w:widowControl/>
              <w:spacing w:line="240" w:lineRule="exact"/>
              <w:jc w:val="center"/>
              <w:rPr>
                <w:rFonts w:hint="eastAsia" w:ascii="宋体" w:hAnsi="宋体" w:cs="宋体"/>
                <w:sz w:val="20"/>
                <w:szCs w:val="20"/>
              </w:rPr>
            </w:pPr>
            <w:r>
              <w:rPr>
                <w:rFonts w:hint="eastAsia" w:ascii="宋体" w:hAnsi="宋体" w:cs="宋体"/>
                <w:sz w:val="20"/>
                <w:szCs w:val="20"/>
              </w:rPr>
              <w:t>企业意见</w:t>
            </w:r>
          </w:p>
        </w:tc>
        <w:tc>
          <w:tcPr>
            <w:tcW w:w="7449" w:type="dxa"/>
            <w:gridSpan w:val="4"/>
            <w:vAlign w:val="center"/>
          </w:tcPr>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w:t>
            </w:r>
          </w:p>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w:t>
            </w:r>
          </w:p>
          <w:p>
            <w:pPr>
              <w:widowControl/>
              <w:spacing w:line="240" w:lineRule="exact"/>
              <w:jc w:val="center"/>
              <w:rPr>
                <w:rFonts w:hint="eastAsia" w:ascii="宋体" w:hAnsi="宋体" w:cs="宋体"/>
                <w:sz w:val="20"/>
                <w:szCs w:val="20"/>
              </w:rPr>
            </w:pPr>
            <w:r>
              <w:rPr>
                <w:rFonts w:hint="eastAsia" w:ascii="宋体" w:hAnsi="宋体" w:cs="宋体"/>
                <w:sz w:val="20"/>
                <w:szCs w:val="20"/>
              </w:rPr>
              <w:t xml:space="preserve">                                                   （盖章）</w:t>
            </w:r>
          </w:p>
          <w:p>
            <w:pPr>
              <w:widowControl/>
              <w:spacing w:line="240" w:lineRule="exact"/>
              <w:ind w:firstLine="5600" w:firstLineChars="2800"/>
              <w:rPr>
                <w:rFonts w:hint="eastAsia" w:ascii="宋体" w:hAnsi="宋体" w:cs="宋体"/>
                <w:sz w:val="20"/>
                <w:szCs w:val="20"/>
              </w:rPr>
            </w:pPr>
            <w:r>
              <w:rPr>
                <w:rFonts w:hint="eastAsia" w:ascii="宋体" w:hAnsi="宋体" w:cs="宋体"/>
                <w:sz w:val="20"/>
                <w:szCs w:val="20"/>
              </w:rPr>
              <w:t>年   月   日</w:t>
            </w:r>
          </w:p>
        </w:tc>
      </w:tr>
    </w:tbl>
    <w:p>
      <w:pPr>
        <w:spacing w:line="560" w:lineRule="exact"/>
        <w:contextualSpacing/>
        <w:jc w:val="center"/>
        <w:rPr>
          <w:rFonts w:hint="eastAsia" w:ascii="宋体" w:hAnsi="宋体" w:cs="宋体"/>
          <w:sz w:val="24"/>
        </w:rPr>
      </w:pPr>
    </w:p>
    <w:p>
      <w:pPr>
        <w:rPr>
          <w:rFonts w:asciiTheme="minorEastAsia" w:hAnsiTheme="minorEastAsia" w:eastAsiaTheme="minorEastAsia" w:cstheme="minorEastAsia"/>
          <w:color w:val="000000" w:themeColor="text1"/>
          <w:sz w:val="22"/>
          <w:szCs w:val="22"/>
          <w14:textFill>
            <w14:solidFill>
              <w14:schemeClr w14:val="tx1"/>
            </w14:solidFill>
          </w14:textFill>
        </w:rPr>
        <w:sectPr>
          <w:headerReference r:id="rId3" w:type="default"/>
          <w:footerReference r:id="rId4" w:type="default"/>
          <w:pgSz w:w="11906" w:h="16838"/>
          <w:pgMar w:top="1418" w:right="828" w:bottom="1418" w:left="141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hAnsi="宋体"/>
          <w:sz w:val="32"/>
          <w:szCs w:val="32"/>
        </w:rPr>
        <w:br w:type="page"/>
      </w:r>
    </w:p>
    <w:p>
      <w:pPr>
        <w:pStyle w:val="4"/>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报价一览表</w:t>
      </w:r>
    </w:p>
    <w:p>
      <w:pPr>
        <w:pStyle w:val="5"/>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14:textFill>
            <w14:solidFill>
              <w14:schemeClr w14:val="tx1"/>
            </w14:solidFill>
          </w14:textFill>
        </w:rPr>
        <w:t>.1报价一览表</w:t>
      </w:r>
    </w:p>
    <w:tbl>
      <w:tblPr>
        <w:tblStyle w:val="42"/>
        <w:tblW w:w="5000" w:type="pct"/>
        <w:tblInd w:w="0" w:type="dxa"/>
        <w:shd w:val="clear" w:color="auto" w:fill="auto"/>
        <w:tblLayout w:type="fixed"/>
        <w:tblCellMar>
          <w:top w:w="0" w:type="dxa"/>
          <w:left w:w="108" w:type="dxa"/>
          <w:bottom w:w="0" w:type="dxa"/>
          <w:right w:w="108" w:type="dxa"/>
        </w:tblCellMar>
      </w:tblPr>
      <w:tblGrid>
        <w:gridCol w:w="324"/>
        <w:gridCol w:w="93"/>
        <w:gridCol w:w="456"/>
        <w:gridCol w:w="370"/>
        <w:gridCol w:w="494"/>
        <w:gridCol w:w="839"/>
        <w:gridCol w:w="188"/>
        <w:gridCol w:w="634"/>
        <w:gridCol w:w="119"/>
        <w:gridCol w:w="740"/>
        <w:gridCol w:w="201"/>
        <w:gridCol w:w="658"/>
        <w:gridCol w:w="283"/>
        <w:gridCol w:w="576"/>
        <w:gridCol w:w="365"/>
        <w:gridCol w:w="494"/>
        <w:gridCol w:w="447"/>
        <w:gridCol w:w="412"/>
        <w:gridCol w:w="464"/>
        <w:gridCol w:w="321"/>
        <w:gridCol w:w="620"/>
        <w:gridCol w:w="239"/>
        <w:gridCol w:w="725"/>
        <w:gridCol w:w="151"/>
        <w:gridCol w:w="859"/>
        <w:gridCol w:w="859"/>
        <w:gridCol w:w="862"/>
        <w:gridCol w:w="101"/>
        <w:gridCol w:w="933"/>
        <w:gridCol w:w="391"/>
      </w:tblGrid>
      <w:tr>
        <w:tblPrEx>
          <w:shd w:val="clear" w:color="auto" w:fill="auto"/>
          <w:tblCellMar>
            <w:top w:w="0" w:type="dxa"/>
            <w:left w:w="108" w:type="dxa"/>
            <w:bottom w:w="0" w:type="dxa"/>
            <w:right w:w="108" w:type="dxa"/>
          </w:tblCellMar>
        </w:tblPrEx>
        <w:trPr>
          <w:trHeight w:val="705" w:hRule="atLeast"/>
        </w:trPr>
        <w:tc>
          <w:tcPr>
            <w:tcW w:w="4862"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大中街道2021年西河口社区房屋征收搬迁项目工作费用报价一览表（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1</w:t>
            </w:r>
            <w:r>
              <w:rPr>
                <w:rFonts w:hint="eastAsia" w:ascii="宋体" w:hAnsi="宋体" w:eastAsia="宋体" w:cs="宋体"/>
                <w:b/>
                <w:bCs/>
                <w:i w:val="0"/>
                <w:iCs w:val="0"/>
                <w:color w:val="000000"/>
                <w:kern w:val="0"/>
                <w:sz w:val="28"/>
                <w:szCs w:val="28"/>
                <w:u w:val="none"/>
                <w:lang w:val="en-US" w:eastAsia="zh-CN" w:bidi="ar"/>
              </w:rPr>
              <w:t>标段）</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53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786"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188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3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阶段1（10户）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阶段2（20户）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阶段3（12户）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阶段4（13户）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（10户）</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阶段1（10户）</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阶段2（20户）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阶段3（12户）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阶段4（13户）</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（10户）</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5"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德西一组板块</w:t>
            </w: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3890" w:type="pct"/>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1户</w:t>
            </w:r>
            <w:r>
              <w:rPr>
                <w:rFonts w:hint="eastAsia" w:ascii="宋体" w:hAnsi="宋体" w:eastAsia="宋体" w:cs="宋体"/>
                <w:i w:val="0"/>
                <w:iCs w:val="0"/>
                <w:color w:val="000000"/>
                <w:kern w:val="0"/>
                <w:sz w:val="18"/>
                <w:szCs w:val="18"/>
                <w:u w:val="none"/>
                <w:lang w:val="en-US" w:eastAsia="zh-CN" w:bidi="ar"/>
              </w:rPr>
              <w:t>企业补偿金</w:t>
            </w:r>
            <w:r>
              <w:rPr>
                <w:rStyle w:val="190"/>
                <w:lang w:val="en-US" w:eastAsia="zh-CN" w:bidi="ar"/>
              </w:rPr>
              <w:t>2000万元*0.75%（上限费率）*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8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027" w:type="pct"/>
            <w:gridSpan w:val="2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大写：             万元；小写：         万元        </w:t>
            </w:r>
          </w:p>
        </w:tc>
      </w:tr>
      <w:tr>
        <w:tblPrEx>
          <w:tblCellMar>
            <w:top w:w="0" w:type="dxa"/>
            <w:left w:w="108" w:type="dxa"/>
            <w:bottom w:w="0" w:type="dxa"/>
            <w:right w:w="108" w:type="dxa"/>
          </w:tblCellMar>
        </w:tblPrEx>
        <w:trPr>
          <w:trHeight w:val="370" w:hRule="atLeast"/>
        </w:trPr>
        <w:tc>
          <w:tcPr>
            <w:tcW w:w="14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4"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0"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4"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55" w:type="pct"/>
            <w:gridSpan w:val="2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r>
              <w:rPr>
                <w:rFonts w:hint="eastAsia" w:ascii="宋体" w:hAnsi="宋体" w:eastAsia="宋体" w:cs="宋体"/>
                <w:i w:val="0"/>
                <w:iCs w:val="0"/>
                <w:color w:val="000000"/>
                <w:kern w:val="0"/>
                <w:sz w:val="22"/>
                <w:szCs w:val="22"/>
                <w:u w:val="none"/>
                <w:lang w:val="en-US" w:eastAsia="zh-CN" w:bidi="ar"/>
              </w:rPr>
              <w:t>；</w:t>
            </w: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numPr>
                <w:ilvl w:val="0"/>
                <w:numId w:val="2"/>
              </w:numPr>
              <w:suppressLineNumbers w:val="0"/>
              <w:jc w:val="left"/>
              <w:textAlignment w:val="center"/>
              <w:rPr>
                <w:rFonts w:hint="eastAsia"/>
                <w:lang w:val="en-US" w:eastAsia="zh-CN"/>
              </w:rPr>
            </w:pPr>
            <w:r>
              <w:rPr>
                <w:rFonts w:hint="eastAsia"/>
                <w:lang w:val="en-US" w:eastAsia="zh-CN"/>
              </w:rPr>
              <w:t>企业征收搬迁工作费实际结算价=企业实际补偿金*招标文件中约定的上限费率*中标费率</w:t>
            </w:r>
          </w:p>
          <w:p>
            <w:pPr>
              <w:pStyle w:val="2"/>
              <w:numPr>
                <w:ilvl w:val="0"/>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rPr>
            </w:pPr>
            <w:r>
              <w:rPr>
                <w:rFonts w:hint="eastAsia"/>
                <w:lang w:val="en-US" w:eastAsia="zh-CN"/>
              </w:rPr>
              <w:t>5、</w:t>
            </w:r>
            <w:r>
              <w:rPr>
                <w:rFonts w:hint="eastAsia"/>
              </w:rPr>
              <w:t>本项目招标过程中已有控制价但未进行报价部分项目的费用结算=招标文件中控制价*中标下浮率。</w:t>
            </w:r>
          </w:p>
        </w:tc>
        <w:tc>
          <w:tcPr>
            <w:tcW w:w="3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tbl>
      <w:tblPr>
        <w:tblStyle w:val="42"/>
        <w:tblW w:w="5000" w:type="pct"/>
        <w:tblInd w:w="0" w:type="dxa"/>
        <w:shd w:val="clear" w:color="auto" w:fill="auto"/>
        <w:tblLayout w:type="fixed"/>
        <w:tblCellMar>
          <w:top w:w="0" w:type="dxa"/>
          <w:left w:w="108" w:type="dxa"/>
          <w:bottom w:w="0" w:type="dxa"/>
          <w:right w:w="108" w:type="dxa"/>
        </w:tblCellMar>
      </w:tblPr>
      <w:tblGrid>
        <w:gridCol w:w="324"/>
        <w:gridCol w:w="93"/>
        <w:gridCol w:w="456"/>
        <w:gridCol w:w="370"/>
        <w:gridCol w:w="494"/>
        <w:gridCol w:w="839"/>
        <w:gridCol w:w="205"/>
        <w:gridCol w:w="620"/>
        <w:gridCol w:w="116"/>
        <w:gridCol w:w="743"/>
        <w:gridCol w:w="198"/>
        <w:gridCol w:w="661"/>
        <w:gridCol w:w="280"/>
        <w:gridCol w:w="579"/>
        <w:gridCol w:w="362"/>
        <w:gridCol w:w="497"/>
        <w:gridCol w:w="444"/>
        <w:gridCol w:w="415"/>
        <w:gridCol w:w="461"/>
        <w:gridCol w:w="324"/>
        <w:gridCol w:w="617"/>
        <w:gridCol w:w="242"/>
        <w:gridCol w:w="722"/>
        <w:gridCol w:w="151"/>
        <w:gridCol w:w="859"/>
        <w:gridCol w:w="859"/>
        <w:gridCol w:w="862"/>
        <w:gridCol w:w="101"/>
        <w:gridCol w:w="704"/>
        <w:gridCol w:w="207"/>
        <w:gridCol w:w="413"/>
      </w:tblGrid>
      <w:tr>
        <w:tblPrEx>
          <w:shd w:val="clear" w:color="auto" w:fill="auto"/>
          <w:tblCellMar>
            <w:top w:w="0" w:type="dxa"/>
            <w:left w:w="108" w:type="dxa"/>
            <w:bottom w:w="0" w:type="dxa"/>
            <w:right w:w="108" w:type="dxa"/>
          </w:tblCellMar>
        </w:tblPrEx>
        <w:trPr>
          <w:trHeight w:val="900" w:hRule="atLeast"/>
        </w:trPr>
        <w:tc>
          <w:tcPr>
            <w:tcW w:w="4781"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大中街道2021年西河口社区房屋征收搬迁项目工作费用报价一览表（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2</w:t>
            </w:r>
            <w:r>
              <w:rPr>
                <w:rFonts w:hint="eastAsia" w:ascii="宋体" w:hAnsi="宋体" w:eastAsia="宋体" w:cs="宋体"/>
                <w:b/>
                <w:bCs/>
                <w:i w:val="0"/>
                <w:iCs w:val="0"/>
                <w:color w:val="000000"/>
                <w:kern w:val="0"/>
                <w:sz w:val="28"/>
                <w:szCs w:val="28"/>
                <w:u w:val="none"/>
                <w:lang w:val="en-US" w:eastAsia="zh-CN" w:bidi="ar"/>
              </w:rPr>
              <w:t>标段）</w:t>
            </w:r>
          </w:p>
        </w:tc>
        <w:tc>
          <w:tcPr>
            <w:tcW w:w="21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54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786"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1799"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2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4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30</w:t>
            </w:r>
            <w:r>
              <w:rPr>
                <w:rFonts w:hint="eastAsia" w:ascii="宋体" w:hAnsi="宋体" w:eastAsia="宋体" w:cs="宋体"/>
                <w:i w:val="0"/>
                <w:iCs w:val="0"/>
                <w:color w:val="000000"/>
                <w:kern w:val="0"/>
                <w:sz w:val="16"/>
                <w:szCs w:val="16"/>
                <w:u w:val="none"/>
                <w:lang w:val="en-US" w:eastAsia="zh-CN" w:bidi="ar"/>
              </w:rPr>
              <w:t>户）</w:t>
            </w: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w:t>
            </w:r>
          </w:p>
        </w:tc>
        <w:tc>
          <w:tcPr>
            <w:tcW w:w="2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老化工厂东宿舍区板块</w:t>
            </w: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150</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152</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3803" w:type="pct"/>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期限外</w:t>
            </w:r>
            <w:r>
              <w:rPr>
                <w:rStyle w:val="190"/>
                <w:rFonts w:hint="eastAsia"/>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2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022" w:type="pct"/>
            <w:gridSpan w:val="2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大写：             万元；小写：         万元</w:t>
            </w:r>
          </w:p>
        </w:tc>
      </w:tr>
      <w:tr>
        <w:tblPrEx>
          <w:tblCellMar>
            <w:top w:w="0" w:type="dxa"/>
            <w:left w:w="108" w:type="dxa"/>
            <w:bottom w:w="0" w:type="dxa"/>
            <w:right w:w="108" w:type="dxa"/>
          </w:tblCellMar>
        </w:tblPrEx>
        <w:trPr>
          <w:trHeight w:val="370" w:hRule="atLeast"/>
        </w:trPr>
        <w:tc>
          <w:tcPr>
            <w:tcW w:w="14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4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90"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21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6"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47" w:type="pct"/>
            <w:gridSpan w:val="27"/>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r>
              <w:rPr>
                <w:rFonts w:hint="eastAsia" w:ascii="宋体" w:hAnsi="宋体" w:eastAsia="宋体" w:cs="宋体"/>
                <w:i w:val="0"/>
                <w:iCs w:val="0"/>
                <w:color w:val="000000"/>
                <w:kern w:val="0"/>
                <w:sz w:val="22"/>
                <w:szCs w:val="22"/>
                <w:u w:val="none"/>
                <w:lang w:val="en-US" w:eastAsia="zh-CN" w:bidi="ar"/>
              </w:rPr>
              <w:t>；</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25"/>
            <w:tcBorders>
              <w:top w:val="nil"/>
              <w:left w:val="nil"/>
              <w:bottom w:val="nil"/>
              <w:right w:val="nil"/>
            </w:tcBorders>
            <w:shd w:val="clear" w:color="auto" w:fill="auto"/>
            <w:noWrap/>
            <w:vAlign w:val="center"/>
          </w:tcPr>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3、企业征收搬迁工作费实际结算价=企业实际补偿金*招标文件中约定的上限费率*中标费率</w:t>
            </w:r>
          </w:p>
          <w:p>
            <w:pPr>
              <w:pStyle w:val="2"/>
              <w:numPr>
                <w:ilvl w:val="0"/>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rPr>
            </w:pPr>
            <w:r>
              <w:rPr>
                <w:rFonts w:hint="eastAsia"/>
                <w:lang w:val="en-US" w:eastAsia="zh-CN"/>
              </w:rPr>
              <w:t>5、</w:t>
            </w:r>
            <w:r>
              <w:rPr>
                <w:rFonts w:hint="eastAsia"/>
              </w:rPr>
              <w:t>本项目招标过程中已有控制价但未进行报价部分项目的费用结算=招标文件中控制价*中标下浮率。</w:t>
            </w:r>
          </w:p>
        </w:tc>
        <w:tc>
          <w:tcPr>
            <w:tcW w:w="32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p>
      <w:pPr>
        <w:pStyle w:val="2"/>
      </w:pPr>
    </w:p>
    <w:tbl>
      <w:tblPr>
        <w:tblStyle w:val="42"/>
        <w:tblW w:w="5000" w:type="pct"/>
        <w:tblInd w:w="0" w:type="dxa"/>
        <w:shd w:val="clear" w:color="auto" w:fill="auto"/>
        <w:tblLayout w:type="autofit"/>
        <w:tblCellMar>
          <w:top w:w="0" w:type="dxa"/>
          <w:left w:w="108" w:type="dxa"/>
          <w:bottom w:w="0" w:type="dxa"/>
          <w:right w:w="108" w:type="dxa"/>
        </w:tblCellMar>
      </w:tblPr>
      <w:tblGrid>
        <w:gridCol w:w="280"/>
        <w:gridCol w:w="11"/>
        <w:gridCol w:w="268"/>
        <w:gridCol w:w="189"/>
        <w:gridCol w:w="643"/>
        <w:gridCol w:w="254"/>
        <w:gridCol w:w="557"/>
        <w:gridCol w:w="328"/>
        <w:gridCol w:w="653"/>
        <w:gridCol w:w="287"/>
        <w:gridCol w:w="686"/>
        <w:gridCol w:w="256"/>
        <w:gridCol w:w="718"/>
        <w:gridCol w:w="222"/>
        <w:gridCol w:w="749"/>
        <w:gridCol w:w="190"/>
        <w:gridCol w:w="888"/>
        <w:gridCol w:w="55"/>
        <w:gridCol w:w="785"/>
        <w:gridCol w:w="148"/>
        <w:gridCol w:w="825"/>
        <w:gridCol w:w="117"/>
        <w:gridCol w:w="851"/>
        <w:gridCol w:w="107"/>
        <w:gridCol w:w="856"/>
        <w:gridCol w:w="964"/>
        <w:gridCol w:w="1004"/>
        <w:gridCol w:w="36"/>
        <w:gridCol w:w="867"/>
        <w:gridCol w:w="98"/>
        <w:gridCol w:w="326"/>
      </w:tblGrid>
      <w:tr>
        <w:tblPrEx>
          <w:shd w:val="clear" w:color="auto" w:fill="auto"/>
          <w:tblCellMar>
            <w:top w:w="0" w:type="dxa"/>
            <w:left w:w="108" w:type="dxa"/>
            <w:bottom w:w="0" w:type="dxa"/>
            <w:right w:w="108" w:type="dxa"/>
          </w:tblCellMar>
        </w:tblPrEx>
        <w:trPr>
          <w:trHeight w:val="900" w:hRule="atLeast"/>
        </w:trPr>
        <w:tc>
          <w:tcPr>
            <w:tcW w:w="4856"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大中街道2021年西河口社区房屋征收搬迁项目工作费用报价一览表（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3</w:t>
            </w:r>
            <w:r>
              <w:rPr>
                <w:rFonts w:hint="eastAsia" w:ascii="宋体" w:hAnsi="宋体" w:eastAsia="宋体" w:cs="宋体"/>
                <w:b/>
                <w:bCs/>
                <w:i w:val="0"/>
                <w:iCs w:val="0"/>
                <w:color w:val="000000"/>
                <w:kern w:val="0"/>
                <w:sz w:val="28"/>
                <w:szCs w:val="28"/>
                <w:u w:val="none"/>
                <w:lang w:val="en-US" w:eastAsia="zh-CN" w:bidi="ar"/>
              </w:rPr>
              <w:t>标段）</w:t>
            </w:r>
          </w:p>
        </w:tc>
        <w:tc>
          <w:tcPr>
            <w:tcW w:w="14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9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7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042"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203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14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7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2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3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40</w:t>
            </w:r>
            <w:r>
              <w:rPr>
                <w:rFonts w:hint="eastAsia" w:ascii="宋体" w:hAnsi="宋体" w:eastAsia="宋体" w:cs="宋体"/>
                <w:i w:val="0"/>
                <w:iCs w:val="0"/>
                <w:color w:val="000000"/>
                <w:kern w:val="0"/>
                <w:sz w:val="16"/>
                <w:szCs w:val="16"/>
                <w:u w:val="none"/>
                <w:lang w:val="en-US" w:eastAsia="zh-CN" w:bidi="ar"/>
              </w:rPr>
              <w:t>户）</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1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3</w:t>
            </w:r>
          </w:p>
        </w:tc>
        <w:tc>
          <w:tcPr>
            <w:tcW w:w="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老化工厂西宿舍区板块</w:t>
            </w:r>
          </w:p>
        </w:tc>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200</w:t>
            </w:r>
          </w:p>
        </w:tc>
        <w:tc>
          <w:tcPr>
            <w:tcW w:w="34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202</w:t>
            </w:r>
          </w:p>
        </w:tc>
        <w:tc>
          <w:tcPr>
            <w:tcW w:w="34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4360" w:type="pct"/>
            <w:gridSpan w:val="2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1户</w:t>
            </w:r>
            <w:r>
              <w:rPr>
                <w:rFonts w:hint="eastAsia" w:ascii="宋体" w:hAnsi="宋体" w:eastAsia="宋体" w:cs="宋体"/>
                <w:i w:val="0"/>
                <w:iCs w:val="0"/>
                <w:color w:val="000000"/>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期限外</w:t>
            </w:r>
            <w:r>
              <w:rPr>
                <w:rStyle w:val="190"/>
                <w:rFonts w:hint="eastAsia"/>
                <w:lang w:val="en-US" w:eastAsia="zh-CN" w:bidi="ar"/>
              </w:rPr>
              <w:t>1户</w:t>
            </w:r>
            <w:r>
              <w:rPr>
                <w:rFonts w:hint="eastAsia" w:ascii="宋体" w:hAnsi="宋体" w:eastAsia="宋体" w:cs="宋体"/>
                <w:i w:val="0"/>
                <w:iCs w:val="0"/>
                <w:color w:val="000000"/>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14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504" w:type="pct"/>
            <w:gridSpan w:val="2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大写：             万元；小写：         万元</w:t>
            </w:r>
          </w:p>
        </w:tc>
      </w:tr>
      <w:tr>
        <w:tblPrEx>
          <w:tblCellMar>
            <w:top w:w="0" w:type="dxa"/>
            <w:left w:w="108" w:type="dxa"/>
            <w:bottom w:w="0" w:type="dxa"/>
            <w:right w:w="108" w:type="dxa"/>
          </w:tblCellMar>
        </w:tblPrEx>
        <w:trPr>
          <w:trHeight w:val="370" w:hRule="atLeast"/>
        </w:trPr>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8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52"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14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30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7"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0"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606" w:type="pct"/>
            <w:gridSpan w:val="2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r>
              <w:rPr>
                <w:rFonts w:hint="eastAsia" w:ascii="宋体" w:hAnsi="宋体" w:eastAsia="宋体" w:cs="宋体"/>
                <w:i w:val="0"/>
                <w:iCs w:val="0"/>
                <w:color w:val="000000"/>
                <w:kern w:val="0"/>
                <w:sz w:val="22"/>
                <w:szCs w:val="22"/>
                <w:u w:val="none"/>
                <w:lang w:val="en-US" w:eastAsia="zh-CN" w:bidi="ar"/>
              </w:rPr>
              <w:t>；</w:t>
            </w:r>
          </w:p>
        </w:tc>
        <w:tc>
          <w:tcPr>
            <w:tcW w:w="1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67" w:type="pct"/>
            <w:gridSpan w:val="2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38"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67" w:type="pct"/>
            <w:gridSpan w:val="23"/>
            <w:tcBorders>
              <w:top w:val="nil"/>
              <w:left w:val="nil"/>
              <w:bottom w:val="nil"/>
              <w:right w:val="nil"/>
            </w:tcBorders>
            <w:shd w:val="clear" w:color="auto" w:fill="auto"/>
            <w:noWrap/>
            <w:vAlign w:val="center"/>
          </w:tcPr>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3、企业征收搬迁工作费实际结算价=企业实际补偿金*招标文件中约定的上限费率*中标费率</w:t>
            </w:r>
          </w:p>
          <w:p>
            <w:pPr>
              <w:pStyle w:val="2"/>
              <w:numPr>
                <w:ilvl w:val="0"/>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rPr>
            </w:pPr>
            <w:r>
              <w:rPr>
                <w:rFonts w:hint="eastAsia"/>
                <w:lang w:val="en-US" w:eastAsia="zh-CN"/>
              </w:rPr>
              <w:t>5、</w:t>
            </w:r>
            <w:r>
              <w:rPr>
                <w:rFonts w:hint="eastAsia"/>
              </w:rPr>
              <w:t>本项目招标过程中已有控制价但未进行报价部分项目的费用结算=招标文件中控制价*中标下浮率。</w:t>
            </w:r>
          </w:p>
        </w:tc>
        <w:tc>
          <w:tcPr>
            <w:tcW w:w="338"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tbl>
      <w:tblPr>
        <w:tblStyle w:val="42"/>
        <w:tblW w:w="5000" w:type="pct"/>
        <w:tblInd w:w="0" w:type="dxa"/>
        <w:shd w:val="clear" w:color="auto" w:fill="auto"/>
        <w:tblLayout w:type="autofit"/>
        <w:tblCellMar>
          <w:top w:w="0" w:type="dxa"/>
          <w:left w:w="108" w:type="dxa"/>
          <w:bottom w:w="0" w:type="dxa"/>
          <w:right w:w="108" w:type="dxa"/>
        </w:tblCellMar>
      </w:tblPr>
      <w:tblGrid>
        <w:gridCol w:w="279"/>
        <w:gridCol w:w="9"/>
        <w:gridCol w:w="271"/>
        <w:gridCol w:w="186"/>
        <w:gridCol w:w="652"/>
        <w:gridCol w:w="239"/>
        <w:gridCol w:w="658"/>
        <w:gridCol w:w="216"/>
        <w:gridCol w:w="753"/>
        <w:gridCol w:w="193"/>
        <w:gridCol w:w="770"/>
        <w:gridCol w:w="176"/>
        <w:gridCol w:w="788"/>
        <w:gridCol w:w="159"/>
        <w:gridCol w:w="805"/>
        <w:gridCol w:w="142"/>
        <w:gridCol w:w="821"/>
        <w:gridCol w:w="125"/>
        <w:gridCol w:w="804"/>
        <w:gridCol w:w="106"/>
        <w:gridCol w:w="859"/>
        <w:gridCol w:w="88"/>
        <w:gridCol w:w="876"/>
        <w:gridCol w:w="88"/>
        <w:gridCol w:w="871"/>
        <w:gridCol w:w="959"/>
        <w:gridCol w:w="961"/>
        <w:gridCol w:w="77"/>
        <w:gridCol w:w="895"/>
        <w:gridCol w:w="41"/>
        <w:gridCol w:w="351"/>
      </w:tblGrid>
      <w:tr>
        <w:tblPrEx>
          <w:shd w:val="clear" w:color="auto" w:fill="auto"/>
          <w:tblCellMar>
            <w:top w:w="0" w:type="dxa"/>
            <w:left w:w="108" w:type="dxa"/>
            <w:bottom w:w="0" w:type="dxa"/>
            <w:right w:w="108" w:type="dxa"/>
          </w:tblCellMar>
        </w:tblPrEx>
        <w:trPr>
          <w:trHeight w:val="900" w:hRule="atLeast"/>
        </w:trPr>
        <w:tc>
          <w:tcPr>
            <w:tcW w:w="4862" w:type="pct"/>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大中街道2021年西河口社区房屋征收搬迁项目工作费用报价一览表（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4</w:t>
            </w:r>
            <w:r>
              <w:rPr>
                <w:rFonts w:hint="eastAsia" w:ascii="宋体" w:hAnsi="宋体" w:eastAsia="宋体" w:cs="宋体"/>
                <w:b/>
                <w:bCs/>
                <w:i w:val="0"/>
                <w:iCs w:val="0"/>
                <w:color w:val="000000"/>
                <w:kern w:val="0"/>
                <w:sz w:val="28"/>
                <w:szCs w:val="28"/>
                <w:u w:val="none"/>
                <w:lang w:val="en-US" w:eastAsia="zh-CN" w:bidi="ar"/>
              </w:rPr>
              <w:t>标段）</w:t>
            </w:r>
          </w:p>
        </w:tc>
        <w:tc>
          <w:tcPr>
            <w:tcW w:w="13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9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0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31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021"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2033"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1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1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1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4</w:t>
            </w:r>
          </w:p>
        </w:tc>
        <w:tc>
          <w:tcPr>
            <w:tcW w:w="9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西河口居民住宅区板块</w:t>
            </w:r>
          </w:p>
        </w:tc>
        <w:tc>
          <w:tcPr>
            <w:tcW w:w="30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3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250</w:t>
            </w: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31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252</w:t>
            </w: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4365" w:type="pct"/>
            <w:gridSpan w:val="2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color w:val="auto"/>
                <w:lang w:val="en-US" w:eastAsia="zh-CN" w:bidi="ar"/>
              </w:rPr>
              <w:t>期限内</w:t>
            </w:r>
            <w:r>
              <w:rPr>
                <w:rStyle w:val="190"/>
                <w:rFonts w:hint="eastAsia"/>
                <w:color w:val="auto"/>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color w:val="auto"/>
                <w:lang w:val="en-US" w:eastAsia="zh-CN" w:bidi="ar"/>
              </w:rPr>
              <w:t>期限外</w:t>
            </w:r>
            <w:r>
              <w:rPr>
                <w:rStyle w:val="190"/>
                <w:rFonts w:hint="eastAsia"/>
                <w:color w:val="auto"/>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1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502" w:type="pct"/>
            <w:gridSpan w:val="2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大写：             万元；小写：         万元        </w:t>
            </w:r>
          </w:p>
        </w:tc>
      </w:tr>
      <w:tr>
        <w:tblPrEx>
          <w:tblCellMar>
            <w:top w:w="0" w:type="dxa"/>
            <w:left w:w="108" w:type="dxa"/>
            <w:bottom w:w="0" w:type="dxa"/>
            <w:right w:w="108" w:type="dxa"/>
          </w:tblCellMar>
        </w:tblPrEx>
        <w:trPr>
          <w:trHeight w:val="370" w:hRule="atLeast"/>
        </w:trPr>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53" w:type="pct"/>
            <w:gridSpan w:val="6"/>
            <w:tcBorders>
              <w:top w:val="nil"/>
              <w:left w:val="nil"/>
              <w:bottom w:val="nil"/>
              <w:right w:val="nil"/>
            </w:tcBorders>
            <w:shd w:val="clear" w:color="auto" w:fill="auto"/>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13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0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8"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30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pct"/>
            <w:gridSpan w:val="6"/>
            <w:tcBorders>
              <w:top w:val="nil"/>
              <w:left w:val="nil"/>
              <w:bottom w:val="nil"/>
              <w:right w:val="nil"/>
            </w:tcBorders>
            <w:shd w:val="clear" w:color="auto" w:fill="auto"/>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9"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604" w:type="pct"/>
            <w:gridSpan w:val="2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w:t>
            </w:r>
            <w:bookmarkStart w:id="83" w:name="_GoBack"/>
            <w:bookmarkEnd w:id="83"/>
            <w:r>
              <w:rPr>
                <w:rFonts w:hint="eastAsia" w:ascii="宋体" w:hAnsi="宋体" w:cs="宋体"/>
                <w:color w:val="000000"/>
                <w:kern w:val="0"/>
                <w:sz w:val="22"/>
                <w:szCs w:val="22"/>
                <w:u w:val="none"/>
                <w:lang w:bidi="ar"/>
              </w:rPr>
              <w:t>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r>
              <w:rPr>
                <w:rFonts w:hint="eastAsia" w:ascii="宋体" w:hAnsi="宋体" w:eastAsia="宋体" w:cs="宋体"/>
                <w:i w:val="0"/>
                <w:iCs w:val="0"/>
                <w:color w:val="000000"/>
                <w:kern w:val="0"/>
                <w:sz w:val="22"/>
                <w:szCs w:val="22"/>
                <w:u w:val="none"/>
                <w:lang w:val="en-US" w:eastAsia="zh-CN" w:bidi="ar"/>
              </w:rPr>
              <w:t>；</w:t>
            </w:r>
          </w:p>
        </w:tc>
        <w:tc>
          <w:tcPr>
            <w:tcW w:w="1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77" w:type="pct"/>
            <w:gridSpan w:val="2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77" w:type="pct"/>
            <w:gridSpan w:val="24"/>
            <w:tcBorders>
              <w:top w:val="nil"/>
              <w:left w:val="nil"/>
              <w:bottom w:val="nil"/>
              <w:right w:val="nil"/>
            </w:tcBorders>
            <w:shd w:val="clear" w:color="auto" w:fill="auto"/>
            <w:noWrap/>
            <w:vAlign w:val="center"/>
          </w:tcPr>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3、企业征收搬迁工作费实际结算价=企业实际补偿金*招标文件中约定的上限费率*中标费率</w:t>
            </w:r>
          </w:p>
          <w:p>
            <w:pPr>
              <w:pStyle w:val="2"/>
              <w:numPr>
                <w:ilvl w:val="0"/>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rPr>
            </w:pPr>
            <w:r>
              <w:rPr>
                <w:rFonts w:hint="eastAsia"/>
                <w:lang w:val="en-US" w:eastAsia="zh-CN"/>
              </w:rPr>
              <w:t>5、</w:t>
            </w:r>
            <w:r>
              <w:rPr>
                <w:rFonts w:hint="eastAsia"/>
              </w:rPr>
              <w:t>本项目招标过程中已有控制价但未进行报价部分项目的费用结算=招标文件中控制价*中标下浮率。</w:t>
            </w:r>
          </w:p>
        </w:tc>
        <w:tc>
          <w:tcPr>
            <w:tcW w:w="32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p>
      <w:pPr>
        <w:pStyle w:val="2"/>
      </w:pPr>
    </w:p>
    <w:tbl>
      <w:tblPr>
        <w:tblStyle w:val="42"/>
        <w:tblW w:w="5000" w:type="pct"/>
        <w:tblInd w:w="0" w:type="dxa"/>
        <w:shd w:val="clear" w:color="auto" w:fill="auto"/>
        <w:tblLayout w:type="fixed"/>
        <w:tblCellMar>
          <w:top w:w="0" w:type="dxa"/>
          <w:left w:w="108" w:type="dxa"/>
          <w:bottom w:w="0" w:type="dxa"/>
          <w:right w:w="108" w:type="dxa"/>
        </w:tblCellMar>
      </w:tblPr>
      <w:tblGrid>
        <w:gridCol w:w="324"/>
        <w:gridCol w:w="549"/>
        <w:gridCol w:w="864"/>
        <w:gridCol w:w="839"/>
        <w:gridCol w:w="941"/>
        <w:gridCol w:w="941"/>
        <w:gridCol w:w="941"/>
        <w:gridCol w:w="941"/>
        <w:gridCol w:w="941"/>
        <w:gridCol w:w="876"/>
        <w:gridCol w:w="941"/>
        <w:gridCol w:w="964"/>
        <w:gridCol w:w="941"/>
        <w:gridCol w:w="941"/>
        <w:gridCol w:w="950"/>
        <w:gridCol w:w="911"/>
        <w:gridCol w:w="413"/>
      </w:tblGrid>
      <w:tr>
        <w:tblPrEx>
          <w:shd w:val="clear" w:color="auto" w:fill="auto"/>
          <w:tblCellMar>
            <w:top w:w="0" w:type="dxa"/>
            <w:left w:w="108" w:type="dxa"/>
            <w:bottom w:w="0" w:type="dxa"/>
            <w:right w:w="108" w:type="dxa"/>
          </w:tblCellMar>
        </w:tblPrEx>
        <w:trPr>
          <w:trHeight w:val="900" w:hRule="atLeast"/>
        </w:trPr>
        <w:tc>
          <w:tcPr>
            <w:tcW w:w="4854" w:type="pct"/>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大中街道2021年西河口社区房屋征收搬迁项目工作费用报价一览表（</w:t>
            </w:r>
            <w:r>
              <w:rPr>
                <w:rFonts w:hint="eastAsia" w:ascii="宋体" w:hAnsi="宋体" w:cs="宋体"/>
                <w:b/>
                <w:bCs/>
                <w:i w:val="0"/>
                <w:iCs w:val="0"/>
                <w:color w:val="000000"/>
                <w:kern w:val="0"/>
                <w:sz w:val="28"/>
                <w:szCs w:val="28"/>
                <w:u w:val="none"/>
                <w:lang w:val="en-US" w:eastAsia="zh-CN" w:bidi="ar"/>
              </w:rPr>
              <w:t>5</w:t>
            </w:r>
            <w:r>
              <w:rPr>
                <w:rFonts w:hint="eastAsia" w:ascii="宋体" w:hAnsi="宋体" w:eastAsia="宋体" w:cs="宋体"/>
                <w:b/>
                <w:bCs/>
                <w:i w:val="0"/>
                <w:iCs w:val="0"/>
                <w:color w:val="000000"/>
                <w:kern w:val="0"/>
                <w:sz w:val="28"/>
                <w:szCs w:val="28"/>
                <w:u w:val="none"/>
                <w:lang w:val="en-US" w:eastAsia="zh-CN" w:bidi="ar"/>
              </w:rPr>
              <w:t>标段）</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标段</w:t>
            </w:r>
          </w:p>
        </w:tc>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实施内容</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9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投标单价报价（万元/户）</w:t>
            </w:r>
          </w:p>
        </w:tc>
        <w:tc>
          <w:tcPr>
            <w:tcW w:w="198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投标合价（万元）</w:t>
            </w: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540" w:hRule="atLeast"/>
        </w:trPr>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投标单价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阶段1（</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阶段2（</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阶段3（</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阶段4（</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阶段后   （</w:t>
            </w:r>
            <w:r>
              <w:rPr>
                <w:rFonts w:hint="eastAsia" w:ascii="宋体" w:hAnsi="宋体" w:cs="宋体"/>
                <w:i w:val="0"/>
                <w:iCs w:val="0"/>
                <w:color w:val="000000"/>
                <w:kern w:val="0"/>
                <w:sz w:val="16"/>
                <w:szCs w:val="16"/>
                <w:u w:val="none"/>
                <w:lang w:val="en-US" w:eastAsia="zh-CN" w:bidi="ar"/>
              </w:rPr>
              <w:t>50</w:t>
            </w:r>
            <w:r>
              <w:rPr>
                <w:rFonts w:hint="eastAsia" w:ascii="宋体" w:hAnsi="宋体" w:eastAsia="宋体" w:cs="宋体"/>
                <w:i w:val="0"/>
                <w:iCs w:val="0"/>
                <w:color w:val="000000"/>
                <w:kern w:val="0"/>
                <w:sz w:val="16"/>
                <w:szCs w:val="16"/>
                <w:u w:val="none"/>
                <w:lang w:val="en-US" w:eastAsia="zh-CN" w:bidi="ar"/>
              </w:rPr>
              <w:t>户）</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投标合价</w:t>
            </w: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p>
        </w:tc>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水泥制品厂板块</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住宅户征收搬迁</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250</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丈   量</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252</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企业征收搬迁</w:t>
            </w:r>
          </w:p>
        </w:tc>
        <w:tc>
          <w:tcPr>
            <w:tcW w:w="4243"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期限内</w:t>
            </w:r>
            <w:r>
              <w:rPr>
                <w:rStyle w:val="190"/>
                <w:rFonts w:hint="eastAsia"/>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0.75%（上限费率）*</w:t>
            </w:r>
            <w:r>
              <w:rPr>
                <w:rStyle w:val="191"/>
                <w:lang w:val="en-US" w:eastAsia="zh-CN" w:bidi="ar"/>
              </w:rPr>
              <w:t xml:space="preserve">   %</w:t>
            </w:r>
            <w:r>
              <w:rPr>
                <w:rStyle w:val="192"/>
                <w:lang w:val="en-US" w:eastAsia="zh-CN" w:bidi="ar"/>
              </w:rPr>
              <w:t>（投标费率，90-100%内自主报价）</w:t>
            </w:r>
            <w:r>
              <w:rPr>
                <w:rStyle w:val="192"/>
                <w:rFonts w:hint="eastAsia"/>
                <w:lang w:val="en-US" w:eastAsia="zh-CN" w:bidi="ar"/>
              </w:rPr>
              <w:t>+</w:t>
            </w:r>
            <w:r>
              <w:rPr>
                <w:rFonts w:hint="eastAsia" w:ascii="宋体" w:hAnsi="宋体" w:eastAsia="宋体" w:cs="宋体"/>
                <w:i w:val="0"/>
                <w:iCs w:val="0"/>
                <w:color w:val="000000"/>
                <w:kern w:val="0"/>
                <w:sz w:val="18"/>
                <w:szCs w:val="18"/>
                <w:u w:val="none"/>
                <w:lang w:val="en-US" w:eastAsia="zh-CN" w:bidi="ar"/>
              </w:rPr>
              <w:t>企业征收搬迁工作费用暂按</w:t>
            </w:r>
            <w:r>
              <w:rPr>
                <w:rStyle w:val="190"/>
                <w:lang w:val="en-US" w:eastAsia="zh-CN" w:bidi="ar"/>
              </w:rPr>
              <w:t>期限外</w:t>
            </w:r>
            <w:r>
              <w:rPr>
                <w:rStyle w:val="190"/>
                <w:rFonts w:hint="eastAsia"/>
                <w:lang w:val="en-US" w:eastAsia="zh-CN" w:bidi="ar"/>
              </w:rPr>
              <w:t>1户</w:t>
            </w:r>
            <w:r>
              <w:rPr>
                <w:rFonts w:hint="eastAsia" w:ascii="宋体" w:hAnsi="宋体" w:eastAsia="宋体" w:cs="宋体"/>
                <w:i w:val="0"/>
                <w:iCs w:val="0"/>
                <w:color w:val="auto"/>
                <w:kern w:val="0"/>
                <w:sz w:val="18"/>
                <w:szCs w:val="18"/>
                <w:u w:val="none"/>
                <w:lang w:val="en-US" w:eastAsia="zh-CN" w:bidi="ar"/>
              </w:rPr>
              <w:t>企业补偿金</w:t>
            </w:r>
            <w:r>
              <w:rPr>
                <w:rStyle w:val="190"/>
                <w:color w:val="auto"/>
                <w:lang w:val="en-US" w:eastAsia="zh-CN" w:bidi="ar"/>
              </w:rPr>
              <w:t>2000万元*</w:t>
            </w:r>
            <w:r>
              <w:rPr>
                <w:rStyle w:val="190"/>
                <w:lang w:val="en-US" w:eastAsia="zh-CN" w:bidi="ar"/>
              </w:rPr>
              <w:t>0.</w:t>
            </w:r>
            <w:r>
              <w:rPr>
                <w:rStyle w:val="190"/>
                <w:rFonts w:hint="eastAsia"/>
                <w:lang w:val="en-US" w:eastAsia="zh-CN" w:bidi="ar"/>
              </w:rPr>
              <w:t>375</w:t>
            </w:r>
            <w:r>
              <w:rPr>
                <w:rStyle w:val="190"/>
                <w:lang w:val="en-US" w:eastAsia="zh-CN" w:bidi="ar"/>
              </w:rPr>
              <w:t>%（上限费率）*</w:t>
            </w:r>
            <w:r>
              <w:rPr>
                <w:rStyle w:val="191"/>
                <w:lang w:val="en-US" w:eastAsia="zh-CN" w:bidi="ar"/>
              </w:rPr>
              <w:t xml:space="preserve">   %</w:t>
            </w:r>
            <w:r>
              <w:rPr>
                <w:rStyle w:val="192"/>
                <w:lang w:val="en-US" w:eastAsia="zh-CN" w:bidi="ar"/>
              </w:rPr>
              <w:t>（投标费率，90-100%内自主报价），投标合价为：</w:t>
            </w:r>
            <w:r>
              <w:rPr>
                <w:rStyle w:val="193"/>
                <w:lang w:val="en-US" w:eastAsia="zh-CN" w:bidi="ar"/>
              </w:rPr>
              <w:t xml:space="preserve">     </w:t>
            </w:r>
            <w:r>
              <w:rPr>
                <w:rStyle w:val="192"/>
                <w:lang w:val="en-US" w:eastAsia="zh-CN" w:bidi="ar"/>
              </w:rPr>
              <w:t>万元</w:t>
            </w: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投标总报价：</w:t>
            </w:r>
          </w:p>
        </w:tc>
        <w:tc>
          <w:tcPr>
            <w:tcW w:w="4389"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大写：             万元；小写：         万元        </w:t>
            </w:r>
          </w:p>
        </w:tc>
      </w:tr>
      <w:tr>
        <w:tblPrEx>
          <w:tblCellMar>
            <w:top w:w="0" w:type="dxa"/>
            <w:left w:w="108" w:type="dxa"/>
            <w:bottom w:w="0" w:type="dxa"/>
            <w:right w:w="108" w:type="dxa"/>
          </w:tblCellMar>
        </w:tblPrEx>
        <w:trPr>
          <w:trHeight w:val="3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企业盖章：</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p>
        </w:tc>
        <w:tc>
          <w:tcPr>
            <w:tcW w:w="2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代理人签字：</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47" w:type="pct"/>
            <w:gridSpan w:val="1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u w:val="none"/>
                <w:lang w:bidi="ar"/>
              </w:rPr>
              <w:t>1、住宅户的征收搬迁工作费用在各阶段完成的限价详见《各阶段费用结算限价表》及本招标文件的相关规定，各个阶段都必须报价，缺项者视同废标。表中的数量均为暂定，结算时以实际时间段内的户数为准，结算数可能会大于或小暂定数；住宅户（私房）包括户主名下的产权房、车库、违建房、无证房等其他类型的房屋或场地；</w:t>
            </w:r>
            <w:r>
              <w:rPr>
                <w:rFonts w:hint="eastAsia" w:ascii="宋体" w:hAnsi="宋体" w:eastAsia="宋体" w:cs="宋体"/>
                <w:i w:val="0"/>
                <w:iCs w:val="0"/>
                <w:color w:val="000000"/>
                <w:kern w:val="0"/>
                <w:sz w:val="22"/>
                <w:szCs w:val="22"/>
                <w:u w:val="none"/>
                <w:lang w:val="en-US" w:eastAsia="zh-CN" w:bidi="ar"/>
              </w:rPr>
              <w:t>；</w:t>
            </w: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2、住宅户（非住宅户）征收搬迁工作费实际结算价=在不同时段完成的工作量*相应时段的投标单价；</w:t>
            </w:r>
          </w:p>
        </w:tc>
        <w:tc>
          <w:tcPr>
            <w:tcW w:w="3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27" w:type="pct"/>
            <w:gridSpan w:val="13"/>
            <w:tcBorders>
              <w:top w:val="nil"/>
              <w:left w:val="nil"/>
              <w:bottom w:val="nil"/>
              <w:right w:val="nil"/>
            </w:tcBorders>
            <w:shd w:val="clear" w:color="auto" w:fill="auto"/>
            <w:noWrap/>
            <w:vAlign w:val="center"/>
          </w:tcPr>
          <w:p>
            <w:pPr>
              <w:keepNext w:val="0"/>
              <w:keepLines w:val="0"/>
              <w:widowControl/>
              <w:numPr>
                <w:numId w:val="0"/>
              </w:numPr>
              <w:suppressLineNumbers w:val="0"/>
              <w:jc w:val="left"/>
              <w:textAlignment w:val="center"/>
              <w:rPr>
                <w:rFonts w:hint="eastAsia"/>
                <w:lang w:val="en-US" w:eastAsia="zh-CN"/>
              </w:rPr>
            </w:pPr>
            <w:r>
              <w:rPr>
                <w:rFonts w:hint="eastAsia"/>
                <w:lang w:val="en-US" w:eastAsia="zh-CN"/>
              </w:rPr>
              <w:t>3、企业征收搬迁工作费实际结算价=企业实际补偿金*招标文件中约定的上限费率*中标费率</w:t>
            </w:r>
          </w:p>
          <w:p>
            <w:pPr>
              <w:pStyle w:val="2"/>
              <w:numPr>
                <w:ilvl w:val="0"/>
                <w:numId w:val="0"/>
              </w:numPr>
              <w:rPr>
                <w:rFonts w:hint="eastAsia"/>
              </w:rPr>
            </w:pPr>
            <w:r>
              <w:rPr>
                <w:rFonts w:hint="eastAsia"/>
                <w:lang w:val="en-US" w:eastAsia="zh-CN"/>
              </w:rPr>
              <w:t>4、</w:t>
            </w:r>
            <w:r>
              <w:rPr>
                <w:rFonts w:hint="eastAsia"/>
              </w:rPr>
              <w:t>本表的标段</w:t>
            </w:r>
            <w:r>
              <w:rPr>
                <w:rFonts w:hint="eastAsia"/>
                <w:lang w:eastAsia="zh-CN"/>
              </w:rPr>
              <w:t>投标总</w:t>
            </w:r>
            <w:r>
              <w:rPr>
                <w:rFonts w:hint="eastAsia"/>
              </w:rPr>
              <w:t>报价须与投标函报价一致</w:t>
            </w:r>
          </w:p>
          <w:p>
            <w:pPr>
              <w:pStyle w:val="2"/>
              <w:numPr>
                <w:numId w:val="0"/>
              </w:numPr>
              <w:rPr>
                <w:rFonts w:hint="eastAsia"/>
              </w:rPr>
            </w:pPr>
            <w:r>
              <w:rPr>
                <w:rFonts w:hint="eastAsia"/>
                <w:lang w:val="en-US" w:eastAsia="zh-CN"/>
              </w:rPr>
              <w:t>5、</w:t>
            </w:r>
            <w:r>
              <w:rPr>
                <w:rFonts w:hint="eastAsia"/>
              </w:rPr>
              <w:t>本项目招标过程中已有控制价但未进行报价部分项目的费用结算=招标文件中控制价*中标下浮率。</w:t>
            </w:r>
          </w:p>
        </w:tc>
        <w:tc>
          <w:tcPr>
            <w:tcW w:w="3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pPr>
    </w:p>
    <w:p/>
    <w:sectPr>
      <w:pgSz w:w="16838" w:h="11906" w:orient="landscape"/>
      <w:pgMar w:top="1418" w:right="1418" w:bottom="828"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shd w:val="clear" w:color="auto" w:fill="FFFFFF"/>
        <w:lang w:val="zh-CN"/>
      </w:rPr>
      <w:t>57</w:t>
    </w:r>
    <w:r>
      <w:rPr>
        <w:shd w:val="clear" w:color="auto" w:fill="FFFFFF"/>
        <w:lang w:val="zh-CN"/>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2BBE5"/>
    <w:multiLevelType w:val="singleLevel"/>
    <w:tmpl w:val="FFC2BBE5"/>
    <w:lvl w:ilvl="0" w:tentative="0">
      <w:start w:val="3"/>
      <w:numFmt w:val="decimal"/>
      <w:suff w:val="nothing"/>
      <w:lvlText w:val="%1、"/>
      <w:lvlJc w:val="left"/>
    </w:lvl>
  </w:abstractNum>
  <w:abstractNum w:abstractNumId="1">
    <w:nsid w:val="57D46868"/>
    <w:multiLevelType w:val="singleLevel"/>
    <w:tmpl w:val="57D46868"/>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75"/>
    <w:rsid w:val="000069F7"/>
    <w:rsid w:val="00017C02"/>
    <w:rsid w:val="000201D9"/>
    <w:rsid w:val="00025C0B"/>
    <w:rsid w:val="000345DC"/>
    <w:rsid w:val="00035BC4"/>
    <w:rsid w:val="0003682C"/>
    <w:rsid w:val="000526E0"/>
    <w:rsid w:val="00053C3E"/>
    <w:rsid w:val="00054ED6"/>
    <w:rsid w:val="00054FDA"/>
    <w:rsid w:val="00055EAA"/>
    <w:rsid w:val="00072369"/>
    <w:rsid w:val="00075453"/>
    <w:rsid w:val="00080062"/>
    <w:rsid w:val="0009061A"/>
    <w:rsid w:val="00090FE3"/>
    <w:rsid w:val="000B72C9"/>
    <w:rsid w:val="000C3186"/>
    <w:rsid w:val="000D40A4"/>
    <w:rsid w:val="000E13C8"/>
    <w:rsid w:val="000E7156"/>
    <w:rsid w:val="000F771A"/>
    <w:rsid w:val="001137A1"/>
    <w:rsid w:val="0012089B"/>
    <w:rsid w:val="001236C7"/>
    <w:rsid w:val="001267CB"/>
    <w:rsid w:val="0013385F"/>
    <w:rsid w:val="00137C02"/>
    <w:rsid w:val="001444E0"/>
    <w:rsid w:val="00171D8E"/>
    <w:rsid w:val="001728DF"/>
    <w:rsid w:val="00173ADB"/>
    <w:rsid w:val="001858B4"/>
    <w:rsid w:val="00186548"/>
    <w:rsid w:val="00187D51"/>
    <w:rsid w:val="001A4B2E"/>
    <w:rsid w:val="001A6CAF"/>
    <w:rsid w:val="001A7504"/>
    <w:rsid w:val="001B18B5"/>
    <w:rsid w:val="001D1DE2"/>
    <w:rsid w:val="001D6F61"/>
    <w:rsid w:val="001D7A15"/>
    <w:rsid w:val="001E55BA"/>
    <w:rsid w:val="001F0F3A"/>
    <w:rsid w:val="001F7996"/>
    <w:rsid w:val="0020670B"/>
    <w:rsid w:val="00206E73"/>
    <w:rsid w:val="00210A5F"/>
    <w:rsid w:val="00234143"/>
    <w:rsid w:val="002408C0"/>
    <w:rsid w:val="00251C6C"/>
    <w:rsid w:val="002555FA"/>
    <w:rsid w:val="002614CD"/>
    <w:rsid w:val="00262B72"/>
    <w:rsid w:val="00265D69"/>
    <w:rsid w:val="00265EAF"/>
    <w:rsid w:val="0027031F"/>
    <w:rsid w:val="00271C63"/>
    <w:rsid w:val="00273210"/>
    <w:rsid w:val="00274903"/>
    <w:rsid w:val="00284706"/>
    <w:rsid w:val="00292F67"/>
    <w:rsid w:val="0029622A"/>
    <w:rsid w:val="002A105C"/>
    <w:rsid w:val="002A2FB4"/>
    <w:rsid w:val="002A4B02"/>
    <w:rsid w:val="002B0AE7"/>
    <w:rsid w:val="002B36AD"/>
    <w:rsid w:val="002B5253"/>
    <w:rsid w:val="002B6398"/>
    <w:rsid w:val="002C2EC7"/>
    <w:rsid w:val="002C3591"/>
    <w:rsid w:val="002C48FC"/>
    <w:rsid w:val="002C4C94"/>
    <w:rsid w:val="002D0F3E"/>
    <w:rsid w:val="002D4695"/>
    <w:rsid w:val="002F08E7"/>
    <w:rsid w:val="002F3B0B"/>
    <w:rsid w:val="002F71F8"/>
    <w:rsid w:val="00303DD2"/>
    <w:rsid w:val="00306395"/>
    <w:rsid w:val="0030791D"/>
    <w:rsid w:val="00307CDE"/>
    <w:rsid w:val="003104C2"/>
    <w:rsid w:val="0031284A"/>
    <w:rsid w:val="003144DE"/>
    <w:rsid w:val="00317F22"/>
    <w:rsid w:val="00322917"/>
    <w:rsid w:val="003260EF"/>
    <w:rsid w:val="00327383"/>
    <w:rsid w:val="003350B3"/>
    <w:rsid w:val="00356C40"/>
    <w:rsid w:val="003605CA"/>
    <w:rsid w:val="003719F0"/>
    <w:rsid w:val="00376A41"/>
    <w:rsid w:val="00380FA0"/>
    <w:rsid w:val="00381FC3"/>
    <w:rsid w:val="003853CB"/>
    <w:rsid w:val="0039652F"/>
    <w:rsid w:val="0039788A"/>
    <w:rsid w:val="003A2D4B"/>
    <w:rsid w:val="003A53A5"/>
    <w:rsid w:val="003B66D4"/>
    <w:rsid w:val="003C23A0"/>
    <w:rsid w:val="003C2489"/>
    <w:rsid w:val="003E0E6B"/>
    <w:rsid w:val="003E5BA9"/>
    <w:rsid w:val="003F0F9B"/>
    <w:rsid w:val="003F1894"/>
    <w:rsid w:val="003F28C2"/>
    <w:rsid w:val="003F70F8"/>
    <w:rsid w:val="00402E5A"/>
    <w:rsid w:val="00405849"/>
    <w:rsid w:val="00405E14"/>
    <w:rsid w:val="00411153"/>
    <w:rsid w:val="00413865"/>
    <w:rsid w:val="00413DF2"/>
    <w:rsid w:val="0041415F"/>
    <w:rsid w:val="00430242"/>
    <w:rsid w:val="00432AB3"/>
    <w:rsid w:val="004402CD"/>
    <w:rsid w:val="0045077C"/>
    <w:rsid w:val="00456697"/>
    <w:rsid w:val="0047191D"/>
    <w:rsid w:val="00480C89"/>
    <w:rsid w:val="0048754E"/>
    <w:rsid w:val="004932A6"/>
    <w:rsid w:val="004A188A"/>
    <w:rsid w:val="004A73A5"/>
    <w:rsid w:val="004D11CB"/>
    <w:rsid w:val="004D1F73"/>
    <w:rsid w:val="004D3633"/>
    <w:rsid w:val="004D5A33"/>
    <w:rsid w:val="004E5214"/>
    <w:rsid w:val="004E64F4"/>
    <w:rsid w:val="004F219D"/>
    <w:rsid w:val="004F2741"/>
    <w:rsid w:val="004F49C2"/>
    <w:rsid w:val="004F5931"/>
    <w:rsid w:val="00506DB5"/>
    <w:rsid w:val="005142D4"/>
    <w:rsid w:val="00515E7A"/>
    <w:rsid w:val="00537E42"/>
    <w:rsid w:val="00540426"/>
    <w:rsid w:val="0054436C"/>
    <w:rsid w:val="00544ACF"/>
    <w:rsid w:val="00545E62"/>
    <w:rsid w:val="0055120B"/>
    <w:rsid w:val="00554FAF"/>
    <w:rsid w:val="00561022"/>
    <w:rsid w:val="005700A0"/>
    <w:rsid w:val="00571001"/>
    <w:rsid w:val="00571755"/>
    <w:rsid w:val="0057697F"/>
    <w:rsid w:val="00576E19"/>
    <w:rsid w:val="00577B75"/>
    <w:rsid w:val="00583E54"/>
    <w:rsid w:val="005916B8"/>
    <w:rsid w:val="00593817"/>
    <w:rsid w:val="00593F33"/>
    <w:rsid w:val="005A25B8"/>
    <w:rsid w:val="005A6987"/>
    <w:rsid w:val="005B5A0A"/>
    <w:rsid w:val="005C26AA"/>
    <w:rsid w:val="005C4338"/>
    <w:rsid w:val="005C4974"/>
    <w:rsid w:val="005C6806"/>
    <w:rsid w:val="005C6C81"/>
    <w:rsid w:val="005D5C1D"/>
    <w:rsid w:val="005E03C0"/>
    <w:rsid w:val="005E367E"/>
    <w:rsid w:val="005E71E7"/>
    <w:rsid w:val="005F24E3"/>
    <w:rsid w:val="005F7B3B"/>
    <w:rsid w:val="006014A7"/>
    <w:rsid w:val="0060210D"/>
    <w:rsid w:val="006059D8"/>
    <w:rsid w:val="0061078F"/>
    <w:rsid w:val="006113BD"/>
    <w:rsid w:val="00612DF1"/>
    <w:rsid w:val="006139E0"/>
    <w:rsid w:val="00615759"/>
    <w:rsid w:val="00621F98"/>
    <w:rsid w:val="00624AFB"/>
    <w:rsid w:val="00624B83"/>
    <w:rsid w:val="00634834"/>
    <w:rsid w:val="006361DD"/>
    <w:rsid w:val="0064324C"/>
    <w:rsid w:val="0064494E"/>
    <w:rsid w:val="00662900"/>
    <w:rsid w:val="006636D0"/>
    <w:rsid w:val="00663832"/>
    <w:rsid w:val="006664F1"/>
    <w:rsid w:val="006757AF"/>
    <w:rsid w:val="0067582F"/>
    <w:rsid w:val="00677735"/>
    <w:rsid w:val="0068317D"/>
    <w:rsid w:val="0068362B"/>
    <w:rsid w:val="0069634D"/>
    <w:rsid w:val="006A3B61"/>
    <w:rsid w:val="006A4371"/>
    <w:rsid w:val="006A7F8E"/>
    <w:rsid w:val="006B060D"/>
    <w:rsid w:val="006B266C"/>
    <w:rsid w:val="006B3012"/>
    <w:rsid w:val="006B4CD1"/>
    <w:rsid w:val="006B600C"/>
    <w:rsid w:val="006B6B9D"/>
    <w:rsid w:val="006B6EE9"/>
    <w:rsid w:val="006B794E"/>
    <w:rsid w:val="006D0B27"/>
    <w:rsid w:val="006E0AA7"/>
    <w:rsid w:val="006E73F1"/>
    <w:rsid w:val="006F3585"/>
    <w:rsid w:val="006F42A5"/>
    <w:rsid w:val="006F52C0"/>
    <w:rsid w:val="00703065"/>
    <w:rsid w:val="00716BDF"/>
    <w:rsid w:val="00724E50"/>
    <w:rsid w:val="007261C8"/>
    <w:rsid w:val="00734988"/>
    <w:rsid w:val="00740F7B"/>
    <w:rsid w:val="007533EA"/>
    <w:rsid w:val="00754CDA"/>
    <w:rsid w:val="0076200D"/>
    <w:rsid w:val="007701D3"/>
    <w:rsid w:val="00775035"/>
    <w:rsid w:val="00780D8F"/>
    <w:rsid w:val="00785252"/>
    <w:rsid w:val="00787869"/>
    <w:rsid w:val="007935A6"/>
    <w:rsid w:val="00794AD8"/>
    <w:rsid w:val="007A23F0"/>
    <w:rsid w:val="007C08BB"/>
    <w:rsid w:val="007C3CF6"/>
    <w:rsid w:val="007C6A92"/>
    <w:rsid w:val="007D2664"/>
    <w:rsid w:val="007D424F"/>
    <w:rsid w:val="007D4C07"/>
    <w:rsid w:val="007D67F1"/>
    <w:rsid w:val="007F4E22"/>
    <w:rsid w:val="007F5B44"/>
    <w:rsid w:val="00810815"/>
    <w:rsid w:val="00810986"/>
    <w:rsid w:val="008146E4"/>
    <w:rsid w:val="00825575"/>
    <w:rsid w:val="00826DEC"/>
    <w:rsid w:val="00836AED"/>
    <w:rsid w:val="008413EC"/>
    <w:rsid w:val="00845E00"/>
    <w:rsid w:val="00847D1E"/>
    <w:rsid w:val="0085661E"/>
    <w:rsid w:val="00870F00"/>
    <w:rsid w:val="00872BA5"/>
    <w:rsid w:val="0087514D"/>
    <w:rsid w:val="008759F7"/>
    <w:rsid w:val="0087752A"/>
    <w:rsid w:val="00877D44"/>
    <w:rsid w:val="00887081"/>
    <w:rsid w:val="00896F95"/>
    <w:rsid w:val="00897B6B"/>
    <w:rsid w:val="008A2587"/>
    <w:rsid w:val="008A51FA"/>
    <w:rsid w:val="008A5E29"/>
    <w:rsid w:val="008A68E7"/>
    <w:rsid w:val="008B0359"/>
    <w:rsid w:val="008B0538"/>
    <w:rsid w:val="008B359F"/>
    <w:rsid w:val="008B4990"/>
    <w:rsid w:val="008C244E"/>
    <w:rsid w:val="008C3AA4"/>
    <w:rsid w:val="008C44C4"/>
    <w:rsid w:val="008C72FD"/>
    <w:rsid w:val="008C76CF"/>
    <w:rsid w:val="008D258F"/>
    <w:rsid w:val="008D78AB"/>
    <w:rsid w:val="008F1D53"/>
    <w:rsid w:val="008F46FA"/>
    <w:rsid w:val="00902158"/>
    <w:rsid w:val="00902A88"/>
    <w:rsid w:val="00904454"/>
    <w:rsid w:val="00906F99"/>
    <w:rsid w:val="00911400"/>
    <w:rsid w:val="0091642A"/>
    <w:rsid w:val="00916E5D"/>
    <w:rsid w:val="00917FBC"/>
    <w:rsid w:val="00920EC4"/>
    <w:rsid w:val="009237D2"/>
    <w:rsid w:val="00930187"/>
    <w:rsid w:val="00934615"/>
    <w:rsid w:val="0094289E"/>
    <w:rsid w:val="00944B20"/>
    <w:rsid w:val="00944E27"/>
    <w:rsid w:val="00950C58"/>
    <w:rsid w:val="00951D7B"/>
    <w:rsid w:val="0095453F"/>
    <w:rsid w:val="00955B6A"/>
    <w:rsid w:val="009633A5"/>
    <w:rsid w:val="00966EA1"/>
    <w:rsid w:val="00972100"/>
    <w:rsid w:val="009919E5"/>
    <w:rsid w:val="00992802"/>
    <w:rsid w:val="00994F5B"/>
    <w:rsid w:val="009A091E"/>
    <w:rsid w:val="009A7570"/>
    <w:rsid w:val="009B1BA5"/>
    <w:rsid w:val="009B3313"/>
    <w:rsid w:val="009B75CC"/>
    <w:rsid w:val="009C401B"/>
    <w:rsid w:val="009D0F8E"/>
    <w:rsid w:val="009D3BB6"/>
    <w:rsid w:val="009E611E"/>
    <w:rsid w:val="009F41EB"/>
    <w:rsid w:val="00A10D82"/>
    <w:rsid w:val="00A16FC6"/>
    <w:rsid w:val="00A2601E"/>
    <w:rsid w:val="00A31B5A"/>
    <w:rsid w:val="00A35E18"/>
    <w:rsid w:val="00A43718"/>
    <w:rsid w:val="00A43C23"/>
    <w:rsid w:val="00A65A8A"/>
    <w:rsid w:val="00A673C3"/>
    <w:rsid w:val="00A82688"/>
    <w:rsid w:val="00A87A3E"/>
    <w:rsid w:val="00A95712"/>
    <w:rsid w:val="00A97501"/>
    <w:rsid w:val="00AA2F8D"/>
    <w:rsid w:val="00AA50C5"/>
    <w:rsid w:val="00AA636E"/>
    <w:rsid w:val="00AC1A51"/>
    <w:rsid w:val="00AC679C"/>
    <w:rsid w:val="00AD05F2"/>
    <w:rsid w:val="00AE1517"/>
    <w:rsid w:val="00AE3F70"/>
    <w:rsid w:val="00AE4B60"/>
    <w:rsid w:val="00AF5B3D"/>
    <w:rsid w:val="00AF6C47"/>
    <w:rsid w:val="00B035B1"/>
    <w:rsid w:val="00B053CF"/>
    <w:rsid w:val="00B10A5B"/>
    <w:rsid w:val="00B135F9"/>
    <w:rsid w:val="00B14272"/>
    <w:rsid w:val="00B14E47"/>
    <w:rsid w:val="00B150AD"/>
    <w:rsid w:val="00B20428"/>
    <w:rsid w:val="00B210CF"/>
    <w:rsid w:val="00B212DB"/>
    <w:rsid w:val="00B2691E"/>
    <w:rsid w:val="00B31186"/>
    <w:rsid w:val="00B34651"/>
    <w:rsid w:val="00B40451"/>
    <w:rsid w:val="00B416A1"/>
    <w:rsid w:val="00B53CDA"/>
    <w:rsid w:val="00B62339"/>
    <w:rsid w:val="00B645B0"/>
    <w:rsid w:val="00B65BFA"/>
    <w:rsid w:val="00B726DE"/>
    <w:rsid w:val="00B73FC1"/>
    <w:rsid w:val="00B756BF"/>
    <w:rsid w:val="00B80045"/>
    <w:rsid w:val="00B83FCE"/>
    <w:rsid w:val="00B8432F"/>
    <w:rsid w:val="00BA5E0A"/>
    <w:rsid w:val="00BB1602"/>
    <w:rsid w:val="00BB35F7"/>
    <w:rsid w:val="00BD3844"/>
    <w:rsid w:val="00BD5D8C"/>
    <w:rsid w:val="00BE0CE3"/>
    <w:rsid w:val="00BF6E1E"/>
    <w:rsid w:val="00C0184E"/>
    <w:rsid w:val="00C04E68"/>
    <w:rsid w:val="00C15D16"/>
    <w:rsid w:val="00C20774"/>
    <w:rsid w:val="00C3014D"/>
    <w:rsid w:val="00C33BFD"/>
    <w:rsid w:val="00C33D0E"/>
    <w:rsid w:val="00C4051A"/>
    <w:rsid w:val="00C42CC3"/>
    <w:rsid w:val="00C475CD"/>
    <w:rsid w:val="00C56901"/>
    <w:rsid w:val="00C56C2A"/>
    <w:rsid w:val="00C6143C"/>
    <w:rsid w:val="00C72E25"/>
    <w:rsid w:val="00C732F6"/>
    <w:rsid w:val="00C81269"/>
    <w:rsid w:val="00C82C8D"/>
    <w:rsid w:val="00C866D1"/>
    <w:rsid w:val="00C87975"/>
    <w:rsid w:val="00C9509F"/>
    <w:rsid w:val="00CA2CD6"/>
    <w:rsid w:val="00CA2EB3"/>
    <w:rsid w:val="00CA420A"/>
    <w:rsid w:val="00CB0CEC"/>
    <w:rsid w:val="00CB1FB0"/>
    <w:rsid w:val="00CC170B"/>
    <w:rsid w:val="00CC207F"/>
    <w:rsid w:val="00CD2BFA"/>
    <w:rsid w:val="00CD4E01"/>
    <w:rsid w:val="00CE0AB7"/>
    <w:rsid w:val="00CF5800"/>
    <w:rsid w:val="00D018FC"/>
    <w:rsid w:val="00D06649"/>
    <w:rsid w:val="00D1117D"/>
    <w:rsid w:val="00D120C9"/>
    <w:rsid w:val="00D1257C"/>
    <w:rsid w:val="00D15EF0"/>
    <w:rsid w:val="00D17F57"/>
    <w:rsid w:val="00D4359E"/>
    <w:rsid w:val="00D43FC1"/>
    <w:rsid w:val="00D4720D"/>
    <w:rsid w:val="00D47325"/>
    <w:rsid w:val="00D47F0E"/>
    <w:rsid w:val="00D54196"/>
    <w:rsid w:val="00D613FC"/>
    <w:rsid w:val="00D65C43"/>
    <w:rsid w:val="00D70447"/>
    <w:rsid w:val="00D8133D"/>
    <w:rsid w:val="00D82455"/>
    <w:rsid w:val="00D90A32"/>
    <w:rsid w:val="00D90E1C"/>
    <w:rsid w:val="00D94049"/>
    <w:rsid w:val="00D95123"/>
    <w:rsid w:val="00DA10E9"/>
    <w:rsid w:val="00DA1B2F"/>
    <w:rsid w:val="00DA1E0C"/>
    <w:rsid w:val="00DA1EDE"/>
    <w:rsid w:val="00DA2917"/>
    <w:rsid w:val="00DB234D"/>
    <w:rsid w:val="00DB61B7"/>
    <w:rsid w:val="00DC4D1F"/>
    <w:rsid w:val="00DC5F4D"/>
    <w:rsid w:val="00DD38EC"/>
    <w:rsid w:val="00DD538A"/>
    <w:rsid w:val="00DD70C4"/>
    <w:rsid w:val="00DE7503"/>
    <w:rsid w:val="00DF1CCB"/>
    <w:rsid w:val="00E041CC"/>
    <w:rsid w:val="00E112AB"/>
    <w:rsid w:val="00E2108A"/>
    <w:rsid w:val="00E21E41"/>
    <w:rsid w:val="00E25A38"/>
    <w:rsid w:val="00E26188"/>
    <w:rsid w:val="00E261CC"/>
    <w:rsid w:val="00E3166F"/>
    <w:rsid w:val="00E34979"/>
    <w:rsid w:val="00E352A7"/>
    <w:rsid w:val="00E35AC9"/>
    <w:rsid w:val="00E4128D"/>
    <w:rsid w:val="00E43478"/>
    <w:rsid w:val="00E46340"/>
    <w:rsid w:val="00E53D08"/>
    <w:rsid w:val="00E55751"/>
    <w:rsid w:val="00E55F21"/>
    <w:rsid w:val="00E57007"/>
    <w:rsid w:val="00E57B50"/>
    <w:rsid w:val="00E6014B"/>
    <w:rsid w:val="00E66537"/>
    <w:rsid w:val="00E71AFE"/>
    <w:rsid w:val="00E72B00"/>
    <w:rsid w:val="00E73A46"/>
    <w:rsid w:val="00E77F3C"/>
    <w:rsid w:val="00E805A5"/>
    <w:rsid w:val="00E80B2A"/>
    <w:rsid w:val="00E81DD1"/>
    <w:rsid w:val="00E90CEA"/>
    <w:rsid w:val="00E95572"/>
    <w:rsid w:val="00EA3866"/>
    <w:rsid w:val="00EB1189"/>
    <w:rsid w:val="00EB3D18"/>
    <w:rsid w:val="00EC2659"/>
    <w:rsid w:val="00ED7309"/>
    <w:rsid w:val="00EE576F"/>
    <w:rsid w:val="00F016AE"/>
    <w:rsid w:val="00F0219A"/>
    <w:rsid w:val="00F02772"/>
    <w:rsid w:val="00F0375A"/>
    <w:rsid w:val="00F105C2"/>
    <w:rsid w:val="00F11584"/>
    <w:rsid w:val="00F11B1E"/>
    <w:rsid w:val="00F12A55"/>
    <w:rsid w:val="00F1618F"/>
    <w:rsid w:val="00F213DC"/>
    <w:rsid w:val="00F2499E"/>
    <w:rsid w:val="00F32C7A"/>
    <w:rsid w:val="00F36DBD"/>
    <w:rsid w:val="00F513CA"/>
    <w:rsid w:val="00F61C7D"/>
    <w:rsid w:val="00F66F72"/>
    <w:rsid w:val="00F67DB7"/>
    <w:rsid w:val="00F70BAA"/>
    <w:rsid w:val="00F751D0"/>
    <w:rsid w:val="00F77F14"/>
    <w:rsid w:val="00F82780"/>
    <w:rsid w:val="00F82F39"/>
    <w:rsid w:val="00F83E7D"/>
    <w:rsid w:val="00FB1587"/>
    <w:rsid w:val="00FB7099"/>
    <w:rsid w:val="00FD0701"/>
    <w:rsid w:val="00FD4862"/>
    <w:rsid w:val="00FD612C"/>
    <w:rsid w:val="00FD6471"/>
    <w:rsid w:val="00FD79AD"/>
    <w:rsid w:val="00FE5FA3"/>
    <w:rsid w:val="00FE7591"/>
    <w:rsid w:val="00FF2113"/>
    <w:rsid w:val="00FF77A9"/>
    <w:rsid w:val="010C65D1"/>
    <w:rsid w:val="02A074D1"/>
    <w:rsid w:val="037F7927"/>
    <w:rsid w:val="04197B2E"/>
    <w:rsid w:val="0533460F"/>
    <w:rsid w:val="065F3BC5"/>
    <w:rsid w:val="07523487"/>
    <w:rsid w:val="0780147F"/>
    <w:rsid w:val="079B2A0B"/>
    <w:rsid w:val="0825247C"/>
    <w:rsid w:val="08893B35"/>
    <w:rsid w:val="08E53DCC"/>
    <w:rsid w:val="09A97FCE"/>
    <w:rsid w:val="0A766F59"/>
    <w:rsid w:val="0DA57723"/>
    <w:rsid w:val="0DCB1D22"/>
    <w:rsid w:val="0E001546"/>
    <w:rsid w:val="0E745A0E"/>
    <w:rsid w:val="0E7E2C95"/>
    <w:rsid w:val="0F883B79"/>
    <w:rsid w:val="0F9F1B8F"/>
    <w:rsid w:val="109E360C"/>
    <w:rsid w:val="110172D8"/>
    <w:rsid w:val="11626750"/>
    <w:rsid w:val="117F22D8"/>
    <w:rsid w:val="126938A9"/>
    <w:rsid w:val="12826878"/>
    <w:rsid w:val="142C4FE7"/>
    <w:rsid w:val="14404212"/>
    <w:rsid w:val="15ED042D"/>
    <w:rsid w:val="16B80E31"/>
    <w:rsid w:val="17E00848"/>
    <w:rsid w:val="18FA4C9C"/>
    <w:rsid w:val="18FC298C"/>
    <w:rsid w:val="19955A83"/>
    <w:rsid w:val="1ACE15C4"/>
    <w:rsid w:val="1AD17866"/>
    <w:rsid w:val="1BB443B2"/>
    <w:rsid w:val="1BEB688F"/>
    <w:rsid w:val="1C3C1460"/>
    <w:rsid w:val="1D617689"/>
    <w:rsid w:val="1EEF45B4"/>
    <w:rsid w:val="1F10537B"/>
    <w:rsid w:val="1F751369"/>
    <w:rsid w:val="200E1401"/>
    <w:rsid w:val="21145826"/>
    <w:rsid w:val="21E378AC"/>
    <w:rsid w:val="247777FC"/>
    <w:rsid w:val="24790731"/>
    <w:rsid w:val="250F51DD"/>
    <w:rsid w:val="25297410"/>
    <w:rsid w:val="25710459"/>
    <w:rsid w:val="27A37C22"/>
    <w:rsid w:val="288811C3"/>
    <w:rsid w:val="2AA066EB"/>
    <w:rsid w:val="2AAA525B"/>
    <w:rsid w:val="2BAB2C84"/>
    <w:rsid w:val="2BC44127"/>
    <w:rsid w:val="2C0D357B"/>
    <w:rsid w:val="2DE625A9"/>
    <w:rsid w:val="2E21675E"/>
    <w:rsid w:val="2E690F70"/>
    <w:rsid w:val="2FB6567E"/>
    <w:rsid w:val="2FFF389C"/>
    <w:rsid w:val="31293692"/>
    <w:rsid w:val="31695313"/>
    <w:rsid w:val="31902164"/>
    <w:rsid w:val="32F35E66"/>
    <w:rsid w:val="33221E5C"/>
    <w:rsid w:val="33702DE6"/>
    <w:rsid w:val="33A5691C"/>
    <w:rsid w:val="34C9425D"/>
    <w:rsid w:val="35387774"/>
    <w:rsid w:val="358E773A"/>
    <w:rsid w:val="35B11538"/>
    <w:rsid w:val="367B1865"/>
    <w:rsid w:val="36E463AA"/>
    <w:rsid w:val="36FE3CC9"/>
    <w:rsid w:val="37424326"/>
    <w:rsid w:val="392262B2"/>
    <w:rsid w:val="395A6524"/>
    <w:rsid w:val="39FA31FF"/>
    <w:rsid w:val="3ABD3FD2"/>
    <w:rsid w:val="3B374323"/>
    <w:rsid w:val="3E4F33A9"/>
    <w:rsid w:val="3EAD64DA"/>
    <w:rsid w:val="3F3D54DE"/>
    <w:rsid w:val="3FDE73A8"/>
    <w:rsid w:val="40683DC5"/>
    <w:rsid w:val="40EA6D15"/>
    <w:rsid w:val="415762A6"/>
    <w:rsid w:val="426F02D8"/>
    <w:rsid w:val="429C15B5"/>
    <w:rsid w:val="42C65ED8"/>
    <w:rsid w:val="42DA085C"/>
    <w:rsid w:val="42ED2729"/>
    <w:rsid w:val="44015C77"/>
    <w:rsid w:val="45482CFC"/>
    <w:rsid w:val="45573CF4"/>
    <w:rsid w:val="45755A35"/>
    <w:rsid w:val="45C22CFA"/>
    <w:rsid w:val="46A523B8"/>
    <w:rsid w:val="479D55DF"/>
    <w:rsid w:val="47C66115"/>
    <w:rsid w:val="48EE4B77"/>
    <w:rsid w:val="4A6A36FD"/>
    <w:rsid w:val="4A916BCD"/>
    <w:rsid w:val="4C9945E4"/>
    <w:rsid w:val="4C9A0D59"/>
    <w:rsid w:val="4DE04204"/>
    <w:rsid w:val="4DF62C28"/>
    <w:rsid w:val="4E6C5E22"/>
    <w:rsid w:val="50A77867"/>
    <w:rsid w:val="511D1DE5"/>
    <w:rsid w:val="516F4341"/>
    <w:rsid w:val="51D602F4"/>
    <w:rsid w:val="51F15007"/>
    <w:rsid w:val="52971969"/>
    <w:rsid w:val="53065384"/>
    <w:rsid w:val="54560222"/>
    <w:rsid w:val="54816F2D"/>
    <w:rsid w:val="553F67BA"/>
    <w:rsid w:val="55620AF0"/>
    <w:rsid w:val="56B318FF"/>
    <w:rsid w:val="56CB235D"/>
    <w:rsid w:val="57152FB4"/>
    <w:rsid w:val="5A302ED0"/>
    <w:rsid w:val="5C1E495D"/>
    <w:rsid w:val="5C336157"/>
    <w:rsid w:val="5D4C2CA6"/>
    <w:rsid w:val="5D6F563F"/>
    <w:rsid w:val="5D935D02"/>
    <w:rsid w:val="5DE55699"/>
    <w:rsid w:val="5DFF2874"/>
    <w:rsid w:val="5E042DC3"/>
    <w:rsid w:val="5F3C0D73"/>
    <w:rsid w:val="5FAB5EFC"/>
    <w:rsid w:val="601F00E5"/>
    <w:rsid w:val="6185343C"/>
    <w:rsid w:val="61ED2A31"/>
    <w:rsid w:val="63892724"/>
    <w:rsid w:val="63CB2E7C"/>
    <w:rsid w:val="64C8335C"/>
    <w:rsid w:val="65C76ADE"/>
    <w:rsid w:val="65F309A6"/>
    <w:rsid w:val="65FB00AC"/>
    <w:rsid w:val="66543BDF"/>
    <w:rsid w:val="67EA17B8"/>
    <w:rsid w:val="69A333FE"/>
    <w:rsid w:val="69B624D5"/>
    <w:rsid w:val="6A36182B"/>
    <w:rsid w:val="6A957ADB"/>
    <w:rsid w:val="6B0A7B37"/>
    <w:rsid w:val="6B451E26"/>
    <w:rsid w:val="6CAE452B"/>
    <w:rsid w:val="6CF75158"/>
    <w:rsid w:val="6D5E1E16"/>
    <w:rsid w:val="6D9D78E2"/>
    <w:rsid w:val="6DE7396E"/>
    <w:rsid w:val="6E720BD8"/>
    <w:rsid w:val="6F1B3DEA"/>
    <w:rsid w:val="6F3B0413"/>
    <w:rsid w:val="6F576757"/>
    <w:rsid w:val="705C699F"/>
    <w:rsid w:val="715D0FD9"/>
    <w:rsid w:val="721804CD"/>
    <w:rsid w:val="72C52C90"/>
    <w:rsid w:val="732A7278"/>
    <w:rsid w:val="73382B74"/>
    <w:rsid w:val="74617535"/>
    <w:rsid w:val="74AE09FD"/>
    <w:rsid w:val="74D73195"/>
    <w:rsid w:val="74FA36BB"/>
    <w:rsid w:val="75A066CA"/>
    <w:rsid w:val="75C04D1C"/>
    <w:rsid w:val="7617396D"/>
    <w:rsid w:val="77CC6E2C"/>
    <w:rsid w:val="789A0A05"/>
    <w:rsid w:val="797E72F5"/>
    <w:rsid w:val="7A6229C1"/>
    <w:rsid w:val="7C206C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9"/>
    <w:pPr>
      <w:keepNext/>
      <w:keepLines/>
      <w:spacing w:before="120" w:after="120" w:line="416" w:lineRule="auto"/>
      <w:outlineLvl w:val="1"/>
    </w:pPr>
    <w:rPr>
      <w:rFonts w:ascii="Arial" w:hAnsi="Arial" w:eastAsia="黑体"/>
      <w:bCs/>
      <w:sz w:val="32"/>
      <w:szCs w:val="32"/>
    </w:rPr>
  </w:style>
  <w:style w:type="paragraph" w:styleId="5">
    <w:name w:val="heading 3"/>
    <w:basedOn w:val="1"/>
    <w:next w:val="1"/>
    <w:link w:val="55"/>
    <w:qFormat/>
    <w:uiPriority w:val="99"/>
    <w:pPr>
      <w:keepNext/>
      <w:keepLines/>
      <w:spacing w:before="20" w:after="20" w:line="416" w:lineRule="auto"/>
      <w:outlineLvl w:val="2"/>
    </w:pPr>
    <w:rPr>
      <w:rFonts w:eastAsia="黑体"/>
      <w:bCs/>
      <w:kern w:val="0"/>
      <w:sz w:val="24"/>
      <w:szCs w:val="32"/>
    </w:rPr>
  </w:style>
  <w:style w:type="paragraph" w:styleId="6">
    <w:name w:val="heading 4"/>
    <w:basedOn w:val="1"/>
    <w:next w:val="1"/>
    <w:link w:val="56"/>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7"/>
    <w:qFormat/>
    <w:uiPriority w:val="99"/>
    <w:pPr>
      <w:keepNext/>
      <w:keepLines/>
      <w:spacing w:before="280" w:after="290" w:line="372" w:lineRule="auto"/>
      <w:outlineLvl w:val="4"/>
    </w:pPr>
    <w:rPr>
      <w:rFonts w:ascii="Calibri" w:hAnsi="Calibri"/>
      <w:b/>
      <w:sz w:val="28"/>
      <w:szCs w:val="20"/>
    </w:rPr>
  </w:style>
  <w:style w:type="paragraph" w:styleId="8">
    <w:name w:val="heading 6"/>
    <w:basedOn w:val="1"/>
    <w:next w:val="1"/>
    <w:link w:val="58"/>
    <w:qFormat/>
    <w:uiPriority w:val="9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59"/>
    <w:qFormat/>
    <w:uiPriority w:val="99"/>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0"/>
    <w:qFormat/>
    <w:uiPriority w:val="9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1"/>
    <w:qFormat/>
    <w:uiPriority w:val="9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12">
    <w:name w:val="toc 7"/>
    <w:basedOn w:val="1"/>
    <w:next w:val="1"/>
    <w:qFormat/>
    <w:uiPriority w:val="99"/>
    <w:pPr>
      <w:ind w:left="1260"/>
      <w:jc w:val="left"/>
    </w:pPr>
    <w:rPr>
      <w:sz w:val="18"/>
      <w:szCs w:val="18"/>
    </w:rPr>
  </w:style>
  <w:style w:type="paragraph" w:styleId="13">
    <w:name w:val="Normal Indent"/>
    <w:basedOn w:val="1"/>
    <w:qFormat/>
    <w:uiPriority w:val="99"/>
    <w:pPr>
      <w:ind w:firstLine="420" w:firstLineChars="200"/>
    </w:pPr>
  </w:style>
  <w:style w:type="paragraph" w:styleId="14">
    <w:name w:val="caption"/>
    <w:basedOn w:val="1"/>
    <w:next w:val="1"/>
    <w:qFormat/>
    <w:uiPriority w:val="99"/>
    <w:rPr>
      <w:rFonts w:ascii="Cambria" w:hAnsi="Cambria" w:eastAsia="黑体"/>
      <w:sz w:val="20"/>
      <w:szCs w:val="20"/>
    </w:rPr>
  </w:style>
  <w:style w:type="paragraph" w:styleId="15">
    <w:name w:val="Document Map"/>
    <w:basedOn w:val="1"/>
    <w:link w:val="127"/>
    <w:qFormat/>
    <w:uiPriority w:val="99"/>
    <w:pPr>
      <w:shd w:val="clear" w:color="auto" w:fill="000080"/>
    </w:pPr>
    <w:rPr>
      <w:rFonts w:ascii="Calibri" w:hAnsi="Calibri"/>
      <w:kern w:val="0"/>
      <w:sz w:val="24"/>
      <w:szCs w:val="20"/>
    </w:rPr>
  </w:style>
  <w:style w:type="paragraph" w:styleId="16">
    <w:name w:val="annotation text"/>
    <w:basedOn w:val="1"/>
    <w:link w:val="129"/>
    <w:semiHidden/>
    <w:qFormat/>
    <w:uiPriority w:val="99"/>
    <w:pPr>
      <w:jc w:val="left"/>
    </w:pPr>
    <w:rPr>
      <w:rFonts w:ascii="Calibri" w:hAnsi="Calibri"/>
      <w:kern w:val="0"/>
      <w:sz w:val="24"/>
      <w:szCs w:val="20"/>
    </w:rPr>
  </w:style>
  <w:style w:type="paragraph" w:styleId="17">
    <w:name w:val="Body Text 3"/>
    <w:basedOn w:val="1"/>
    <w:link w:val="150"/>
    <w:qFormat/>
    <w:uiPriority w:val="99"/>
    <w:rPr>
      <w:rFonts w:ascii="宋体" w:hAnsi="Calibri"/>
      <w:kern w:val="0"/>
      <w:sz w:val="24"/>
      <w:szCs w:val="20"/>
    </w:rPr>
  </w:style>
  <w:style w:type="paragraph" w:styleId="18">
    <w:name w:val="Body Text"/>
    <w:basedOn w:val="1"/>
    <w:link w:val="64"/>
    <w:qFormat/>
    <w:uiPriority w:val="99"/>
    <w:pPr>
      <w:spacing w:after="120"/>
    </w:pPr>
  </w:style>
  <w:style w:type="paragraph" w:styleId="19">
    <w:name w:val="Body Text Indent"/>
    <w:basedOn w:val="1"/>
    <w:link w:val="133"/>
    <w:qFormat/>
    <w:uiPriority w:val="99"/>
    <w:pPr>
      <w:spacing w:after="120"/>
      <w:ind w:left="420" w:leftChars="200"/>
    </w:pPr>
    <w:rPr>
      <w:rFonts w:ascii="Calibri" w:hAnsi="Calibri"/>
      <w:kern w:val="0"/>
      <w:sz w:val="24"/>
      <w:szCs w:val="20"/>
    </w:rPr>
  </w:style>
  <w:style w:type="paragraph" w:styleId="20">
    <w:name w:val="index 4"/>
    <w:basedOn w:val="1"/>
    <w:next w:val="1"/>
    <w:qFormat/>
    <w:uiPriority w:val="99"/>
    <w:pPr>
      <w:ind w:left="600" w:leftChars="600"/>
    </w:pPr>
  </w:style>
  <w:style w:type="paragraph" w:styleId="21">
    <w:name w:val="toc 5"/>
    <w:basedOn w:val="1"/>
    <w:next w:val="1"/>
    <w:qFormat/>
    <w:uiPriority w:val="99"/>
    <w:pPr>
      <w:ind w:left="840"/>
      <w:jc w:val="left"/>
    </w:pPr>
    <w:rPr>
      <w:sz w:val="18"/>
      <w:szCs w:val="18"/>
    </w:rPr>
  </w:style>
  <w:style w:type="paragraph" w:styleId="22">
    <w:name w:val="toc 3"/>
    <w:basedOn w:val="1"/>
    <w:next w:val="1"/>
    <w:semiHidden/>
    <w:qFormat/>
    <w:uiPriority w:val="99"/>
    <w:pPr>
      <w:ind w:left="840" w:leftChars="400"/>
    </w:pPr>
  </w:style>
  <w:style w:type="paragraph" w:styleId="23">
    <w:name w:val="Plain Text"/>
    <w:basedOn w:val="1"/>
    <w:link w:val="131"/>
    <w:qFormat/>
    <w:uiPriority w:val="99"/>
    <w:rPr>
      <w:rFonts w:ascii="宋体" w:hAnsi="Courier New"/>
      <w:kern w:val="0"/>
      <w:sz w:val="20"/>
      <w:szCs w:val="20"/>
    </w:rPr>
  </w:style>
  <w:style w:type="paragraph" w:styleId="24">
    <w:name w:val="toc 8"/>
    <w:basedOn w:val="1"/>
    <w:next w:val="1"/>
    <w:qFormat/>
    <w:uiPriority w:val="99"/>
    <w:pPr>
      <w:ind w:left="1470"/>
      <w:jc w:val="left"/>
    </w:pPr>
    <w:rPr>
      <w:sz w:val="18"/>
      <w:szCs w:val="18"/>
    </w:rPr>
  </w:style>
  <w:style w:type="paragraph" w:styleId="25">
    <w:name w:val="Date"/>
    <w:basedOn w:val="1"/>
    <w:next w:val="1"/>
    <w:link w:val="144"/>
    <w:qFormat/>
    <w:uiPriority w:val="99"/>
    <w:pPr>
      <w:ind w:left="100" w:leftChars="2500"/>
    </w:pPr>
    <w:rPr>
      <w:rFonts w:ascii="Calibri" w:hAnsi="Calibri"/>
      <w:kern w:val="0"/>
      <w:sz w:val="24"/>
      <w:szCs w:val="20"/>
    </w:rPr>
  </w:style>
  <w:style w:type="paragraph" w:styleId="26">
    <w:name w:val="Body Text Indent 2"/>
    <w:basedOn w:val="1"/>
    <w:link w:val="71"/>
    <w:qFormat/>
    <w:uiPriority w:val="99"/>
    <w:pPr>
      <w:spacing w:after="120" w:line="480" w:lineRule="auto"/>
      <w:ind w:left="420" w:leftChars="200"/>
    </w:pPr>
  </w:style>
  <w:style w:type="paragraph" w:styleId="27">
    <w:name w:val="Balloon Text"/>
    <w:basedOn w:val="1"/>
    <w:link w:val="148"/>
    <w:semiHidden/>
    <w:qFormat/>
    <w:uiPriority w:val="99"/>
    <w:rPr>
      <w:rFonts w:ascii="Calibri" w:hAnsi="Calibri"/>
      <w:kern w:val="0"/>
      <w:sz w:val="18"/>
      <w:szCs w:val="20"/>
    </w:rPr>
  </w:style>
  <w:style w:type="paragraph" w:styleId="28">
    <w:name w:val="footer"/>
    <w:basedOn w:val="1"/>
    <w:link w:val="152"/>
    <w:qFormat/>
    <w:uiPriority w:val="99"/>
    <w:pPr>
      <w:tabs>
        <w:tab w:val="center" w:pos="4153"/>
        <w:tab w:val="right" w:pos="8306"/>
      </w:tabs>
      <w:snapToGrid w:val="0"/>
      <w:jc w:val="left"/>
    </w:pPr>
    <w:rPr>
      <w:rFonts w:ascii="Calibri" w:hAnsi="Calibri"/>
      <w:kern w:val="0"/>
      <w:sz w:val="18"/>
      <w:szCs w:val="20"/>
    </w:rPr>
  </w:style>
  <w:style w:type="paragraph" w:styleId="29">
    <w:name w:val="header"/>
    <w:basedOn w:val="1"/>
    <w:link w:val="15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30">
    <w:name w:val="toc 1"/>
    <w:basedOn w:val="1"/>
    <w:next w:val="1"/>
    <w:semiHidden/>
    <w:qFormat/>
    <w:uiPriority w:val="99"/>
  </w:style>
  <w:style w:type="paragraph" w:styleId="31">
    <w:name w:val="toc 4"/>
    <w:basedOn w:val="1"/>
    <w:next w:val="1"/>
    <w:qFormat/>
    <w:uiPriority w:val="99"/>
    <w:pPr>
      <w:ind w:left="630"/>
      <w:jc w:val="left"/>
    </w:pPr>
    <w:rPr>
      <w:sz w:val="18"/>
      <w:szCs w:val="18"/>
    </w:rPr>
  </w:style>
  <w:style w:type="paragraph" w:styleId="32">
    <w:name w:val="Subtitle"/>
    <w:basedOn w:val="1"/>
    <w:next w:val="1"/>
    <w:link w:val="139"/>
    <w:qFormat/>
    <w:uiPriority w:val="99"/>
    <w:pPr>
      <w:spacing w:before="240" w:after="60" w:line="312" w:lineRule="auto"/>
      <w:jc w:val="center"/>
      <w:outlineLvl w:val="1"/>
    </w:pPr>
    <w:rPr>
      <w:rFonts w:ascii="Cambria" w:hAnsi="Cambria"/>
      <w:b/>
      <w:kern w:val="28"/>
      <w:sz w:val="32"/>
      <w:szCs w:val="20"/>
    </w:rPr>
  </w:style>
  <w:style w:type="paragraph" w:styleId="33">
    <w:name w:val="toc 6"/>
    <w:basedOn w:val="1"/>
    <w:next w:val="1"/>
    <w:qFormat/>
    <w:uiPriority w:val="99"/>
    <w:pPr>
      <w:ind w:left="1050"/>
      <w:jc w:val="left"/>
    </w:pPr>
    <w:rPr>
      <w:sz w:val="18"/>
      <w:szCs w:val="18"/>
    </w:rPr>
  </w:style>
  <w:style w:type="paragraph" w:styleId="34">
    <w:name w:val="Body Text Indent 3"/>
    <w:basedOn w:val="1"/>
    <w:link w:val="141"/>
    <w:qFormat/>
    <w:uiPriority w:val="99"/>
    <w:pPr>
      <w:spacing w:after="120"/>
      <w:ind w:left="420" w:leftChars="200"/>
    </w:pPr>
    <w:rPr>
      <w:rFonts w:ascii="Calibri" w:hAnsi="Calibri"/>
      <w:kern w:val="0"/>
      <w:sz w:val="16"/>
      <w:szCs w:val="20"/>
    </w:rPr>
  </w:style>
  <w:style w:type="paragraph" w:styleId="35">
    <w:name w:val="toc 2"/>
    <w:basedOn w:val="1"/>
    <w:next w:val="1"/>
    <w:semiHidden/>
    <w:qFormat/>
    <w:uiPriority w:val="99"/>
    <w:pPr>
      <w:ind w:left="420" w:leftChars="200"/>
    </w:pPr>
  </w:style>
  <w:style w:type="paragraph" w:styleId="36">
    <w:name w:val="toc 9"/>
    <w:basedOn w:val="1"/>
    <w:next w:val="1"/>
    <w:qFormat/>
    <w:uiPriority w:val="99"/>
    <w:pPr>
      <w:ind w:left="1680"/>
      <w:jc w:val="left"/>
    </w:pPr>
    <w:rPr>
      <w:sz w:val="18"/>
      <w:szCs w:val="18"/>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99"/>
    <w:pPr>
      <w:spacing w:line="220" w:lineRule="exact"/>
      <w:jc w:val="center"/>
    </w:pPr>
    <w:rPr>
      <w:rFonts w:ascii="仿宋_GB2312" w:eastAsia="仿宋_GB2312"/>
      <w:szCs w:val="21"/>
    </w:rPr>
  </w:style>
  <w:style w:type="paragraph" w:styleId="39">
    <w:name w:val="Title"/>
    <w:basedOn w:val="1"/>
    <w:link w:val="146"/>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6"/>
    <w:next w:val="16"/>
    <w:link w:val="136"/>
    <w:semiHidden/>
    <w:qFormat/>
    <w:uiPriority w:val="99"/>
    <w:rPr>
      <w:b/>
    </w:rPr>
  </w:style>
  <w:style w:type="paragraph" w:styleId="41">
    <w:name w:val="Body Text First Indent"/>
    <w:basedOn w:val="1"/>
    <w:link w:val="125"/>
    <w:qFormat/>
    <w:uiPriority w:val="99"/>
    <w:pPr>
      <w:spacing w:line="312" w:lineRule="auto"/>
      <w:ind w:firstLine="420"/>
    </w:pPr>
    <w:rPr>
      <w:rFonts w:ascii="宋体" w:hAnsi="Courier New"/>
      <w:sz w:val="24"/>
    </w:r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45">
    <w:name w:val="Strong"/>
    <w:basedOn w:val="44"/>
    <w:qFormat/>
    <w:uiPriority w:val="99"/>
    <w:rPr>
      <w:rFonts w:cs="Times New Roman"/>
      <w:b/>
    </w:rPr>
  </w:style>
  <w:style w:type="character" w:styleId="46">
    <w:name w:val="page number"/>
    <w:basedOn w:val="44"/>
    <w:qFormat/>
    <w:uiPriority w:val="99"/>
    <w:rPr>
      <w:rFonts w:cs="Times New Roman"/>
    </w:rPr>
  </w:style>
  <w:style w:type="character" w:styleId="47">
    <w:name w:val="FollowedHyperlink"/>
    <w:basedOn w:val="44"/>
    <w:qFormat/>
    <w:uiPriority w:val="99"/>
    <w:rPr>
      <w:rFonts w:cs="Times New Roman"/>
      <w:color w:val="800080"/>
      <w:u w:val="single"/>
    </w:rPr>
  </w:style>
  <w:style w:type="character" w:styleId="48">
    <w:name w:val="Emphasis"/>
    <w:basedOn w:val="44"/>
    <w:qFormat/>
    <w:uiPriority w:val="99"/>
    <w:rPr>
      <w:rFonts w:cs="Times New Roman"/>
      <w:i/>
    </w:rPr>
  </w:style>
  <w:style w:type="character" w:styleId="49">
    <w:name w:val="Hyperlink"/>
    <w:basedOn w:val="44"/>
    <w:qFormat/>
    <w:uiPriority w:val="99"/>
    <w:rPr>
      <w:rFonts w:cs="Times New Roman"/>
      <w:color w:val="0000FF"/>
      <w:u w:val="single"/>
    </w:rPr>
  </w:style>
  <w:style w:type="character" w:styleId="50">
    <w:name w:val="annotation reference"/>
    <w:basedOn w:val="44"/>
    <w:semiHidden/>
    <w:qFormat/>
    <w:uiPriority w:val="99"/>
    <w:rPr>
      <w:rFonts w:cs="Times New Roman"/>
      <w:sz w:val="21"/>
    </w:rPr>
  </w:style>
  <w:style w:type="character" w:styleId="51">
    <w:name w:val="footnote reference"/>
    <w:basedOn w:val="44"/>
    <w:qFormat/>
    <w:uiPriority w:val="99"/>
    <w:rPr>
      <w:rFonts w:cs="Times New Roman"/>
      <w:vertAlign w:val="superscript"/>
    </w:rPr>
  </w:style>
  <w:style w:type="paragraph" w:customStyle="1" w:styleId="52">
    <w:name w:val="首行缩进"/>
    <w:basedOn w:val="1"/>
    <w:qFormat/>
    <w:uiPriority w:val="0"/>
    <w:pPr>
      <w:ind w:firstLine="480" w:firstLineChars="200"/>
    </w:pPr>
    <w:rPr>
      <w:szCs w:val="20"/>
      <w:lang w:val="zh-CN"/>
    </w:rPr>
  </w:style>
  <w:style w:type="character" w:customStyle="1" w:styleId="53">
    <w:name w:val="标题 1 Char"/>
    <w:basedOn w:val="44"/>
    <w:link w:val="3"/>
    <w:qFormat/>
    <w:locked/>
    <w:uiPriority w:val="99"/>
    <w:rPr>
      <w:rFonts w:ascii="Times New Roman" w:hAnsi="Times New Roman" w:eastAsia="宋体" w:cs="Times New Roman"/>
      <w:b/>
      <w:bCs/>
      <w:kern w:val="44"/>
      <w:sz w:val="44"/>
      <w:szCs w:val="44"/>
    </w:rPr>
  </w:style>
  <w:style w:type="character" w:customStyle="1" w:styleId="54">
    <w:name w:val="标题 2 Char"/>
    <w:basedOn w:val="44"/>
    <w:link w:val="4"/>
    <w:qFormat/>
    <w:locked/>
    <w:uiPriority w:val="99"/>
    <w:rPr>
      <w:rFonts w:ascii="Arial" w:hAnsi="Arial" w:eastAsia="黑体" w:cs="Times New Roman"/>
      <w:bCs/>
      <w:sz w:val="32"/>
      <w:szCs w:val="32"/>
    </w:rPr>
  </w:style>
  <w:style w:type="character" w:customStyle="1" w:styleId="55">
    <w:name w:val="标题 3 Char"/>
    <w:basedOn w:val="44"/>
    <w:link w:val="5"/>
    <w:qFormat/>
    <w:locked/>
    <w:uiPriority w:val="99"/>
    <w:rPr>
      <w:rFonts w:ascii="Times New Roman" w:hAnsi="Times New Roman" w:eastAsia="黑体" w:cs="Times New Roman"/>
      <w:bCs/>
      <w:kern w:val="0"/>
      <w:sz w:val="32"/>
      <w:szCs w:val="32"/>
    </w:rPr>
  </w:style>
  <w:style w:type="character" w:customStyle="1" w:styleId="56">
    <w:name w:val="标题 4 Char"/>
    <w:basedOn w:val="44"/>
    <w:link w:val="6"/>
    <w:qFormat/>
    <w:locked/>
    <w:uiPriority w:val="99"/>
    <w:rPr>
      <w:rFonts w:ascii="Arial" w:hAnsi="Arial" w:eastAsia="黑体" w:cs="Times New Roman"/>
      <w:b/>
      <w:bCs/>
      <w:sz w:val="28"/>
      <w:szCs w:val="28"/>
    </w:rPr>
  </w:style>
  <w:style w:type="character" w:customStyle="1" w:styleId="57">
    <w:name w:val="标题 5 Char"/>
    <w:basedOn w:val="44"/>
    <w:link w:val="7"/>
    <w:qFormat/>
    <w:locked/>
    <w:uiPriority w:val="99"/>
    <w:rPr>
      <w:rFonts w:ascii="Calibri" w:hAnsi="Calibri" w:eastAsia="宋体" w:cs="Times New Roman"/>
      <w:b/>
      <w:sz w:val="20"/>
      <w:szCs w:val="20"/>
    </w:rPr>
  </w:style>
  <w:style w:type="character" w:customStyle="1" w:styleId="58">
    <w:name w:val="标题 6 Char"/>
    <w:basedOn w:val="44"/>
    <w:link w:val="8"/>
    <w:qFormat/>
    <w:locked/>
    <w:uiPriority w:val="99"/>
    <w:rPr>
      <w:rFonts w:ascii="Arial" w:hAnsi="Arial" w:eastAsia="黑体" w:cs="Times New Roman"/>
      <w:b/>
      <w:bCs/>
      <w:kern w:val="0"/>
      <w:sz w:val="24"/>
      <w:szCs w:val="24"/>
    </w:rPr>
  </w:style>
  <w:style w:type="character" w:customStyle="1" w:styleId="59">
    <w:name w:val="标题 7 Char"/>
    <w:basedOn w:val="44"/>
    <w:link w:val="9"/>
    <w:qFormat/>
    <w:locked/>
    <w:uiPriority w:val="99"/>
    <w:rPr>
      <w:rFonts w:ascii="Times New Roman" w:hAnsi="Times New Roman" w:eastAsia="宋体" w:cs="Times New Roman"/>
      <w:b/>
      <w:bCs/>
      <w:kern w:val="0"/>
      <w:sz w:val="24"/>
      <w:szCs w:val="24"/>
    </w:rPr>
  </w:style>
  <w:style w:type="character" w:customStyle="1" w:styleId="60">
    <w:name w:val="标题 8 Char"/>
    <w:basedOn w:val="44"/>
    <w:link w:val="10"/>
    <w:qFormat/>
    <w:locked/>
    <w:uiPriority w:val="99"/>
    <w:rPr>
      <w:rFonts w:ascii="Arial" w:hAnsi="Arial" w:eastAsia="黑体" w:cs="Times New Roman"/>
      <w:kern w:val="0"/>
      <w:sz w:val="24"/>
      <w:szCs w:val="24"/>
    </w:rPr>
  </w:style>
  <w:style w:type="character" w:customStyle="1" w:styleId="61">
    <w:name w:val="标题 9 Char"/>
    <w:basedOn w:val="44"/>
    <w:link w:val="11"/>
    <w:qFormat/>
    <w:locked/>
    <w:uiPriority w:val="99"/>
    <w:rPr>
      <w:rFonts w:ascii="Arial" w:hAnsi="Arial" w:eastAsia="黑体" w:cs="Times New Roman"/>
      <w:kern w:val="0"/>
      <w:sz w:val="21"/>
      <w:szCs w:val="21"/>
    </w:rPr>
  </w:style>
  <w:style w:type="character" w:customStyle="1" w:styleId="62">
    <w:name w:val="Comment Text Char"/>
    <w:basedOn w:val="44"/>
    <w:semiHidden/>
    <w:qFormat/>
    <w:locked/>
    <w:uiPriority w:val="99"/>
    <w:rPr>
      <w:rFonts w:eastAsia="宋体"/>
      <w:sz w:val="24"/>
    </w:rPr>
  </w:style>
  <w:style w:type="character" w:customStyle="1" w:styleId="63">
    <w:name w:val="Comment Subject Char"/>
    <w:basedOn w:val="62"/>
    <w:semiHidden/>
    <w:qFormat/>
    <w:locked/>
    <w:uiPriority w:val="99"/>
    <w:rPr>
      <w:rFonts w:eastAsia="宋体"/>
      <w:b/>
      <w:sz w:val="24"/>
    </w:rPr>
  </w:style>
  <w:style w:type="character" w:customStyle="1" w:styleId="64">
    <w:name w:val="正文文本 Char3"/>
    <w:basedOn w:val="44"/>
    <w:link w:val="18"/>
    <w:semiHidden/>
    <w:qFormat/>
    <w:locked/>
    <w:uiPriority w:val="99"/>
    <w:rPr>
      <w:rFonts w:ascii="Times New Roman" w:hAnsi="Times New Roman" w:eastAsia="宋体" w:cs="Times New Roman"/>
      <w:sz w:val="24"/>
      <w:szCs w:val="24"/>
    </w:rPr>
  </w:style>
  <w:style w:type="character" w:customStyle="1" w:styleId="65">
    <w:name w:val="Body Text First Indent Char"/>
    <w:basedOn w:val="64"/>
    <w:qFormat/>
    <w:locked/>
    <w:uiPriority w:val="99"/>
    <w:rPr>
      <w:rFonts w:ascii="宋体" w:hAnsi="Courier New" w:eastAsia="宋体" w:cs="Times New Roman"/>
      <w:kern w:val="2"/>
      <w:sz w:val="24"/>
      <w:szCs w:val="24"/>
      <w:lang w:val="en-US" w:eastAsia="zh-CN"/>
    </w:rPr>
  </w:style>
  <w:style w:type="character" w:customStyle="1" w:styleId="66">
    <w:name w:val="Document Map Char"/>
    <w:basedOn w:val="44"/>
    <w:semiHidden/>
    <w:qFormat/>
    <w:locked/>
    <w:uiPriority w:val="99"/>
    <w:rPr>
      <w:rFonts w:eastAsia="宋体"/>
      <w:sz w:val="24"/>
      <w:shd w:val="clear" w:color="auto" w:fill="000080"/>
    </w:rPr>
  </w:style>
  <w:style w:type="character" w:customStyle="1" w:styleId="67">
    <w:name w:val="Body Text 3 Char"/>
    <w:basedOn w:val="44"/>
    <w:qFormat/>
    <w:locked/>
    <w:uiPriority w:val="99"/>
    <w:rPr>
      <w:rFonts w:ascii="宋体" w:eastAsia="宋体"/>
      <w:sz w:val="24"/>
    </w:rPr>
  </w:style>
  <w:style w:type="character" w:customStyle="1" w:styleId="68">
    <w:name w:val="Body Text Indent Char"/>
    <w:basedOn w:val="44"/>
    <w:qFormat/>
    <w:locked/>
    <w:uiPriority w:val="99"/>
    <w:rPr>
      <w:rFonts w:eastAsia="宋体"/>
      <w:sz w:val="24"/>
    </w:rPr>
  </w:style>
  <w:style w:type="character" w:customStyle="1" w:styleId="69">
    <w:name w:val="Plain Text Char"/>
    <w:basedOn w:val="44"/>
    <w:qFormat/>
    <w:locked/>
    <w:uiPriority w:val="99"/>
    <w:rPr>
      <w:rFonts w:ascii="宋体" w:hAnsi="Courier New" w:eastAsia="宋体"/>
    </w:rPr>
  </w:style>
  <w:style w:type="character" w:customStyle="1" w:styleId="70">
    <w:name w:val="Date Char"/>
    <w:basedOn w:val="44"/>
    <w:qFormat/>
    <w:locked/>
    <w:uiPriority w:val="99"/>
    <w:rPr>
      <w:rFonts w:eastAsia="宋体"/>
      <w:sz w:val="24"/>
    </w:rPr>
  </w:style>
  <w:style w:type="character" w:customStyle="1" w:styleId="71">
    <w:name w:val="正文文本缩进 2 Char"/>
    <w:basedOn w:val="44"/>
    <w:link w:val="26"/>
    <w:qFormat/>
    <w:locked/>
    <w:uiPriority w:val="99"/>
    <w:rPr>
      <w:rFonts w:ascii="Times New Roman" w:hAnsi="Times New Roman" w:eastAsia="宋体" w:cs="Times New Roman"/>
      <w:sz w:val="24"/>
      <w:szCs w:val="24"/>
    </w:rPr>
  </w:style>
  <w:style w:type="character" w:customStyle="1" w:styleId="72">
    <w:name w:val="Balloon Text Char"/>
    <w:basedOn w:val="44"/>
    <w:semiHidden/>
    <w:qFormat/>
    <w:locked/>
    <w:uiPriority w:val="99"/>
    <w:rPr>
      <w:rFonts w:eastAsia="宋体"/>
      <w:sz w:val="18"/>
    </w:rPr>
  </w:style>
  <w:style w:type="character" w:customStyle="1" w:styleId="73">
    <w:name w:val="Footer Char"/>
    <w:basedOn w:val="44"/>
    <w:qFormat/>
    <w:locked/>
    <w:uiPriority w:val="99"/>
    <w:rPr>
      <w:rFonts w:eastAsia="宋体"/>
      <w:sz w:val="18"/>
    </w:rPr>
  </w:style>
  <w:style w:type="character" w:customStyle="1" w:styleId="74">
    <w:name w:val="Header Char"/>
    <w:basedOn w:val="44"/>
    <w:qFormat/>
    <w:locked/>
    <w:uiPriority w:val="99"/>
    <w:rPr>
      <w:rFonts w:eastAsia="宋体"/>
      <w:sz w:val="18"/>
    </w:rPr>
  </w:style>
  <w:style w:type="character" w:customStyle="1" w:styleId="75">
    <w:name w:val="Subtitle Char"/>
    <w:basedOn w:val="44"/>
    <w:qFormat/>
    <w:locked/>
    <w:uiPriority w:val="99"/>
    <w:rPr>
      <w:rFonts w:ascii="Cambria" w:hAnsi="Cambria"/>
      <w:b/>
      <w:kern w:val="28"/>
      <w:sz w:val="32"/>
    </w:rPr>
  </w:style>
  <w:style w:type="character" w:customStyle="1" w:styleId="76">
    <w:name w:val="Body Text Indent 3 Char"/>
    <w:basedOn w:val="44"/>
    <w:qFormat/>
    <w:locked/>
    <w:uiPriority w:val="99"/>
    <w:rPr>
      <w:rFonts w:eastAsia="宋体"/>
      <w:sz w:val="16"/>
    </w:rPr>
  </w:style>
  <w:style w:type="character" w:customStyle="1" w:styleId="77">
    <w:name w:val="Title Char"/>
    <w:basedOn w:val="44"/>
    <w:qFormat/>
    <w:locked/>
    <w:uiPriority w:val="99"/>
    <w:rPr>
      <w:rFonts w:ascii="Arial" w:hAnsi="Arial" w:eastAsia="宋体"/>
      <w:b/>
      <w:sz w:val="32"/>
    </w:rPr>
  </w:style>
  <w:style w:type="character" w:customStyle="1" w:styleId="78">
    <w:name w:val="文档结构图 Char2"/>
    <w:qFormat/>
    <w:uiPriority w:val="99"/>
    <w:rPr>
      <w:rFonts w:ascii="宋体"/>
      <w:kern w:val="2"/>
      <w:sz w:val="18"/>
    </w:rPr>
  </w:style>
  <w:style w:type="character" w:customStyle="1" w:styleId="79">
    <w:name w:val="副标题 Char"/>
    <w:qFormat/>
    <w:uiPriority w:val="99"/>
    <w:rPr>
      <w:rFonts w:ascii="Cambria" w:hAnsi="Cambria"/>
      <w:b/>
      <w:kern w:val="28"/>
      <w:sz w:val="32"/>
    </w:rPr>
  </w:style>
  <w:style w:type="character" w:customStyle="1" w:styleId="80">
    <w:name w:val="Char Char20"/>
    <w:qFormat/>
    <w:locked/>
    <w:uiPriority w:val="99"/>
    <w:rPr>
      <w:rFonts w:ascii="黑体" w:hAnsi="宋体" w:eastAsia="黑体"/>
      <w:kern w:val="2"/>
      <w:sz w:val="28"/>
      <w:lang w:val="en-US" w:eastAsia="zh-CN"/>
    </w:rPr>
  </w:style>
  <w:style w:type="character" w:customStyle="1" w:styleId="81">
    <w:name w:val="引用 Char"/>
    <w:qFormat/>
    <w:uiPriority w:val="99"/>
    <w:rPr>
      <w:i/>
      <w:color w:val="000000"/>
      <w:sz w:val="24"/>
    </w:rPr>
  </w:style>
  <w:style w:type="character" w:customStyle="1" w:styleId="82">
    <w:name w:val="页眉 Char1"/>
    <w:qFormat/>
    <w:uiPriority w:val="99"/>
    <w:rPr>
      <w:kern w:val="2"/>
      <w:sz w:val="18"/>
    </w:rPr>
  </w:style>
  <w:style w:type="character" w:customStyle="1" w:styleId="83">
    <w:name w:val="批注文字 Char1"/>
    <w:qFormat/>
    <w:uiPriority w:val="99"/>
    <w:rPr>
      <w:kern w:val="2"/>
      <w:sz w:val="24"/>
    </w:rPr>
  </w:style>
  <w:style w:type="character" w:customStyle="1" w:styleId="84">
    <w:name w:val="font161"/>
    <w:qFormat/>
    <w:uiPriority w:val="99"/>
    <w:rPr>
      <w:b/>
      <w:sz w:val="32"/>
    </w:rPr>
  </w:style>
  <w:style w:type="character" w:customStyle="1" w:styleId="85">
    <w:name w:val="标题5 Char Char"/>
    <w:link w:val="86"/>
    <w:qFormat/>
    <w:locked/>
    <w:uiPriority w:val="99"/>
    <w:rPr>
      <w:rFonts w:ascii="Arial" w:hAnsi="Arial"/>
      <w:b/>
      <w:sz w:val="32"/>
    </w:rPr>
  </w:style>
  <w:style w:type="paragraph" w:customStyle="1" w:styleId="86">
    <w:name w:val="标题5"/>
    <w:basedOn w:val="5"/>
    <w:link w:val="85"/>
    <w:qFormat/>
    <w:uiPriority w:val="99"/>
    <w:pPr>
      <w:spacing w:before="260" w:after="260" w:line="413" w:lineRule="auto"/>
    </w:pPr>
    <w:rPr>
      <w:rFonts w:ascii="Arial" w:hAnsi="Arial" w:eastAsia="宋体"/>
      <w:b/>
      <w:bCs w:val="0"/>
      <w:sz w:val="32"/>
      <w:szCs w:val="20"/>
    </w:rPr>
  </w:style>
  <w:style w:type="character" w:customStyle="1" w:styleId="87">
    <w:name w:val="标题4 Char Char"/>
    <w:link w:val="88"/>
    <w:qFormat/>
    <w:locked/>
    <w:uiPriority w:val="99"/>
    <w:rPr>
      <w:rFonts w:ascii="Arial" w:hAnsi="Arial"/>
      <w:b/>
      <w:sz w:val="32"/>
    </w:rPr>
  </w:style>
  <w:style w:type="paragraph" w:customStyle="1" w:styleId="88">
    <w:name w:val="标题4"/>
    <w:basedOn w:val="4"/>
    <w:next w:val="20"/>
    <w:link w:val="87"/>
    <w:qFormat/>
    <w:uiPriority w:val="99"/>
    <w:pPr>
      <w:spacing w:before="260" w:after="260" w:line="413" w:lineRule="auto"/>
    </w:pPr>
    <w:rPr>
      <w:rFonts w:eastAsia="宋体"/>
      <w:b/>
      <w:bCs w:val="0"/>
      <w:kern w:val="0"/>
      <w:szCs w:val="20"/>
    </w:rPr>
  </w:style>
  <w:style w:type="character" w:customStyle="1" w:styleId="89">
    <w:name w:val="Char Char13"/>
    <w:qFormat/>
    <w:locked/>
    <w:uiPriority w:val="99"/>
    <w:rPr>
      <w:rFonts w:eastAsia="宋体"/>
      <w:b/>
      <w:kern w:val="2"/>
      <w:sz w:val="24"/>
      <w:lang w:val="en-US" w:eastAsia="zh-CN"/>
    </w:rPr>
  </w:style>
  <w:style w:type="character" w:customStyle="1" w:styleId="90">
    <w:name w:val="批注框文本 Char1"/>
    <w:qFormat/>
    <w:uiPriority w:val="99"/>
    <w:rPr>
      <w:kern w:val="2"/>
      <w:sz w:val="18"/>
    </w:rPr>
  </w:style>
  <w:style w:type="character" w:customStyle="1" w:styleId="91">
    <w:name w:val="日期 Char1"/>
    <w:qFormat/>
    <w:uiPriority w:val="99"/>
    <w:rPr>
      <w:kern w:val="2"/>
      <w:sz w:val="22"/>
    </w:rPr>
  </w:style>
  <w:style w:type="character" w:customStyle="1" w:styleId="92">
    <w:name w:val="文档结构图 Char1"/>
    <w:qFormat/>
    <w:uiPriority w:val="99"/>
    <w:rPr>
      <w:rFonts w:ascii="宋体"/>
      <w:kern w:val="2"/>
      <w:sz w:val="18"/>
    </w:rPr>
  </w:style>
  <w:style w:type="character" w:customStyle="1" w:styleId="93">
    <w:name w:val="正文文本 Char1"/>
    <w:qFormat/>
    <w:uiPriority w:val="99"/>
    <w:rPr>
      <w:kern w:val="2"/>
      <w:sz w:val="24"/>
    </w:rPr>
  </w:style>
  <w:style w:type="character" w:customStyle="1" w:styleId="94">
    <w:name w:val="Char Char1"/>
    <w:qFormat/>
    <w:uiPriority w:val="99"/>
    <w:rPr>
      <w:rFonts w:ascii="宋体" w:hAnsi="Courier New" w:eastAsia="宋体"/>
      <w:kern w:val="2"/>
      <w:sz w:val="24"/>
      <w:lang w:val="en-US" w:eastAsia="zh-CN"/>
    </w:rPr>
  </w:style>
  <w:style w:type="character" w:customStyle="1" w:styleId="95">
    <w:name w:val="Intense Quote Char"/>
    <w:qFormat/>
    <w:locked/>
    <w:uiPriority w:val="99"/>
    <w:rPr>
      <w:b/>
      <w:i/>
      <w:color w:val="4F81BD"/>
      <w:sz w:val="22"/>
    </w:rPr>
  </w:style>
  <w:style w:type="character" w:customStyle="1" w:styleId="96">
    <w:name w:val="明显引用 Char1"/>
    <w:qFormat/>
    <w:uiPriority w:val="99"/>
    <w:rPr>
      <w:b/>
      <w:i/>
      <w:color w:val="4F81BD"/>
      <w:kern w:val="2"/>
      <w:sz w:val="24"/>
    </w:rPr>
  </w:style>
  <w:style w:type="character" w:customStyle="1" w:styleId="97">
    <w:name w:val="引用 Char1"/>
    <w:qFormat/>
    <w:uiPriority w:val="99"/>
    <w:rPr>
      <w:i/>
      <w:color w:val="000000"/>
      <w:kern w:val="2"/>
      <w:sz w:val="24"/>
    </w:rPr>
  </w:style>
  <w:style w:type="character" w:customStyle="1" w:styleId="98">
    <w:name w:val="批注文字 Char Char"/>
    <w:qFormat/>
    <w:uiPriority w:val="99"/>
    <w:rPr>
      <w:rFonts w:ascii="宋体" w:hAnsi="Times New Roman" w:eastAsia="宋体"/>
      <w:sz w:val="20"/>
    </w:rPr>
  </w:style>
  <w:style w:type="character" w:customStyle="1" w:styleId="99">
    <w:name w:val="标题 Char1"/>
    <w:qFormat/>
    <w:uiPriority w:val="99"/>
    <w:rPr>
      <w:rFonts w:ascii="Cambria" w:hAnsi="Cambria"/>
      <w:b/>
      <w:kern w:val="2"/>
      <w:sz w:val="32"/>
    </w:rPr>
  </w:style>
  <w:style w:type="character" w:customStyle="1" w:styleId="100">
    <w:name w:val="textcontents"/>
    <w:qFormat/>
    <w:uiPriority w:val="99"/>
  </w:style>
  <w:style w:type="character" w:customStyle="1" w:styleId="101">
    <w:name w:val="明显参考1"/>
    <w:basedOn w:val="44"/>
    <w:qFormat/>
    <w:uiPriority w:val="99"/>
    <w:rPr>
      <w:rFonts w:cs="Times New Roman"/>
      <w:b/>
      <w:smallCaps/>
      <w:color w:val="C0504D"/>
      <w:spacing w:val="5"/>
      <w:u w:val="single"/>
    </w:rPr>
  </w:style>
  <w:style w:type="character" w:customStyle="1" w:styleId="102">
    <w:name w:val="Char Char21"/>
    <w:qFormat/>
    <w:locked/>
    <w:uiPriority w:val="99"/>
    <w:rPr>
      <w:rFonts w:ascii="Arial" w:hAnsi="Arial" w:eastAsia="黑体"/>
      <w:b/>
      <w:kern w:val="2"/>
      <w:sz w:val="32"/>
      <w:lang w:val="en-US" w:eastAsia="zh-CN"/>
    </w:rPr>
  </w:style>
  <w:style w:type="character" w:customStyle="1" w:styleId="103">
    <w:name w:val="Char Char7"/>
    <w:qFormat/>
    <w:locked/>
    <w:uiPriority w:val="99"/>
    <w:rPr>
      <w:rFonts w:eastAsia="宋体"/>
      <w:kern w:val="2"/>
      <w:sz w:val="24"/>
      <w:lang w:val="en-US" w:eastAsia="zh-CN"/>
    </w:rPr>
  </w:style>
  <w:style w:type="character" w:customStyle="1" w:styleId="104">
    <w:name w:val="书籍标题1"/>
    <w:basedOn w:val="44"/>
    <w:qFormat/>
    <w:uiPriority w:val="99"/>
    <w:rPr>
      <w:rFonts w:cs="Times New Roman"/>
      <w:b/>
      <w:smallCaps/>
      <w:spacing w:val="5"/>
    </w:rPr>
  </w:style>
  <w:style w:type="character" w:customStyle="1" w:styleId="105">
    <w:name w:val="正文首行缩进 Char1"/>
    <w:qFormat/>
    <w:uiPriority w:val="99"/>
  </w:style>
  <w:style w:type="character" w:customStyle="1" w:styleId="106">
    <w:name w:val="批注主题 Char2"/>
    <w:qFormat/>
    <w:uiPriority w:val="99"/>
    <w:rPr>
      <w:b/>
      <w:kern w:val="2"/>
      <w:sz w:val="22"/>
    </w:rPr>
  </w:style>
  <w:style w:type="character" w:customStyle="1" w:styleId="107">
    <w:name w:val="明显引用 Char"/>
    <w:qFormat/>
    <w:uiPriority w:val="99"/>
    <w:rPr>
      <w:b/>
      <w:i/>
      <w:color w:val="4F81BD"/>
      <w:sz w:val="24"/>
    </w:rPr>
  </w:style>
  <w:style w:type="character" w:customStyle="1" w:styleId="108">
    <w:name w:val="不明显参考1"/>
    <w:basedOn w:val="44"/>
    <w:qFormat/>
    <w:uiPriority w:val="99"/>
    <w:rPr>
      <w:rFonts w:cs="Times New Roman"/>
      <w:smallCaps/>
      <w:color w:val="C0504D"/>
      <w:u w:val="single"/>
    </w:rPr>
  </w:style>
  <w:style w:type="character" w:customStyle="1" w:styleId="109">
    <w:name w:val="批注主题 Char1"/>
    <w:qFormat/>
    <w:uiPriority w:val="99"/>
    <w:rPr>
      <w:b/>
      <w:kern w:val="2"/>
      <w:sz w:val="24"/>
    </w:rPr>
  </w:style>
  <w:style w:type="character" w:customStyle="1" w:styleId="110">
    <w:name w:val="副标题 Char1"/>
    <w:qFormat/>
    <w:uiPriority w:val="99"/>
    <w:rPr>
      <w:rFonts w:ascii="Cambria" w:hAnsi="Cambria"/>
      <w:b/>
      <w:kern w:val="28"/>
      <w:sz w:val="32"/>
    </w:rPr>
  </w:style>
  <w:style w:type="character" w:customStyle="1" w:styleId="111">
    <w:name w:val="日期 Char2"/>
    <w:qFormat/>
    <w:uiPriority w:val="99"/>
    <w:rPr>
      <w:kern w:val="2"/>
      <w:sz w:val="22"/>
    </w:rPr>
  </w:style>
  <w:style w:type="character" w:customStyle="1" w:styleId="112">
    <w:name w:val="cur"/>
    <w:qFormat/>
    <w:uiPriority w:val="99"/>
  </w:style>
  <w:style w:type="character" w:customStyle="1" w:styleId="113">
    <w:name w:val="页脚 Char1"/>
    <w:qFormat/>
    <w:uiPriority w:val="99"/>
    <w:rPr>
      <w:kern w:val="2"/>
      <w:sz w:val="18"/>
    </w:rPr>
  </w:style>
  <w:style w:type="character" w:customStyle="1" w:styleId="114">
    <w:name w:val="批注框文本 Char2"/>
    <w:qFormat/>
    <w:uiPriority w:val="99"/>
    <w:rPr>
      <w:kern w:val="2"/>
      <w:sz w:val="18"/>
    </w:rPr>
  </w:style>
  <w:style w:type="character" w:customStyle="1" w:styleId="115">
    <w:name w:val="Char Char5"/>
    <w:qFormat/>
    <w:locked/>
    <w:uiPriority w:val="99"/>
    <w:rPr>
      <w:kern w:val="2"/>
      <w:sz w:val="24"/>
    </w:rPr>
  </w:style>
  <w:style w:type="character" w:customStyle="1" w:styleId="116">
    <w:name w:val="正文文本 Char"/>
    <w:semiHidden/>
    <w:qFormat/>
    <w:uiPriority w:val="99"/>
    <w:rPr>
      <w:rFonts w:eastAsia="宋体"/>
      <w:kern w:val="2"/>
      <w:sz w:val="24"/>
      <w:lang w:val="en-US" w:eastAsia="zh-CN"/>
    </w:rPr>
  </w:style>
  <w:style w:type="character" w:customStyle="1" w:styleId="117">
    <w:name w:val="不明显强调1"/>
    <w:basedOn w:val="44"/>
    <w:qFormat/>
    <w:uiPriority w:val="99"/>
    <w:rPr>
      <w:rFonts w:cs="Times New Roman"/>
      <w:i/>
      <w:color w:val="808080"/>
    </w:rPr>
  </w:style>
  <w:style w:type="character" w:customStyle="1" w:styleId="118">
    <w:name w:val="明显强调1"/>
    <w:basedOn w:val="44"/>
    <w:qFormat/>
    <w:uiPriority w:val="99"/>
    <w:rPr>
      <w:rFonts w:cs="Times New Roman"/>
      <w:b/>
      <w:i/>
      <w:color w:val="4F81BD"/>
    </w:rPr>
  </w:style>
  <w:style w:type="character" w:customStyle="1" w:styleId="119">
    <w:name w:val="正文文本 Char2"/>
    <w:qFormat/>
    <w:uiPriority w:val="99"/>
    <w:rPr>
      <w:kern w:val="2"/>
      <w:sz w:val="22"/>
    </w:rPr>
  </w:style>
  <w:style w:type="character" w:customStyle="1" w:styleId="120">
    <w:name w:val="Quote Char"/>
    <w:qFormat/>
    <w:locked/>
    <w:uiPriority w:val="99"/>
    <w:rPr>
      <w:i/>
      <w:color w:val="000000"/>
      <w:sz w:val="22"/>
    </w:rPr>
  </w:style>
  <w:style w:type="paragraph" w:customStyle="1" w:styleId="121">
    <w:name w:val="明显引用1"/>
    <w:basedOn w:val="1"/>
    <w:next w:val="1"/>
    <w:link w:val="123"/>
    <w:qFormat/>
    <w:uiPriority w:val="99"/>
    <w:pPr>
      <w:pBdr>
        <w:bottom w:val="single" w:color="4F81BD" w:sz="4" w:space="4"/>
      </w:pBdr>
      <w:spacing w:before="200" w:after="280"/>
      <w:ind w:left="936" w:right="936"/>
    </w:pPr>
    <w:rPr>
      <w:rFonts w:ascii="Calibri" w:hAnsi="Calibri"/>
      <w:b/>
      <w:i/>
      <w:color w:val="4F81BD"/>
      <w:kern w:val="0"/>
      <w:sz w:val="22"/>
      <w:szCs w:val="20"/>
    </w:rPr>
  </w:style>
  <w:style w:type="character" w:customStyle="1" w:styleId="122">
    <w:name w:val="Intense Quote Char1"/>
    <w:basedOn w:val="44"/>
    <w:qFormat/>
    <w:locked/>
    <w:uiPriority w:val="99"/>
    <w:rPr>
      <w:rFonts w:ascii="Times New Roman" w:hAnsi="Times New Roman" w:cs="Times New Roman"/>
      <w:b/>
      <w:bCs/>
      <w:i/>
      <w:iCs/>
      <w:color w:val="4F81BD"/>
      <w:sz w:val="24"/>
      <w:szCs w:val="24"/>
    </w:rPr>
  </w:style>
  <w:style w:type="character" w:customStyle="1" w:styleId="123">
    <w:name w:val="明显引用 Char2"/>
    <w:basedOn w:val="44"/>
    <w:link w:val="121"/>
    <w:qFormat/>
    <w:locked/>
    <w:uiPriority w:val="99"/>
    <w:rPr>
      <w:rFonts w:ascii="Times New Roman" w:hAnsi="Times New Roman" w:eastAsia="宋体" w:cs="Times New Roman"/>
      <w:b/>
      <w:bCs/>
      <w:i/>
      <w:iCs/>
      <w:color w:val="4F81BD"/>
      <w:sz w:val="24"/>
      <w:szCs w:val="24"/>
    </w:rPr>
  </w:style>
  <w:style w:type="character" w:customStyle="1" w:styleId="124">
    <w:name w:val="Body Text First Indent Char1"/>
    <w:basedOn w:val="64"/>
    <w:semiHidden/>
    <w:qFormat/>
    <w:locked/>
    <w:uiPriority w:val="99"/>
    <w:rPr>
      <w:rFonts w:ascii="Times New Roman" w:hAnsi="Times New Roman" w:eastAsia="宋体" w:cs="Times New Roman"/>
      <w:sz w:val="24"/>
      <w:szCs w:val="24"/>
    </w:rPr>
  </w:style>
  <w:style w:type="character" w:customStyle="1" w:styleId="125">
    <w:name w:val="正文首行缩进 Char"/>
    <w:basedOn w:val="64"/>
    <w:link w:val="41"/>
    <w:semiHidden/>
    <w:qFormat/>
    <w:locked/>
    <w:uiPriority w:val="99"/>
    <w:rPr>
      <w:rFonts w:ascii="Times New Roman" w:hAnsi="Times New Roman" w:eastAsia="宋体" w:cs="Times New Roman"/>
      <w:sz w:val="24"/>
      <w:szCs w:val="24"/>
    </w:rPr>
  </w:style>
  <w:style w:type="character" w:customStyle="1" w:styleId="126">
    <w:name w:val="Document Map Char1"/>
    <w:basedOn w:val="44"/>
    <w:semiHidden/>
    <w:qFormat/>
    <w:locked/>
    <w:uiPriority w:val="99"/>
    <w:rPr>
      <w:rFonts w:ascii="Times New Roman" w:hAnsi="Times New Roman" w:cs="Times New Roman"/>
      <w:sz w:val="2"/>
    </w:rPr>
  </w:style>
  <w:style w:type="character" w:customStyle="1" w:styleId="127">
    <w:name w:val="文档结构图 Char"/>
    <w:basedOn w:val="44"/>
    <w:link w:val="15"/>
    <w:semiHidden/>
    <w:qFormat/>
    <w:locked/>
    <w:uiPriority w:val="99"/>
    <w:rPr>
      <w:rFonts w:ascii="宋体" w:hAnsi="Times New Roman" w:eastAsia="宋体" w:cs="Times New Roman"/>
      <w:sz w:val="18"/>
      <w:szCs w:val="18"/>
    </w:rPr>
  </w:style>
  <w:style w:type="character" w:customStyle="1" w:styleId="128">
    <w:name w:val="Comment Text Char1"/>
    <w:basedOn w:val="44"/>
    <w:semiHidden/>
    <w:qFormat/>
    <w:locked/>
    <w:uiPriority w:val="99"/>
    <w:rPr>
      <w:rFonts w:ascii="Times New Roman" w:hAnsi="Times New Roman" w:cs="Times New Roman"/>
      <w:sz w:val="24"/>
      <w:szCs w:val="24"/>
    </w:rPr>
  </w:style>
  <w:style w:type="character" w:customStyle="1" w:styleId="129">
    <w:name w:val="批注文字 Char"/>
    <w:basedOn w:val="44"/>
    <w:link w:val="16"/>
    <w:semiHidden/>
    <w:qFormat/>
    <w:locked/>
    <w:uiPriority w:val="99"/>
    <w:rPr>
      <w:rFonts w:ascii="Times New Roman" w:hAnsi="Times New Roman" w:eastAsia="宋体" w:cs="Times New Roman"/>
      <w:sz w:val="24"/>
      <w:szCs w:val="24"/>
    </w:rPr>
  </w:style>
  <w:style w:type="character" w:customStyle="1" w:styleId="130">
    <w:name w:val="Plain Text Char1"/>
    <w:basedOn w:val="44"/>
    <w:semiHidden/>
    <w:qFormat/>
    <w:locked/>
    <w:uiPriority w:val="99"/>
    <w:rPr>
      <w:rFonts w:ascii="宋体" w:hAnsi="Courier New" w:cs="Courier New"/>
      <w:sz w:val="21"/>
      <w:szCs w:val="21"/>
    </w:rPr>
  </w:style>
  <w:style w:type="character" w:customStyle="1" w:styleId="131">
    <w:name w:val="纯文本 Char"/>
    <w:basedOn w:val="44"/>
    <w:link w:val="23"/>
    <w:semiHidden/>
    <w:qFormat/>
    <w:locked/>
    <w:uiPriority w:val="99"/>
    <w:rPr>
      <w:rFonts w:ascii="宋体" w:hAnsi="Courier New" w:eastAsia="宋体" w:cs="Courier New"/>
      <w:sz w:val="21"/>
      <w:szCs w:val="21"/>
    </w:rPr>
  </w:style>
  <w:style w:type="character" w:customStyle="1" w:styleId="132">
    <w:name w:val="Body Text Indent Char1"/>
    <w:basedOn w:val="44"/>
    <w:semiHidden/>
    <w:qFormat/>
    <w:locked/>
    <w:uiPriority w:val="99"/>
    <w:rPr>
      <w:rFonts w:ascii="Times New Roman" w:hAnsi="Times New Roman" w:cs="Times New Roman"/>
      <w:sz w:val="24"/>
      <w:szCs w:val="24"/>
    </w:rPr>
  </w:style>
  <w:style w:type="character" w:customStyle="1" w:styleId="133">
    <w:name w:val="正文文本缩进 Char"/>
    <w:basedOn w:val="44"/>
    <w:link w:val="19"/>
    <w:semiHidden/>
    <w:qFormat/>
    <w:locked/>
    <w:uiPriority w:val="99"/>
    <w:rPr>
      <w:rFonts w:ascii="Times New Roman" w:hAnsi="Times New Roman" w:eastAsia="宋体" w:cs="Times New Roman"/>
      <w:sz w:val="24"/>
      <w:szCs w:val="24"/>
    </w:rPr>
  </w:style>
  <w:style w:type="paragraph" w:customStyle="1" w:styleId="134">
    <w:name w:val="Char Char2 Char Char"/>
    <w:basedOn w:val="15"/>
    <w:qFormat/>
    <w:uiPriority w:val="99"/>
    <w:rPr>
      <w:rFonts w:ascii="Tahoma" w:hAnsi="Tahoma"/>
    </w:rPr>
  </w:style>
  <w:style w:type="character" w:customStyle="1" w:styleId="135">
    <w:name w:val="Comment Subject Char1"/>
    <w:basedOn w:val="129"/>
    <w:semiHidden/>
    <w:qFormat/>
    <w:locked/>
    <w:uiPriority w:val="99"/>
    <w:rPr>
      <w:rFonts w:ascii="Times New Roman" w:hAnsi="Times New Roman" w:eastAsia="宋体" w:cs="Times New Roman"/>
      <w:b/>
      <w:bCs/>
      <w:sz w:val="24"/>
      <w:szCs w:val="24"/>
    </w:rPr>
  </w:style>
  <w:style w:type="character" w:customStyle="1" w:styleId="136">
    <w:name w:val="批注主题 Char"/>
    <w:basedOn w:val="129"/>
    <w:link w:val="40"/>
    <w:semiHidden/>
    <w:qFormat/>
    <w:locked/>
    <w:uiPriority w:val="99"/>
    <w:rPr>
      <w:rFonts w:ascii="Times New Roman" w:hAnsi="Times New Roman" w:eastAsia="宋体" w:cs="Times New Roman"/>
      <w:b/>
      <w:bCs/>
      <w:sz w:val="24"/>
      <w:szCs w:val="24"/>
    </w:rPr>
  </w:style>
  <w:style w:type="paragraph" w:customStyle="1" w:styleId="137">
    <w:name w:val="样式 标题 3 + (中文) 黑体 小四 非加粗 段前: 7.8 磅 段后: 0 磅 行距: 固定值 20 磅"/>
    <w:basedOn w:val="5"/>
    <w:qFormat/>
    <w:uiPriority w:val="99"/>
    <w:pPr>
      <w:spacing w:before="0" w:after="0" w:line="400" w:lineRule="exact"/>
    </w:pPr>
    <w:rPr>
      <w:rFonts w:cs="宋体"/>
      <w:b/>
      <w:bCs w:val="0"/>
      <w:szCs w:val="20"/>
    </w:rPr>
  </w:style>
  <w:style w:type="character" w:customStyle="1" w:styleId="138">
    <w:name w:val="Subtitle Char1"/>
    <w:basedOn w:val="44"/>
    <w:qFormat/>
    <w:locked/>
    <w:uiPriority w:val="99"/>
    <w:rPr>
      <w:rFonts w:ascii="Cambria" w:hAnsi="Cambria" w:cs="Times New Roman"/>
      <w:b/>
      <w:bCs/>
      <w:kern w:val="28"/>
      <w:sz w:val="32"/>
      <w:szCs w:val="32"/>
    </w:rPr>
  </w:style>
  <w:style w:type="character" w:customStyle="1" w:styleId="139">
    <w:name w:val="副标题 Char2"/>
    <w:basedOn w:val="44"/>
    <w:link w:val="32"/>
    <w:qFormat/>
    <w:locked/>
    <w:uiPriority w:val="99"/>
    <w:rPr>
      <w:rFonts w:ascii="Cambria" w:hAnsi="Cambria" w:eastAsia="宋体" w:cs="Times New Roman"/>
      <w:b/>
      <w:bCs/>
      <w:kern w:val="28"/>
      <w:sz w:val="32"/>
      <w:szCs w:val="32"/>
    </w:rPr>
  </w:style>
  <w:style w:type="character" w:customStyle="1" w:styleId="140">
    <w:name w:val="Body Text Indent 3 Char1"/>
    <w:basedOn w:val="44"/>
    <w:semiHidden/>
    <w:qFormat/>
    <w:locked/>
    <w:uiPriority w:val="99"/>
    <w:rPr>
      <w:rFonts w:ascii="Times New Roman" w:hAnsi="Times New Roman" w:cs="Times New Roman"/>
      <w:sz w:val="16"/>
      <w:szCs w:val="16"/>
    </w:rPr>
  </w:style>
  <w:style w:type="character" w:customStyle="1" w:styleId="141">
    <w:name w:val="正文文本缩进 3 Char"/>
    <w:basedOn w:val="44"/>
    <w:link w:val="34"/>
    <w:semiHidden/>
    <w:qFormat/>
    <w:locked/>
    <w:uiPriority w:val="99"/>
    <w:rPr>
      <w:rFonts w:ascii="Times New Roman" w:hAnsi="Times New Roman" w:eastAsia="宋体" w:cs="Times New Roman"/>
      <w:sz w:val="16"/>
      <w:szCs w:val="16"/>
    </w:rPr>
  </w:style>
  <w:style w:type="paragraph" w:customStyle="1" w:styleId="142">
    <w:name w:val="TOC 标题1"/>
    <w:basedOn w:val="3"/>
    <w:next w:val="1"/>
    <w:qFormat/>
    <w:uiPriority w:val="99"/>
    <w:pPr>
      <w:outlineLvl w:val="9"/>
    </w:pPr>
    <w:rPr>
      <w:bCs w:val="0"/>
      <w:szCs w:val="20"/>
    </w:rPr>
  </w:style>
  <w:style w:type="character" w:customStyle="1" w:styleId="143">
    <w:name w:val="Date Char1"/>
    <w:basedOn w:val="44"/>
    <w:semiHidden/>
    <w:qFormat/>
    <w:locked/>
    <w:uiPriority w:val="99"/>
    <w:rPr>
      <w:rFonts w:ascii="Times New Roman" w:hAnsi="Times New Roman" w:cs="Times New Roman"/>
      <w:sz w:val="24"/>
      <w:szCs w:val="24"/>
    </w:rPr>
  </w:style>
  <w:style w:type="character" w:customStyle="1" w:styleId="144">
    <w:name w:val="日期 Char"/>
    <w:basedOn w:val="44"/>
    <w:link w:val="25"/>
    <w:semiHidden/>
    <w:qFormat/>
    <w:locked/>
    <w:uiPriority w:val="99"/>
    <w:rPr>
      <w:rFonts w:ascii="Times New Roman" w:hAnsi="Times New Roman" w:eastAsia="宋体" w:cs="Times New Roman"/>
      <w:sz w:val="24"/>
      <w:szCs w:val="24"/>
    </w:rPr>
  </w:style>
  <w:style w:type="character" w:customStyle="1" w:styleId="145">
    <w:name w:val="Title Char1"/>
    <w:basedOn w:val="44"/>
    <w:qFormat/>
    <w:locked/>
    <w:uiPriority w:val="99"/>
    <w:rPr>
      <w:rFonts w:ascii="Cambria" w:hAnsi="Cambria" w:cs="Times New Roman"/>
      <w:b/>
      <w:bCs/>
      <w:sz w:val="32"/>
      <w:szCs w:val="32"/>
    </w:rPr>
  </w:style>
  <w:style w:type="character" w:customStyle="1" w:styleId="146">
    <w:name w:val="标题 Char"/>
    <w:basedOn w:val="44"/>
    <w:link w:val="39"/>
    <w:qFormat/>
    <w:locked/>
    <w:uiPriority w:val="99"/>
    <w:rPr>
      <w:rFonts w:ascii="Cambria" w:hAnsi="Cambria" w:eastAsia="宋体" w:cs="Times New Roman"/>
      <w:b/>
      <w:bCs/>
      <w:sz w:val="32"/>
      <w:szCs w:val="32"/>
    </w:rPr>
  </w:style>
  <w:style w:type="character" w:customStyle="1" w:styleId="147">
    <w:name w:val="Balloon Text Char1"/>
    <w:basedOn w:val="44"/>
    <w:semiHidden/>
    <w:qFormat/>
    <w:locked/>
    <w:uiPriority w:val="99"/>
    <w:rPr>
      <w:rFonts w:ascii="Times New Roman" w:hAnsi="Times New Roman" w:cs="Times New Roman"/>
      <w:sz w:val="2"/>
    </w:rPr>
  </w:style>
  <w:style w:type="character" w:customStyle="1" w:styleId="148">
    <w:name w:val="批注框文本 Char"/>
    <w:basedOn w:val="44"/>
    <w:link w:val="27"/>
    <w:semiHidden/>
    <w:qFormat/>
    <w:locked/>
    <w:uiPriority w:val="99"/>
    <w:rPr>
      <w:rFonts w:ascii="Times New Roman" w:hAnsi="Times New Roman" w:eastAsia="宋体" w:cs="Times New Roman"/>
      <w:sz w:val="18"/>
      <w:szCs w:val="18"/>
    </w:rPr>
  </w:style>
  <w:style w:type="character" w:customStyle="1" w:styleId="149">
    <w:name w:val="Body Text 3 Char1"/>
    <w:basedOn w:val="44"/>
    <w:semiHidden/>
    <w:qFormat/>
    <w:locked/>
    <w:uiPriority w:val="99"/>
    <w:rPr>
      <w:rFonts w:ascii="Times New Roman" w:hAnsi="Times New Roman" w:cs="Times New Roman"/>
      <w:sz w:val="16"/>
      <w:szCs w:val="16"/>
    </w:rPr>
  </w:style>
  <w:style w:type="character" w:customStyle="1" w:styleId="150">
    <w:name w:val="正文文本 3 Char"/>
    <w:basedOn w:val="44"/>
    <w:link w:val="17"/>
    <w:semiHidden/>
    <w:qFormat/>
    <w:locked/>
    <w:uiPriority w:val="99"/>
    <w:rPr>
      <w:rFonts w:ascii="Times New Roman" w:hAnsi="Times New Roman" w:eastAsia="宋体" w:cs="Times New Roman"/>
      <w:sz w:val="16"/>
      <w:szCs w:val="16"/>
    </w:rPr>
  </w:style>
  <w:style w:type="character" w:customStyle="1" w:styleId="151">
    <w:name w:val="Footer Char1"/>
    <w:basedOn w:val="44"/>
    <w:semiHidden/>
    <w:qFormat/>
    <w:locked/>
    <w:uiPriority w:val="99"/>
    <w:rPr>
      <w:rFonts w:ascii="Times New Roman" w:hAnsi="Times New Roman" w:cs="Times New Roman"/>
      <w:sz w:val="18"/>
      <w:szCs w:val="18"/>
    </w:rPr>
  </w:style>
  <w:style w:type="character" w:customStyle="1" w:styleId="152">
    <w:name w:val="页脚 Char"/>
    <w:basedOn w:val="44"/>
    <w:link w:val="28"/>
    <w:qFormat/>
    <w:locked/>
    <w:uiPriority w:val="99"/>
    <w:rPr>
      <w:rFonts w:ascii="Times New Roman" w:hAnsi="Times New Roman" w:eastAsia="宋体" w:cs="Times New Roman"/>
      <w:sz w:val="18"/>
      <w:szCs w:val="18"/>
    </w:rPr>
  </w:style>
  <w:style w:type="character" w:customStyle="1" w:styleId="153">
    <w:name w:val="Header Char1"/>
    <w:basedOn w:val="44"/>
    <w:semiHidden/>
    <w:qFormat/>
    <w:locked/>
    <w:uiPriority w:val="99"/>
    <w:rPr>
      <w:rFonts w:ascii="Times New Roman" w:hAnsi="Times New Roman" w:cs="Times New Roman"/>
      <w:sz w:val="18"/>
      <w:szCs w:val="18"/>
    </w:rPr>
  </w:style>
  <w:style w:type="character" w:customStyle="1" w:styleId="154">
    <w:name w:val="页眉 Char"/>
    <w:basedOn w:val="44"/>
    <w:link w:val="29"/>
    <w:semiHidden/>
    <w:qFormat/>
    <w:locked/>
    <w:uiPriority w:val="99"/>
    <w:rPr>
      <w:rFonts w:ascii="Times New Roman" w:hAnsi="Times New Roman" w:eastAsia="宋体" w:cs="Times New Roman"/>
      <w:sz w:val="18"/>
      <w:szCs w:val="18"/>
    </w:rPr>
  </w:style>
  <w:style w:type="paragraph" w:customStyle="1" w:styleId="155">
    <w:name w:val="修订1"/>
    <w:qFormat/>
    <w:uiPriority w:val="99"/>
    <w:rPr>
      <w:rFonts w:ascii="Times New Roman" w:hAnsi="Times New Roman" w:eastAsia="宋体" w:cs="Times New Roman"/>
      <w:kern w:val="2"/>
      <w:sz w:val="21"/>
      <w:szCs w:val="24"/>
      <w:lang w:val="en-US" w:eastAsia="zh-CN" w:bidi="ar-SA"/>
    </w:rPr>
  </w:style>
  <w:style w:type="paragraph" w:customStyle="1" w:styleId="156">
    <w:name w:val="Char Char2"/>
    <w:basedOn w:val="15"/>
    <w:qFormat/>
    <w:uiPriority w:val="99"/>
    <w:rPr>
      <w:rFonts w:ascii="Tahoma" w:hAnsi="Tahoma"/>
    </w:rPr>
  </w:style>
  <w:style w:type="paragraph" w:customStyle="1" w:styleId="157">
    <w:name w:val="默认段落字体 Para Char Char Char Char Char Char Char Char Char1 Char Char Char Char Char Char Char"/>
    <w:basedOn w:val="15"/>
    <w:qFormat/>
    <w:uiPriority w:val="99"/>
    <w:rPr>
      <w:rFonts w:ascii="Tahoma" w:hAnsi="Tahoma"/>
    </w:rPr>
  </w:style>
  <w:style w:type="paragraph" w:customStyle="1" w:styleId="158">
    <w:name w:val="表格"/>
    <w:basedOn w:val="1"/>
    <w:qFormat/>
    <w:uiPriority w:val="99"/>
    <w:pPr>
      <w:jc w:val="center"/>
      <w:textAlignment w:val="center"/>
    </w:pPr>
    <w:rPr>
      <w:rFonts w:ascii="华文细黑" w:hAnsi="华文细黑"/>
      <w:kern w:val="0"/>
      <w:szCs w:val="20"/>
    </w:rPr>
  </w:style>
  <w:style w:type="paragraph" w:customStyle="1" w:styleId="159">
    <w:name w:val="1"/>
    <w:basedOn w:val="1"/>
    <w:next w:val="1"/>
    <w:qFormat/>
    <w:uiPriority w:val="99"/>
  </w:style>
  <w:style w:type="paragraph" w:customStyle="1" w:styleId="160">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161">
    <w:name w:val="引用1"/>
    <w:basedOn w:val="1"/>
    <w:next w:val="1"/>
    <w:link w:val="163"/>
    <w:qFormat/>
    <w:uiPriority w:val="99"/>
    <w:rPr>
      <w:rFonts w:ascii="Calibri" w:hAnsi="Calibri"/>
      <w:i/>
      <w:color w:val="000000"/>
      <w:kern w:val="0"/>
      <w:sz w:val="22"/>
      <w:szCs w:val="20"/>
    </w:rPr>
  </w:style>
  <w:style w:type="character" w:customStyle="1" w:styleId="162">
    <w:name w:val="Quote Char1"/>
    <w:basedOn w:val="44"/>
    <w:qFormat/>
    <w:locked/>
    <w:uiPriority w:val="99"/>
    <w:rPr>
      <w:rFonts w:ascii="Times New Roman" w:hAnsi="Times New Roman" w:cs="Times New Roman"/>
      <w:i/>
      <w:iCs/>
      <w:color w:val="000000"/>
      <w:sz w:val="24"/>
      <w:szCs w:val="24"/>
    </w:rPr>
  </w:style>
  <w:style w:type="character" w:customStyle="1" w:styleId="163">
    <w:name w:val="引用 Char2"/>
    <w:basedOn w:val="44"/>
    <w:link w:val="161"/>
    <w:qFormat/>
    <w:locked/>
    <w:uiPriority w:val="99"/>
    <w:rPr>
      <w:rFonts w:ascii="Times New Roman" w:hAnsi="Times New Roman" w:eastAsia="宋体" w:cs="Times New Roman"/>
      <w:i/>
      <w:iCs/>
      <w:color w:val="000000"/>
      <w:sz w:val="24"/>
      <w:szCs w:val="24"/>
    </w:rPr>
  </w:style>
  <w:style w:type="paragraph" w:customStyle="1" w:styleId="164">
    <w:name w:val="列出段落1"/>
    <w:basedOn w:val="1"/>
    <w:qFormat/>
    <w:uiPriority w:val="99"/>
    <w:pPr>
      <w:ind w:firstLine="420" w:firstLineChars="200"/>
    </w:pPr>
  </w:style>
  <w:style w:type="paragraph" w:customStyle="1" w:styleId="165">
    <w:name w:val="样式2"/>
    <w:basedOn w:val="5"/>
    <w:qFormat/>
    <w:uiPriority w:val="99"/>
    <w:pPr>
      <w:spacing w:before="260" w:after="260" w:line="415" w:lineRule="auto"/>
      <w:ind w:firstLine="137" w:firstLineChars="49"/>
    </w:pPr>
    <w:rPr>
      <w:rFonts w:ascii="黑体" w:hAnsi="宋体"/>
      <w:bCs w:val="0"/>
      <w:i/>
      <w:kern w:val="2"/>
      <w:sz w:val="28"/>
      <w:szCs w:val="20"/>
    </w:rPr>
  </w:style>
  <w:style w:type="paragraph" w:customStyle="1" w:styleId="166">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7">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68">
    <w:name w:val="Char"/>
    <w:basedOn w:val="1"/>
    <w:qFormat/>
    <w:uiPriority w:val="99"/>
    <w:pPr>
      <w:tabs>
        <w:tab w:val="left" w:pos="360"/>
      </w:tabs>
    </w:pPr>
    <w:rPr>
      <w:sz w:val="24"/>
    </w:rPr>
  </w:style>
  <w:style w:type="paragraph" w:customStyle="1" w:styleId="169">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17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bCs w:val="0"/>
      <w:sz w:val="28"/>
      <w:szCs w:val="20"/>
    </w:rPr>
  </w:style>
  <w:style w:type="paragraph" w:customStyle="1" w:styleId="171">
    <w:name w:val="表格文字"/>
    <w:basedOn w:val="1"/>
    <w:qFormat/>
    <w:uiPriority w:val="99"/>
    <w:pPr>
      <w:adjustRightInd w:val="0"/>
      <w:spacing w:line="420" w:lineRule="atLeast"/>
      <w:jc w:val="left"/>
      <w:textAlignment w:val="baseline"/>
    </w:pPr>
    <w:rPr>
      <w:kern w:val="0"/>
      <w:szCs w:val="20"/>
    </w:rPr>
  </w:style>
  <w:style w:type="paragraph" w:customStyle="1" w:styleId="172">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宋体"/>
      <w:b w:val="0"/>
      <w:bCs w:val="0"/>
      <w:sz w:val="32"/>
      <w:szCs w:val="20"/>
    </w:rPr>
  </w:style>
  <w:style w:type="paragraph" w:customStyle="1" w:styleId="173">
    <w:name w:val="p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4">
    <w:name w:val="样式1"/>
    <w:basedOn w:val="1"/>
    <w:next w:val="6"/>
    <w:qFormat/>
    <w:uiPriority w:val="99"/>
    <w:pPr>
      <w:spacing w:line="360" w:lineRule="auto"/>
      <w:ind w:firstLine="420" w:firstLineChars="200"/>
    </w:pPr>
    <w:rPr>
      <w:rFonts w:ascii="宋体" w:hAnsi="宋体"/>
      <w:szCs w:val="21"/>
    </w:rPr>
  </w:style>
  <w:style w:type="paragraph" w:customStyle="1" w:styleId="175">
    <w:name w:val="Char1"/>
    <w:basedOn w:val="1"/>
    <w:qFormat/>
    <w:uiPriority w:val="99"/>
    <w:pPr>
      <w:tabs>
        <w:tab w:val="left" w:pos="360"/>
      </w:tabs>
    </w:pPr>
    <w:rPr>
      <w:sz w:val="24"/>
    </w:rPr>
  </w:style>
  <w:style w:type="paragraph" w:customStyle="1" w:styleId="176">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177">
    <w:name w:val="p15"/>
    <w:basedOn w:val="1"/>
    <w:qFormat/>
    <w:uiPriority w:val="99"/>
    <w:pPr>
      <w:widowControl/>
      <w:spacing w:before="100" w:beforeAutospacing="1" w:after="100" w:afterAutospacing="1"/>
      <w:jc w:val="left"/>
    </w:pPr>
    <w:rPr>
      <w:rFonts w:ascii="宋体" w:hAnsi="宋体" w:cs="宋体"/>
      <w:kern w:val="0"/>
      <w:sz w:val="24"/>
      <w:szCs w:val="21"/>
    </w:rPr>
  </w:style>
  <w:style w:type="paragraph" w:customStyle="1" w:styleId="178">
    <w:name w:val="p0"/>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179">
    <w:name w:val="列出段落2"/>
    <w:basedOn w:val="1"/>
    <w:qFormat/>
    <w:uiPriority w:val="34"/>
    <w:pPr>
      <w:ind w:firstLine="420" w:firstLineChars="200"/>
    </w:pPr>
  </w:style>
  <w:style w:type="character" w:customStyle="1" w:styleId="180">
    <w:name w:val="apple-converted-space"/>
    <w:basedOn w:val="44"/>
    <w:qFormat/>
    <w:uiPriority w:val="0"/>
  </w:style>
  <w:style w:type="paragraph" w:styleId="181">
    <w:name w:val="List Paragraph"/>
    <w:basedOn w:val="1"/>
    <w:qFormat/>
    <w:uiPriority w:val="34"/>
    <w:pPr>
      <w:ind w:firstLine="420" w:firstLineChars="200"/>
    </w:pPr>
  </w:style>
  <w:style w:type="character" w:customStyle="1" w:styleId="182">
    <w:name w:val="15"/>
    <w:qFormat/>
    <w:uiPriority w:val="0"/>
    <w:rPr>
      <w:rFonts w:hint="default" w:ascii="Times New Roman" w:hAnsi="Times New Roman" w:cs="Times New Roman"/>
      <w:color w:val="464445"/>
      <w:u w:val="none"/>
    </w:rPr>
  </w:style>
  <w:style w:type="paragraph" w:styleId="18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4">
    <w:name w:val="font21"/>
    <w:basedOn w:val="44"/>
    <w:qFormat/>
    <w:uiPriority w:val="0"/>
    <w:rPr>
      <w:rFonts w:hint="eastAsia" w:ascii="宋体" w:hAnsi="宋体" w:eastAsia="宋体" w:cs="宋体"/>
      <w:b/>
      <w:color w:val="000000"/>
      <w:sz w:val="20"/>
      <w:szCs w:val="20"/>
      <w:u w:val="none"/>
    </w:rPr>
  </w:style>
  <w:style w:type="character" w:customStyle="1" w:styleId="185">
    <w:name w:val="font01"/>
    <w:basedOn w:val="44"/>
    <w:qFormat/>
    <w:uiPriority w:val="0"/>
    <w:rPr>
      <w:rFonts w:hint="eastAsia" w:ascii="宋体" w:hAnsi="宋体" w:eastAsia="宋体" w:cs="宋体"/>
      <w:b/>
      <w:color w:val="000000"/>
      <w:sz w:val="20"/>
      <w:szCs w:val="20"/>
      <w:u w:val="none"/>
      <w:vertAlign w:val="superscript"/>
    </w:rPr>
  </w:style>
  <w:style w:type="paragraph" w:customStyle="1" w:styleId="186">
    <w:name w:val="纯文本1"/>
    <w:basedOn w:val="1"/>
    <w:qFormat/>
    <w:uiPriority w:val="0"/>
    <w:rPr>
      <w:rFonts w:ascii="宋体" w:hAnsi="Courier New"/>
      <w:sz w:val="28"/>
    </w:rPr>
  </w:style>
  <w:style w:type="character" w:customStyle="1" w:styleId="187">
    <w:name w:val="font51"/>
    <w:basedOn w:val="44"/>
    <w:qFormat/>
    <w:uiPriority w:val="0"/>
    <w:rPr>
      <w:rFonts w:hint="eastAsia" w:ascii="宋体" w:hAnsi="宋体" w:eastAsia="宋体" w:cs="宋体"/>
      <w:color w:val="000000"/>
      <w:sz w:val="20"/>
      <w:szCs w:val="20"/>
      <w:u w:val="none"/>
    </w:rPr>
  </w:style>
  <w:style w:type="character" w:customStyle="1" w:styleId="188">
    <w:name w:val="font41"/>
    <w:basedOn w:val="44"/>
    <w:qFormat/>
    <w:uiPriority w:val="0"/>
    <w:rPr>
      <w:rFonts w:hint="eastAsia" w:ascii="宋体" w:hAnsi="宋体" w:eastAsia="宋体" w:cs="宋体"/>
      <w:color w:val="000000"/>
      <w:sz w:val="24"/>
      <w:szCs w:val="24"/>
      <w:u w:val="none"/>
    </w:rPr>
  </w:style>
  <w:style w:type="paragraph" w:customStyle="1" w:styleId="189">
    <w:name w:val="Plain Text"/>
    <w:basedOn w:val="1"/>
    <w:qFormat/>
    <w:uiPriority w:val="0"/>
    <w:rPr>
      <w:rFonts w:ascii="宋体" w:hAnsi="Courier New"/>
      <w:sz w:val="28"/>
    </w:rPr>
  </w:style>
  <w:style w:type="character" w:customStyle="1" w:styleId="190">
    <w:name w:val="font11"/>
    <w:basedOn w:val="44"/>
    <w:qFormat/>
    <w:uiPriority w:val="0"/>
    <w:rPr>
      <w:rFonts w:hint="eastAsia" w:ascii="宋体" w:hAnsi="宋体" w:eastAsia="宋体" w:cs="宋体"/>
      <w:color w:val="FF0000"/>
      <w:sz w:val="18"/>
      <w:szCs w:val="18"/>
      <w:u w:val="none"/>
    </w:rPr>
  </w:style>
  <w:style w:type="character" w:customStyle="1" w:styleId="191">
    <w:name w:val="font81"/>
    <w:basedOn w:val="44"/>
    <w:qFormat/>
    <w:uiPriority w:val="0"/>
    <w:rPr>
      <w:rFonts w:hint="eastAsia" w:ascii="宋体" w:hAnsi="宋体" w:eastAsia="宋体" w:cs="宋体"/>
      <w:color w:val="FF0000"/>
      <w:sz w:val="18"/>
      <w:szCs w:val="18"/>
      <w:u w:val="single"/>
    </w:rPr>
  </w:style>
  <w:style w:type="character" w:customStyle="1" w:styleId="192">
    <w:name w:val="font91"/>
    <w:basedOn w:val="44"/>
    <w:qFormat/>
    <w:uiPriority w:val="0"/>
    <w:rPr>
      <w:rFonts w:hint="eastAsia" w:ascii="宋体" w:hAnsi="宋体" w:eastAsia="宋体" w:cs="宋体"/>
      <w:color w:val="000000"/>
      <w:sz w:val="18"/>
      <w:szCs w:val="18"/>
      <w:u w:val="none"/>
    </w:rPr>
  </w:style>
  <w:style w:type="character" w:customStyle="1" w:styleId="193">
    <w:name w:val="font101"/>
    <w:basedOn w:val="44"/>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30260-9D9D-4598-B96E-CE800511D86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5243</Words>
  <Characters>29888</Characters>
  <Lines>1</Lines>
  <Paragraphs>1</Paragraphs>
  <TotalTime>1</TotalTime>
  <ScaleCrop>false</ScaleCrop>
  <LinksUpToDate>false</LinksUpToDate>
  <CharactersWithSpaces>35061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2017-02-04T07:44:00Z</dcterms:created>
  <dc:creator>微软用户</dc:creator>
  <cp:lastModifiedBy>乔</cp:lastModifiedBy>
  <cp:lastPrinted>2021-03-22T00:18:00Z</cp:lastPrinted>
  <dcterms:modified xsi:type="dcterms:W3CDTF">2021-03-24T01:29:54Z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A076878172D54A558E6B22C5AF532985</vt:lpwstr>
  </property>
</Properties>
</file>