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cs="宋体"/>
          <w:b/>
          <w:bCs/>
          <w:sz w:val="44"/>
          <w:szCs w:val="44"/>
        </w:rPr>
      </w:pPr>
    </w:p>
    <w:p>
      <w:pPr>
        <w:spacing w:line="920" w:lineRule="exact"/>
        <w:jc w:val="center"/>
        <w:rPr>
          <w:rFonts w:ascii="宋体" w:hAnsi="宋体" w:cs="宋体"/>
          <w:b/>
          <w:bCs/>
          <w:sz w:val="56"/>
          <w:szCs w:val="56"/>
          <w:u w:val="single"/>
          <w:lang w:val="zh-CN"/>
        </w:rPr>
      </w:pPr>
      <w:r>
        <w:rPr>
          <w:rFonts w:hint="eastAsia" w:ascii="宋体" w:hAnsi="宋体" w:cs="宋体"/>
          <w:b/>
          <w:bCs/>
          <w:sz w:val="48"/>
          <w:szCs w:val="48"/>
          <w:lang w:val="zh-CN"/>
        </w:rPr>
        <w:t>大丰区幸福路小学LED全彩显示屏及灯光采购、安装及伴随服务项目</w:t>
      </w:r>
    </w:p>
    <w:p>
      <w:pPr>
        <w:spacing w:before="120" w:beforeLines="50" w:line="600" w:lineRule="exact"/>
        <w:jc w:val="center"/>
        <w:rPr>
          <w:rFonts w:hint="eastAsia" w:ascii="宋体" w:hAnsi="宋体" w:eastAsia="宋体" w:cs="宋体"/>
          <w:sz w:val="52"/>
          <w:szCs w:val="52"/>
          <w:lang w:eastAsia="zh-CN"/>
        </w:rPr>
      </w:pPr>
      <w:r>
        <w:rPr>
          <w:rFonts w:hint="eastAsia" w:ascii="宋体" w:hAnsi="宋体" w:cs="宋体"/>
          <w:sz w:val="52"/>
          <w:szCs w:val="52"/>
          <w:lang w:eastAsia="zh-CN"/>
        </w:rPr>
        <w:t>（二次）</w:t>
      </w:r>
    </w:p>
    <w:p>
      <w:pPr>
        <w:spacing w:before="120" w:beforeLines="50" w:line="600" w:lineRule="exact"/>
        <w:jc w:val="center"/>
        <w:rPr>
          <w:rFonts w:ascii="宋体" w:hAnsi="宋体" w:cs="宋体"/>
          <w:sz w:val="72"/>
          <w:szCs w:val="72"/>
        </w:rPr>
      </w:pPr>
    </w:p>
    <w:p>
      <w:pPr>
        <w:spacing w:before="120" w:beforeLines="50" w:line="600" w:lineRule="exact"/>
        <w:jc w:val="center"/>
        <w:rPr>
          <w:rFonts w:ascii="宋体" w:hAnsi="宋体" w:cs="宋体"/>
          <w:sz w:val="72"/>
          <w:szCs w:val="72"/>
        </w:rPr>
      </w:pPr>
    </w:p>
    <w:p>
      <w:pPr>
        <w:spacing w:before="120" w:beforeLines="50" w:line="600" w:lineRule="exact"/>
        <w:jc w:val="center"/>
        <w:rPr>
          <w:rFonts w:ascii="宋体" w:hAnsi="宋体" w:cs="宋体"/>
          <w:sz w:val="72"/>
          <w:szCs w:val="72"/>
        </w:rPr>
      </w:pPr>
    </w:p>
    <w:p>
      <w:pPr>
        <w:spacing w:before="120" w:beforeLines="50" w:line="600" w:lineRule="exact"/>
        <w:jc w:val="center"/>
        <w:rPr>
          <w:rFonts w:ascii="宋体" w:hAnsi="宋体" w:cs="宋体"/>
          <w:sz w:val="72"/>
          <w:szCs w:val="72"/>
        </w:rPr>
      </w:pPr>
    </w:p>
    <w:p>
      <w:pPr>
        <w:spacing w:before="120" w:beforeLines="50" w:line="800" w:lineRule="exact"/>
        <w:jc w:val="center"/>
        <w:rPr>
          <w:rFonts w:ascii="宋体" w:hAnsi="宋体" w:cs="宋体"/>
          <w:sz w:val="84"/>
          <w:szCs w:val="84"/>
        </w:rPr>
      </w:pPr>
      <w:r>
        <w:rPr>
          <w:rFonts w:hint="eastAsia" w:ascii="宋体" w:hAnsi="宋体" w:cs="宋体"/>
          <w:sz w:val="84"/>
          <w:szCs w:val="84"/>
        </w:rPr>
        <w:t>公开招标采购文件</w:t>
      </w:r>
    </w:p>
    <w:p>
      <w:pPr>
        <w:pStyle w:val="15"/>
        <w:snapToGrid w:val="0"/>
        <w:spacing w:beforeLines="0" w:afterLines="0" w:line="1200" w:lineRule="exact"/>
        <w:rPr>
          <w:rFonts w:hAnsi="宋体" w:cs="宋体"/>
          <w:b/>
          <w:sz w:val="36"/>
          <w:szCs w:val="36"/>
        </w:rPr>
      </w:pPr>
    </w:p>
    <w:p>
      <w:pPr>
        <w:pStyle w:val="15"/>
        <w:snapToGrid w:val="0"/>
        <w:spacing w:beforeLines="0" w:afterLines="0" w:line="1200" w:lineRule="exact"/>
        <w:rPr>
          <w:rFonts w:hAnsi="宋体" w:cs="宋体"/>
          <w:b/>
          <w:sz w:val="36"/>
          <w:szCs w:val="36"/>
        </w:rPr>
      </w:pPr>
    </w:p>
    <w:p>
      <w:pPr>
        <w:pStyle w:val="15"/>
        <w:snapToGrid w:val="0"/>
        <w:spacing w:beforeLines="0" w:afterLines="0" w:line="1200" w:lineRule="exact"/>
        <w:jc w:val="center"/>
        <w:rPr>
          <w:rFonts w:hAnsi="宋体" w:cs="宋体"/>
          <w:b/>
          <w:sz w:val="36"/>
          <w:szCs w:val="36"/>
        </w:rPr>
      </w:pPr>
      <w:r>
        <w:rPr>
          <w:rFonts w:hint="eastAsia" w:hAnsi="宋体" w:cs="宋体"/>
          <w:b/>
          <w:sz w:val="36"/>
          <w:szCs w:val="36"/>
        </w:rPr>
        <w:t>采 购 单 位：</w:t>
      </w:r>
      <w:r>
        <w:rPr>
          <w:rFonts w:hint="eastAsia" w:hAnsi="宋体" w:cs="宋体"/>
          <w:b/>
          <w:sz w:val="36"/>
          <w:szCs w:val="36"/>
          <w:u w:val="single"/>
        </w:rPr>
        <w:t>盐城市大丰区幸福路小学</w:t>
      </w:r>
    </w:p>
    <w:p>
      <w:pPr>
        <w:pStyle w:val="15"/>
        <w:snapToGrid w:val="0"/>
        <w:spacing w:beforeLines="0" w:afterLines="0" w:line="1200" w:lineRule="exact"/>
        <w:jc w:val="center"/>
        <w:rPr>
          <w:rFonts w:hAnsi="宋体" w:cs="宋体"/>
          <w:b/>
          <w:sz w:val="36"/>
          <w:szCs w:val="36"/>
        </w:rPr>
      </w:pPr>
      <w:r>
        <w:rPr>
          <w:rFonts w:hint="eastAsia" w:hAnsi="宋体" w:cs="宋体"/>
          <w:b/>
          <w:bCs/>
          <w:w w:val="95"/>
          <w:sz w:val="36"/>
          <w:szCs w:val="36"/>
        </w:rPr>
        <w:t>招标代理机构：</w:t>
      </w:r>
      <w:r>
        <w:rPr>
          <w:rFonts w:hint="eastAsia" w:hAnsi="宋体" w:cs="宋体"/>
          <w:b/>
          <w:sz w:val="36"/>
          <w:szCs w:val="36"/>
          <w:u w:val="single"/>
        </w:rPr>
        <w:t>江苏中正工程项目管理咨询有限公司</w:t>
      </w:r>
    </w:p>
    <w:p>
      <w:pPr>
        <w:pStyle w:val="15"/>
        <w:spacing w:beforeLines="0" w:afterLines="0" w:line="1160" w:lineRule="exact"/>
        <w:jc w:val="center"/>
        <w:rPr>
          <w:rFonts w:hAnsi="宋体" w:cs="宋体"/>
          <w:sz w:val="48"/>
          <w:szCs w:val="28"/>
        </w:rPr>
      </w:pPr>
      <w:r>
        <w:rPr>
          <w:rFonts w:hint="eastAsia" w:hAnsi="宋体" w:cs="宋体"/>
          <w:b/>
          <w:sz w:val="36"/>
          <w:szCs w:val="36"/>
        </w:rPr>
        <w:t>二〇二〇年十</w:t>
      </w:r>
      <w:r>
        <w:rPr>
          <w:rFonts w:hint="eastAsia" w:hAnsi="宋体" w:cs="宋体"/>
          <w:b/>
          <w:sz w:val="36"/>
          <w:szCs w:val="36"/>
          <w:lang w:eastAsia="zh-CN"/>
        </w:rPr>
        <w:t>二</w:t>
      </w:r>
      <w:r>
        <w:rPr>
          <w:rFonts w:hint="eastAsia" w:hAnsi="宋体" w:cs="宋体"/>
          <w:b/>
          <w:sz w:val="36"/>
          <w:szCs w:val="36"/>
        </w:rPr>
        <w:t>月</w:t>
      </w:r>
    </w:p>
    <w:p>
      <w:pPr>
        <w:jc w:val="center"/>
        <w:rPr>
          <w:rFonts w:ascii="宋体" w:hAnsi="宋体" w:cs="宋体"/>
          <w:b/>
          <w:bCs/>
          <w:sz w:val="32"/>
          <w:szCs w:val="32"/>
        </w:rPr>
        <w:sectPr>
          <w:headerReference r:id="rId3" w:type="default"/>
          <w:footerReference r:id="rId5" w:type="default"/>
          <w:headerReference r:id="rId4" w:type="even"/>
          <w:footerReference r:id="rId6" w:type="even"/>
          <w:pgSz w:w="11906" w:h="16838"/>
          <w:pgMar w:top="1440" w:right="1080" w:bottom="1440" w:left="1080" w:header="851" w:footer="992" w:gutter="0"/>
          <w:pgNumType w:start="1" w:chapStyle="1"/>
          <w:cols w:space="720" w:num="1"/>
          <w:titlePg/>
          <w:docGrid w:linePitch="602" w:charSpace="-1675"/>
        </w:sectPr>
      </w:pPr>
    </w:p>
    <w:p>
      <w:pPr>
        <w:jc w:val="center"/>
        <w:rPr>
          <w:sz w:val="30"/>
          <w:szCs w:val="30"/>
        </w:rPr>
      </w:pPr>
      <w:r>
        <w:rPr>
          <w:rFonts w:hint="eastAsia"/>
          <w:sz w:val="30"/>
          <w:szCs w:val="30"/>
        </w:rPr>
        <w:t>不见面开标须知</w:t>
      </w:r>
    </w:p>
    <w:p>
      <w:pPr>
        <w:spacing w:line="360" w:lineRule="auto"/>
        <w:rPr>
          <w:rFonts w:ascii="宋体" w:hAnsi="宋体"/>
          <w:sz w:val="24"/>
        </w:rPr>
      </w:pPr>
      <w:r>
        <w:rPr>
          <w:rFonts w:hint="eastAsia" w:ascii="宋体" w:hAnsi="宋体"/>
          <w:sz w:val="24"/>
        </w:rPr>
        <w:t>各潜在投标单位：</w:t>
      </w:r>
    </w:p>
    <w:p>
      <w:pPr>
        <w:spacing w:line="360" w:lineRule="auto"/>
        <w:ind w:firstLine="480" w:firstLineChars="200"/>
        <w:rPr>
          <w:rFonts w:ascii="宋体" w:hAnsi="宋体"/>
          <w:sz w:val="24"/>
        </w:rPr>
      </w:pPr>
      <w:r>
        <w:rPr>
          <w:rFonts w:hint="eastAsia" w:ascii="宋体" w:hAnsi="宋体"/>
          <w:sz w:val="24"/>
        </w:rPr>
        <w:t>1、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w:t>
      </w:r>
      <w:r>
        <w:rPr>
          <w:rFonts w:ascii="宋体" w:hAnsi="宋体"/>
          <w:sz w:val="24"/>
        </w:rPr>
        <w:t>结合当前疫情防控要求，本</w:t>
      </w:r>
      <w:r>
        <w:rPr>
          <w:rFonts w:hint="eastAsia" w:ascii="宋体" w:hAnsi="宋体"/>
          <w:sz w:val="24"/>
        </w:rPr>
        <w:t>项目开标方式为</w:t>
      </w:r>
      <w:r>
        <w:rPr>
          <w:rFonts w:ascii="宋体" w:hAnsi="宋体"/>
          <w:sz w:val="24"/>
        </w:rPr>
        <w:t>不见面</w:t>
      </w:r>
      <w:r>
        <w:rPr>
          <w:rFonts w:hint="eastAsia" w:ascii="宋体" w:hAnsi="宋体"/>
          <w:sz w:val="24"/>
        </w:rPr>
        <w:t>纸质文件</w:t>
      </w:r>
      <w:r>
        <w:rPr>
          <w:rFonts w:ascii="宋体" w:hAnsi="宋体"/>
          <w:sz w:val="24"/>
        </w:rPr>
        <w:t>开标</w:t>
      </w:r>
      <w:r>
        <w:rPr>
          <w:rFonts w:hint="eastAsia" w:ascii="宋体" w:hAnsi="宋体"/>
          <w:sz w:val="24"/>
        </w:rPr>
        <w:t>。</w:t>
      </w:r>
      <w:r>
        <w:rPr>
          <w:rFonts w:ascii="宋体" w:hAnsi="宋体"/>
          <w:sz w:val="24"/>
        </w:rPr>
        <w:t>开标当日，投标人无需到达开标现场，仅需在任意地点通过 PC端或移动端的“腾讯会议”及相应的配套硬件设备参加开标会议</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参加会议的方法（必选）：电脑或智能手机可以搜索下载并安装“腾讯会议”，注册完成后点击“加入会议”，输入会议号“</w:t>
      </w:r>
      <w:r>
        <w:rPr>
          <w:rFonts w:ascii="宋体" w:hAnsi="宋体" w:eastAsia="宋体" w:cs="宋体"/>
          <w:sz w:val="24"/>
          <w:szCs w:val="24"/>
        </w:rPr>
        <w:t>794509477</w:t>
      </w:r>
      <w:r>
        <w:rPr>
          <w:rFonts w:ascii="宋体" w:hAnsi="宋体"/>
          <w:sz w:val="24"/>
        </w:rPr>
        <w:t>”，“您的姓名”按“</w:t>
      </w:r>
      <w:r>
        <w:rPr>
          <w:rFonts w:ascii="宋体" w:hAnsi="宋体"/>
          <w:b/>
          <w:bCs/>
          <w:sz w:val="24"/>
        </w:rPr>
        <w:t>单位</w:t>
      </w:r>
      <w:r>
        <w:rPr>
          <w:rFonts w:hint="eastAsia" w:ascii="宋体" w:hAnsi="宋体"/>
          <w:b/>
          <w:bCs/>
          <w:sz w:val="24"/>
        </w:rPr>
        <w:t>简</w:t>
      </w:r>
      <w:r>
        <w:rPr>
          <w:rFonts w:ascii="宋体" w:hAnsi="宋体"/>
          <w:b/>
          <w:bCs/>
          <w:sz w:val="24"/>
        </w:rPr>
        <w:t>称+授权委托人姓名</w:t>
      </w:r>
      <w:r>
        <w:rPr>
          <w:rFonts w:ascii="宋体" w:hAnsi="宋体"/>
          <w:sz w:val="24"/>
        </w:rPr>
        <w:t>”格式填写，然后点击“加入会议”。会议系统将在投标截止时间前10分钟开放。</w:t>
      </w:r>
    </w:p>
    <w:p>
      <w:pPr>
        <w:spacing w:line="360" w:lineRule="auto"/>
        <w:rPr>
          <w:rFonts w:ascii="宋体" w:hAnsi="宋体"/>
          <w:sz w:val="24"/>
        </w:rPr>
      </w:pPr>
      <w:r>
        <w:rPr>
          <w:rFonts w:hint="eastAsia" w:ascii="宋体" w:hAnsi="宋体"/>
          <w:sz w:val="24"/>
        </w:rPr>
        <w:t xml:space="preserve">    2、投标文件递交地点：</w:t>
      </w:r>
      <w:bookmarkStart w:id="0" w:name="_Hlk51343564"/>
      <w:bookmarkStart w:id="1" w:name="_Hlk51343606"/>
      <w:r>
        <w:rPr>
          <w:rFonts w:hint="eastAsia" w:ascii="宋体" w:hAnsi="宋体"/>
          <w:sz w:val="24"/>
        </w:rPr>
        <w:t>盐城市大丰区公共资源交易中心开标三室</w:t>
      </w:r>
      <w:bookmarkEnd w:id="0"/>
      <w:r>
        <w:rPr>
          <w:rFonts w:hint="eastAsia" w:ascii="宋体" w:hAnsi="宋体"/>
          <w:sz w:val="24"/>
        </w:rPr>
        <w:t>（城东新区丰华国际大厦4楼，盐城市大丰区丰华路与飞达路交叉西150米）</w:t>
      </w:r>
      <w:bookmarkEnd w:id="1"/>
      <w:r>
        <w:rPr>
          <w:rFonts w:hint="eastAsia" w:ascii="宋体" w:hAnsi="宋体"/>
          <w:sz w:val="24"/>
        </w:rPr>
        <w:t>；逾期送达或者未送达指定地点的投标文件将不予受理。</w:t>
      </w:r>
    </w:p>
    <w:p>
      <w:pPr>
        <w:spacing w:line="360" w:lineRule="auto"/>
        <w:rPr>
          <w:rFonts w:ascii="宋体" w:hAnsi="宋体"/>
          <w:sz w:val="24"/>
        </w:rPr>
      </w:pPr>
      <w:r>
        <w:rPr>
          <w:rFonts w:hint="eastAsia" w:ascii="宋体" w:hAnsi="宋体"/>
          <w:sz w:val="24"/>
        </w:rPr>
        <w:t xml:space="preserve">    招标代理联系人：朱敏      联系电话：18961957896</w:t>
      </w:r>
    </w:p>
    <w:p>
      <w:pPr>
        <w:spacing w:line="360" w:lineRule="auto"/>
        <w:ind w:firstLine="480" w:firstLineChars="200"/>
        <w:rPr>
          <w:rFonts w:ascii="宋体" w:hAnsi="宋体"/>
          <w:sz w:val="24"/>
        </w:rPr>
      </w:pPr>
      <w:r>
        <w:rPr>
          <w:rFonts w:hint="eastAsia" w:ascii="宋体" w:hAnsi="宋体"/>
          <w:sz w:val="24"/>
        </w:rPr>
        <w:t>2.1投标文件提交开始及截止时间：</w:t>
      </w:r>
    </w:p>
    <w:p>
      <w:pPr>
        <w:spacing w:line="360" w:lineRule="auto"/>
        <w:ind w:firstLine="480" w:firstLineChars="200"/>
        <w:rPr>
          <w:rFonts w:ascii="宋体" w:hAnsi="宋体"/>
          <w:sz w:val="24"/>
        </w:rPr>
      </w:pPr>
      <w:r>
        <w:rPr>
          <w:rFonts w:hint="eastAsia" w:ascii="宋体" w:hAnsi="宋体"/>
          <w:sz w:val="24"/>
        </w:rPr>
        <w:t>纸质投标文件的递交开始时间：</w:t>
      </w:r>
      <w:r>
        <w:rPr>
          <w:rFonts w:hint="eastAsia" w:ascii="宋体" w:hAnsi="宋体"/>
          <w:sz w:val="24"/>
          <w:u w:val="single"/>
        </w:rPr>
        <w:t>202</w:t>
      </w:r>
      <w:r>
        <w:rPr>
          <w:rFonts w:hint="eastAsia" w:ascii="宋体" w:hAnsi="宋体"/>
          <w:sz w:val="24"/>
          <w:u w:val="single"/>
          <w:lang w:val="en-US" w:eastAsia="zh-CN"/>
        </w:rPr>
        <w:t>1</w:t>
      </w:r>
      <w:r>
        <w:rPr>
          <w:rFonts w:hint="eastAsia" w:ascii="宋体" w:hAnsi="宋体"/>
          <w:sz w:val="24"/>
        </w:rPr>
        <w:t>年</w:t>
      </w:r>
      <w:r>
        <w:rPr>
          <w:rFonts w:hint="eastAsia" w:ascii="宋体" w:hAnsi="宋体"/>
          <w:sz w:val="24"/>
          <w:u w:val="single"/>
          <w:lang w:val="en-US" w:eastAsia="zh-CN"/>
        </w:rPr>
        <w:t>1</w:t>
      </w:r>
      <w:r>
        <w:rPr>
          <w:rFonts w:hint="eastAsia" w:ascii="宋体" w:hAnsi="宋体"/>
          <w:sz w:val="24"/>
        </w:rPr>
        <w:t>月</w:t>
      </w:r>
      <w:r>
        <w:rPr>
          <w:rFonts w:hint="eastAsia" w:ascii="宋体" w:hAnsi="宋体"/>
          <w:sz w:val="24"/>
          <w:u w:val="single"/>
          <w:lang w:val="en-US" w:eastAsia="zh-CN"/>
        </w:rPr>
        <w:t>28</w:t>
      </w:r>
      <w:r>
        <w:rPr>
          <w:rFonts w:hint="eastAsia" w:ascii="宋体" w:hAnsi="宋体"/>
          <w:sz w:val="24"/>
        </w:rPr>
        <w:t>日</w:t>
      </w:r>
      <w:r>
        <w:rPr>
          <w:rFonts w:hint="eastAsia" w:ascii="宋体" w:hAnsi="宋体"/>
          <w:sz w:val="24"/>
          <w:u w:val="single"/>
          <w:lang w:val="en-US" w:eastAsia="zh-CN"/>
        </w:rPr>
        <w:t>8</w:t>
      </w:r>
      <w:r>
        <w:rPr>
          <w:rFonts w:hint="eastAsia" w:ascii="宋体" w:hAnsi="宋体"/>
          <w:sz w:val="24"/>
        </w:rPr>
        <w:t>时</w:t>
      </w:r>
      <w:r>
        <w:rPr>
          <w:rFonts w:hint="eastAsia" w:ascii="宋体" w:hAnsi="宋体"/>
          <w:sz w:val="24"/>
          <w:u w:val="single"/>
          <w:lang w:val="en-US" w:eastAsia="zh-CN"/>
        </w:rPr>
        <w:t>30</w:t>
      </w:r>
      <w:r>
        <w:rPr>
          <w:rFonts w:hint="eastAsia" w:ascii="宋体" w:hAnsi="宋体"/>
          <w:sz w:val="24"/>
        </w:rPr>
        <w:t>分</w:t>
      </w:r>
    </w:p>
    <w:p>
      <w:pPr>
        <w:spacing w:line="360" w:lineRule="auto"/>
        <w:ind w:firstLine="480" w:firstLineChars="200"/>
        <w:rPr>
          <w:rFonts w:ascii="宋体" w:hAnsi="宋体"/>
          <w:sz w:val="24"/>
        </w:rPr>
      </w:pPr>
      <w:r>
        <w:rPr>
          <w:rFonts w:hint="eastAsia" w:ascii="宋体" w:hAnsi="宋体"/>
          <w:sz w:val="24"/>
        </w:rPr>
        <w:t>纸质投标文件的递交截止时间：</w:t>
      </w:r>
      <w:r>
        <w:rPr>
          <w:rFonts w:hint="eastAsia" w:ascii="宋体" w:hAnsi="宋体"/>
          <w:sz w:val="24"/>
          <w:u w:val="single"/>
        </w:rPr>
        <w:t>202</w:t>
      </w:r>
      <w:r>
        <w:rPr>
          <w:rFonts w:hint="eastAsia" w:ascii="宋体" w:hAnsi="宋体"/>
          <w:sz w:val="24"/>
          <w:u w:val="single"/>
          <w:lang w:val="en-US" w:eastAsia="zh-CN"/>
        </w:rPr>
        <w:t>1</w:t>
      </w:r>
      <w:r>
        <w:rPr>
          <w:rFonts w:hint="eastAsia" w:ascii="宋体" w:hAnsi="宋体"/>
          <w:sz w:val="24"/>
        </w:rPr>
        <w:t>年</w:t>
      </w:r>
      <w:r>
        <w:rPr>
          <w:rFonts w:hint="eastAsia" w:ascii="宋体" w:hAnsi="宋体"/>
          <w:sz w:val="24"/>
          <w:u w:val="single"/>
        </w:rPr>
        <w:t>1</w:t>
      </w:r>
      <w:r>
        <w:rPr>
          <w:rFonts w:hint="eastAsia" w:ascii="宋体" w:hAnsi="宋体"/>
          <w:sz w:val="24"/>
        </w:rPr>
        <w:t>月</w:t>
      </w:r>
      <w:r>
        <w:rPr>
          <w:rFonts w:hint="eastAsia" w:ascii="宋体" w:hAnsi="宋体"/>
          <w:sz w:val="24"/>
          <w:u w:val="single"/>
          <w:lang w:val="en-US" w:eastAsia="zh-CN"/>
        </w:rPr>
        <w:t>28</w:t>
      </w:r>
      <w:r>
        <w:rPr>
          <w:rFonts w:hint="eastAsia" w:ascii="宋体" w:hAnsi="宋体"/>
          <w:sz w:val="24"/>
        </w:rPr>
        <w:t>日</w:t>
      </w:r>
      <w:r>
        <w:rPr>
          <w:rFonts w:hint="eastAsia" w:ascii="宋体" w:hAnsi="宋体"/>
          <w:sz w:val="24"/>
          <w:u w:val="single"/>
          <w:lang w:val="en-US" w:eastAsia="zh-CN"/>
        </w:rPr>
        <w:t>9</w:t>
      </w:r>
      <w:r>
        <w:rPr>
          <w:rFonts w:hint="eastAsia" w:ascii="宋体" w:hAnsi="宋体"/>
          <w:sz w:val="24"/>
        </w:rPr>
        <w:t>时</w:t>
      </w:r>
      <w:r>
        <w:rPr>
          <w:rFonts w:hint="eastAsia" w:ascii="宋体" w:hAnsi="宋体"/>
          <w:sz w:val="24"/>
          <w:u w:val="single"/>
          <w:lang w:val="en-US" w:eastAsia="zh-CN"/>
        </w:rPr>
        <w:t>0</w:t>
      </w:r>
      <w:r>
        <w:rPr>
          <w:rFonts w:hint="eastAsia" w:ascii="宋体" w:hAnsi="宋体"/>
          <w:sz w:val="24"/>
        </w:rPr>
        <w:t>分，逾期提交的文件拒绝接受。</w:t>
      </w:r>
    </w:p>
    <w:p>
      <w:pPr>
        <w:spacing w:line="360" w:lineRule="auto"/>
        <w:ind w:firstLine="480" w:firstLineChars="200"/>
        <w:rPr>
          <w:rFonts w:ascii="宋体" w:hAnsi="宋体"/>
          <w:sz w:val="24"/>
        </w:rPr>
      </w:pPr>
      <w:r>
        <w:rPr>
          <w:rFonts w:hint="eastAsia" w:ascii="宋体" w:hAnsi="宋体"/>
          <w:sz w:val="24"/>
        </w:rPr>
        <w:t>开标时间：</w:t>
      </w:r>
      <w:r>
        <w:rPr>
          <w:rFonts w:hint="eastAsia" w:ascii="宋体" w:hAnsi="宋体"/>
          <w:sz w:val="24"/>
          <w:u w:val="single"/>
        </w:rPr>
        <w:t>202</w:t>
      </w:r>
      <w:r>
        <w:rPr>
          <w:rFonts w:hint="eastAsia" w:ascii="宋体" w:hAnsi="宋体"/>
          <w:sz w:val="24"/>
          <w:u w:val="single"/>
          <w:lang w:val="en-US" w:eastAsia="zh-CN"/>
        </w:rPr>
        <w:t>1</w:t>
      </w:r>
      <w:r>
        <w:rPr>
          <w:rFonts w:hint="eastAsia" w:ascii="宋体" w:hAnsi="宋体"/>
          <w:sz w:val="24"/>
        </w:rPr>
        <w:t>年</w:t>
      </w:r>
      <w:r>
        <w:rPr>
          <w:rFonts w:hint="eastAsia" w:ascii="宋体" w:hAnsi="宋体"/>
          <w:sz w:val="24"/>
          <w:u w:val="single"/>
        </w:rPr>
        <w:t>1</w:t>
      </w:r>
      <w:r>
        <w:rPr>
          <w:rFonts w:hint="eastAsia" w:ascii="宋体" w:hAnsi="宋体"/>
          <w:sz w:val="24"/>
        </w:rPr>
        <w:t>月</w:t>
      </w:r>
      <w:r>
        <w:rPr>
          <w:rFonts w:hint="eastAsia" w:ascii="宋体" w:hAnsi="宋体"/>
          <w:sz w:val="24"/>
          <w:u w:val="single"/>
          <w:lang w:val="en-US" w:eastAsia="zh-CN"/>
        </w:rPr>
        <w:t>28</w:t>
      </w:r>
      <w:r>
        <w:rPr>
          <w:rFonts w:hint="eastAsia" w:ascii="宋体" w:hAnsi="宋体"/>
          <w:sz w:val="24"/>
        </w:rPr>
        <w:t>日</w:t>
      </w:r>
      <w:r>
        <w:rPr>
          <w:rFonts w:hint="eastAsia" w:ascii="宋体" w:hAnsi="宋体"/>
          <w:sz w:val="24"/>
          <w:u w:val="single"/>
          <w:lang w:val="en-US" w:eastAsia="zh-CN"/>
        </w:rPr>
        <w:t>9</w:t>
      </w:r>
      <w:r>
        <w:rPr>
          <w:rFonts w:hint="eastAsia" w:ascii="宋体" w:hAnsi="宋体"/>
          <w:sz w:val="24"/>
        </w:rPr>
        <w:t>时</w:t>
      </w:r>
      <w:r>
        <w:rPr>
          <w:rFonts w:hint="eastAsia" w:ascii="宋体" w:hAnsi="宋体"/>
          <w:sz w:val="24"/>
          <w:u w:val="single"/>
          <w:lang w:val="en-US" w:eastAsia="zh-CN"/>
        </w:rPr>
        <w:t>0</w:t>
      </w:r>
      <w:r>
        <w:rPr>
          <w:rFonts w:hint="eastAsia" w:ascii="宋体" w:hAnsi="宋体"/>
          <w:sz w:val="24"/>
        </w:rPr>
        <w:t>分</w:t>
      </w:r>
      <w:r>
        <w:rPr>
          <w:rFonts w:hint="eastAsia" w:ascii="宋体" w:hAnsi="宋体"/>
          <w:b/>
          <w:sz w:val="24"/>
        </w:rPr>
        <w:t>。</w:t>
      </w:r>
    </w:p>
    <w:p>
      <w:pPr>
        <w:spacing w:line="360" w:lineRule="auto"/>
        <w:ind w:firstLine="480" w:firstLineChars="200"/>
        <w:rPr>
          <w:rFonts w:ascii="宋体" w:hAnsi="宋体"/>
          <w:sz w:val="24"/>
        </w:rPr>
      </w:pPr>
      <w:r>
        <w:rPr>
          <w:rFonts w:hint="eastAsia" w:ascii="宋体" w:hAnsi="宋体"/>
          <w:sz w:val="24"/>
        </w:rPr>
        <w:t>3、开标程序</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1 招标人按下列程序进行开标：</w:t>
      </w:r>
    </w:p>
    <w:p>
      <w:pPr>
        <w:spacing w:line="360" w:lineRule="auto"/>
        <w:ind w:firstLine="480" w:firstLineChars="200"/>
        <w:rPr>
          <w:rFonts w:ascii="宋体" w:hAnsi="宋体"/>
          <w:sz w:val="24"/>
        </w:rPr>
      </w:pPr>
      <w:r>
        <w:rPr>
          <w:rFonts w:hint="eastAsia" w:ascii="宋体" w:hAnsi="宋体"/>
          <w:sz w:val="24"/>
        </w:rPr>
        <w:t>（1）宣布开标纪律；</w:t>
      </w:r>
    </w:p>
    <w:p>
      <w:pPr>
        <w:spacing w:line="360" w:lineRule="auto"/>
        <w:ind w:firstLine="480" w:firstLineChars="200"/>
        <w:rPr>
          <w:rFonts w:ascii="宋体" w:hAnsi="宋体"/>
          <w:sz w:val="24"/>
        </w:rPr>
      </w:pPr>
      <w:r>
        <w:rPr>
          <w:rFonts w:hint="eastAsia" w:ascii="宋体" w:hAnsi="宋体"/>
          <w:sz w:val="24"/>
        </w:rPr>
        <w:t>（2）由招标人代表随机抽取确定评标基准价计算系数（如有）；</w:t>
      </w:r>
    </w:p>
    <w:p>
      <w:pPr>
        <w:spacing w:line="360" w:lineRule="auto"/>
        <w:ind w:firstLine="480" w:firstLineChars="200"/>
        <w:rPr>
          <w:rFonts w:ascii="宋体" w:hAnsi="宋体"/>
          <w:sz w:val="24"/>
        </w:rPr>
      </w:pPr>
      <w:r>
        <w:rPr>
          <w:rFonts w:hint="eastAsia" w:ascii="宋体" w:hAnsi="宋体"/>
          <w:sz w:val="24"/>
        </w:rPr>
        <w:t>（3）拆封投标文件并唱标；</w:t>
      </w:r>
    </w:p>
    <w:p>
      <w:pPr>
        <w:spacing w:line="360" w:lineRule="auto"/>
        <w:ind w:firstLine="480" w:firstLineChars="200"/>
        <w:rPr>
          <w:rFonts w:ascii="宋体" w:hAnsi="宋体"/>
          <w:sz w:val="24"/>
        </w:rPr>
      </w:pPr>
      <w:r>
        <w:rPr>
          <w:rFonts w:hint="eastAsia" w:ascii="宋体" w:hAnsi="宋体"/>
          <w:sz w:val="24"/>
        </w:rPr>
        <w:t>（4）开标会议结束。</w:t>
      </w:r>
    </w:p>
    <w:p>
      <w:pPr>
        <w:spacing w:line="360" w:lineRule="auto"/>
        <w:ind w:firstLine="480" w:firstLineChars="200"/>
        <w:rPr>
          <w:rFonts w:ascii="宋体" w:hAnsi="宋体"/>
          <w:sz w:val="24"/>
        </w:rPr>
      </w:pPr>
      <w:r>
        <w:rPr>
          <w:rFonts w:hint="eastAsia" w:ascii="宋体" w:hAnsi="宋体"/>
          <w:sz w:val="24"/>
        </w:rPr>
        <w:t>4、因本</w:t>
      </w:r>
      <w:r>
        <w:rPr>
          <w:rFonts w:hint="eastAsia" w:ascii="宋体" w:hAnsi="宋体"/>
          <w:bCs/>
          <w:sz w:val="24"/>
        </w:rPr>
        <w:t>项目</w:t>
      </w:r>
      <w:r>
        <w:rPr>
          <w:rFonts w:hint="eastAsia" w:ascii="宋体" w:hAnsi="宋体"/>
          <w:sz w:val="24"/>
        </w:rPr>
        <w:t xml:space="preserve">采用不见面纸质开标模式，故招标人特别说明如下： </w:t>
      </w:r>
    </w:p>
    <w:p>
      <w:pPr>
        <w:spacing w:line="360" w:lineRule="auto"/>
        <w:ind w:firstLine="480" w:firstLineChars="200"/>
        <w:rPr>
          <w:rFonts w:ascii="宋体" w:hAnsi="宋体"/>
          <w:sz w:val="24"/>
        </w:rPr>
      </w:pPr>
      <w:r>
        <w:rPr>
          <w:rFonts w:hint="eastAsia" w:ascii="宋体" w:hAnsi="宋体"/>
          <w:sz w:val="24"/>
        </w:rPr>
        <w:t>4.1投标人投标文件的编制和递交，应依照招标文件的规定进行。如未按招标文件要求编制、递交投标文件，将可能导致废标，其后果由投标人自负。</w:t>
      </w:r>
    </w:p>
    <w:p>
      <w:pPr>
        <w:spacing w:line="360" w:lineRule="auto"/>
        <w:rPr>
          <w:rFonts w:ascii="宋体" w:hAnsi="宋体"/>
          <w:b/>
          <w:bCs/>
          <w:sz w:val="24"/>
          <w:lang w:bidi="zh-CN"/>
        </w:rPr>
      </w:pPr>
    </w:p>
    <w:p>
      <w:pPr>
        <w:spacing w:line="360" w:lineRule="auto"/>
        <w:ind w:firstLine="482" w:firstLineChars="200"/>
        <w:rPr>
          <w:rFonts w:ascii="宋体" w:hAnsi="宋体"/>
          <w:sz w:val="24"/>
        </w:rPr>
      </w:pPr>
      <w:r>
        <w:rPr>
          <w:rFonts w:hint="eastAsia" w:ascii="宋体" w:hAnsi="宋体"/>
          <w:b/>
          <w:bCs/>
          <w:sz w:val="24"/>
          <w:lang w:bidi="zh-CN"/>
        </w:rPr>
        <w:t>特别说明：由于本项目时间紧、任务重，又恰逢防控新型冠状病毒肺炎疫情期，因某种原因无法在规定的时间内递交投标文件的，视同放弃此次投标机会，不得向招标人、监管部门、招标代理机构等所有相关部门追责。</w:t>
      </w:r>
    </w:p>
    <w:p>
      <w:pPr>
        <w:spacing w:line="360" w:lineRule="auto"/>
        <w:ind w:firstLine="480" w:firstLineChars="200"/>
        <w:rPr>
          <w:rFonts w:ascii="宋体" w:hAnsi="宋体"/>
          <w:sz w:val="24"/>
        </w:rPr>
      </w:pPr>
      <w:r>
        <w:rPr>
          <w:rFonts w:hint="eastAsia" w:ascii="宋体" w:hAnsi="宋体"/>
          <w:sz w:val="24"/>
        </w:rPr>
        <w:t>4.2开标当日，投标人提交纸质投标文件后可离开，不需要到开标现场参加开标会，开标会议视频按第1条方法进行。</w:t>
      </w:r>
    </w:p>
    <w:p>
      <w:pPr>
        <w:spacing w:line="360" w:lineRule="auto"/>
        <w:ind w:firstLine="480" w:firstLineChars="200"/>
        <w:rPr>
          <w:rFonts w:ascii="宋体" w:hAnsi="宋体"/>
          <w:sz w:val="24"/>
        </w:rPr>
      </w:pPr>
      <w:r>
        <w:rPr>
          <w:rFonts w:hint="eastAsia" w:ascii="宋体" w:hAnsi="宋体"/>
          <w:sz w:val="24"/>
        </w:rPr>
        <w:t>4.3开标时间前10分钟，招标人、招标代理机构提前进入开标会议系统，播放测试音频，各投标人的授权委托人或法人代表于规定时间内进入开标会议系统收听观看实时音视频交互并及时在讨论组中反馈，未按时加入开标会议系统的或未能在开标会议系统内全程参与交互的，视为放弃交互和放弃对开标全过程提疑的权利，投标人无法看到唱标、开标结果等实时情况，导致的一切后果由投标人承担。</w:t>
      </w:r>
    </w:p>
    <w:p>
      <w:pPr>
        <w:spacing w:line="360" w:lineRule="auto"/>
        <w:ind w:firstLine="480" w:firstLineChars="200"/>
        <w:rPr>
          <w:rFonts w:ascii="宋体" w:hAnsi="宋体"/>
          <w:sz w:val="24"/>
        </w:rPr>
      </w:pPr>
      <w:r>
        <w:rPr>
          <w:rFonts w:hint="eastAsia" w:ascii="宋体" w:hAnsi="宋体"/>
          <w:sz w:val="24"/>
        </w:rPr>
        <w:t xml:space="preserve">4.4开标全过程中，各投标人参与远程交互的授权委托人或法人代表应始终为同一个人，中途不得更换，在废标、澄清、提疑等特殊情况下需要交互时，投标人一端参与交互的人员将均被视为是投标人的授权委托人或法人代表，投标人不得以不承认交互人员的资格或身份等为借口抵赖推脱，投标人自行承担随意更换人员所导致的一切后果。 </w:t>
      </w:r>
    </w:p>
    <w:p>
      <w:pPr>
        <w:spacing w:line="360" w:lineRule="auto"/>
        <w:ind w:firstLine="480" w:firstLineChars="200"/>
        <w:rPr>
          <w:rFonts w:ascii="宋体" w:hAnsi="宋体"/>
          <w:sz w:val="24"/>
        </w:rPr>
      </w:pPr>
      <w:r>
        <w:rPr>
          <w:rFonts w:hint="eastAsia" w:ascii="宋体" w:hAnsi="宋体"/>
          <w:sz w:val="24"/>
        </w:rPr>
        <w:t xml:space="preserve">4.5为顺利实现本项目开评标的远程交互，建议投标人配置能够实现远程音视频通话的高配置笔记本电脑、进入开标会议后确保网络通畅、稳定，为保证交互效果，建议投标人选择封闭安静的地点参与远程交互。因投标人自身软硬件配备不齐全或发生故障等问题而导致在交互过程中出现不稳定或中断等情况的，由投标人自身承担一切后果。 </w:t>
      </w:r>
    </w:p>
    <w:p>
      <w:pPr>
        <w:spacing w:line="360" w:lineRule="auto"/>
        <w:ind w:firstLine="480" w:firstLineChars="200"/>
        <w:rPr>
          <w:rFonts w:ascii="宋体" w:hAnsi="宋体"/>
          <w:sz w:val="24"/>
        </w:rPr>
      </w:pPr>
      <w:r>
        <w:rPr>
          <w:rFonts w:hint="eastAsia" w:ascii="宋体" w:hAnsi="宋体"/>
          <w:sz w:val="24"/>
        </w:rPr>
        <w:t>5、友情提醒：投标人如对上述腾讯会议软件等有疑问的，请尽早和软件公司的服务人员或其他专业人员联系，他们会根据投标人要求，提供必要的培训和技术支持。</w:t>
      </w:r>
    </w:p>
    <w:p>
      <w:pPr>
        <w:spacing w:line="360" w:lineRule="auto"/>
        <w:ind w:firstLine="482" w:firstLineChars="200"/>
        <w:rPr>
          <w:rFonts w:ascii="宋体" w:hAnsi="宋体"/>
          <w:b/>
          <w:sz w:val="24"/>
        </w:rPr>
      </w:pPr>
      <w:r>
        <w:rPr>
          <w:rFonts w:hint="eastAsia" w:ascii="宋体" w:hAnsi="宋体"/>
          <w:b/>
          <w:sz w:val="24"/>
        </w:rPr>
        <w:t>腾讯客服联系方式：0755-83765566</w:t>
      </w:r>
    </w:p>
    <w:p>
      <w:pPr>
        <w:spacing w:line="360" w:lineRule="auto"/>
        <w:ind w:firstLine="482" w:firstLineChars="200"/>
        <w:rPr>
          <w:rFonts w:ascii="宋体" w:hAnsi="宋体"/>
          <w:b/>
          <w:sz w:val="24"/>
        </w:rPr>
      </w:pPr>
      <w:r>
        <w:rPr>
          <w:rFonts w:hint="eastAsia" w:ascii="宋体" w:hAnsi="宋体"/>
          <w:b/>
          <w:sz w:val="24"/>
        </w:rPr>
        <w:t>招标代理业务技术支持联系人：朱敏         联系电话：18961957896</w:t>
      </w: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left="3711" w:leftChars="1767" w:firstLine="1200" w:firstLineChars="500"/>
        <w:rPr>
          <w:rFonts w:ascii="宋体" w:hAnsi="宋体"/>
          <w:sz w:val="24"/>
        </w:rPr>
      </w:pPr>
      <w:r>
        <w:rPr>
          <w:rFonts w:hint="eastAsia" w:ascii="宋体" w:hAnsi="宋体"/>
          <w:sz w:val="24"/>
        </w:rPr>
        <w:t>招标人：</w:t>
      </w:r>
      <w:r>
        <w:rPr>
          <w:rFonts w:hint="eastAsia" w:ascii="宋体" w:hAnsi="宋体" w:cs="宋体"/>
          <w:sz w:val="24"/>
        </w:rPr>
        <w:t>盐城市大丰区幸福路小学</w:t>
      </w:r>
    </w:p>
    <w:p>
      <w:pPr>
        <w:spacing w:line="360" w:lineRule="auto"/>
        <w:ind w:left="3711" w:leftChars="1767" w:firstLine="1200" w:firstLineChars="500"/>
        <w:rPr>
          <w:rFonts w:ascii="宋体" w:hAnsi="宋体"/>
          <w:spacing w:val="-4"/>
          <w:sz w:val="24"/>
        </w:rPr>
      </w:pPr>
      <w:r>
        <w:rPr>
          <w:rFonts w:hint="eastAsia" w:ascii="宋体" w:hAnsi="宋体"/>
          <w:sz w:val="24"/>
        </w:rPr>
        <w:t>招标代理：</w:t>
      </w:r>
      <w:r>
        <w:rPr>
          <w:rFonts w:hint="eastAsia" w:ascii="宋体" w:hAnsi="宋体"/>
          <w:spacing w:val="-4"/>
          <w:sz w:val="24"/>
        </w:rPr>
        <w:t>江苏中正工程项目管理咨询有限公司</w:t>
      </w:r>
    </w:p>
    <w:p>
      <w:pPr>
        <w:spacing w:line="360" w:lineRule="auto"/>
        <w:ind w:firstLine="6120" w:firstLineChars="2550"/>
        <w:rPr>
          <w:rFonts w:ascii="宋体" w:hAnsi="宋体"/>
          <w:sz w:val="24"/>
        </w:rPr>
      </w:pPr>
    </w:p>
    <w:p>
      <w:pPr>
        <w:jc w:val="center"/>
        <w:rPr>
          <w:rFonts w:ascii="宋体" w:hAnsi="宋体" w:cs="宋体"/>
          <w:b/>
          <w:bCs/>
          <w:sz w:val="32"/>
          <w:szCs w:val="32"/>
        </w:rPr>
      </w:pPr>
    </w:p>
    <w:p>
      <w:pPr>
        <w:jc w:val="center"/>
        <w:rPr>
          <w:rFonts w:ascii="宋体" w:hAnsi="宋体" w:cs="宋体"/>
          <w:b/>
          <w:bCs/>
          <w:sz w:val="32"/>
          <w:szCs w:val="32"/>
        </w:rPr>
      </w:pPr>
    </w:p>
    <w:p>
      <w:pP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招标文件备案表</w:t>
      </w:r>
    </w:p>
    <w:p>
      <w:pPr>
        <w:jc w:val="center"/>
        <w:rPr>
          <w:rFonts w:ascii="宋体" w:hAnsi="宋体" w:cs="宋体"/>
          <w:b/>
          <w:sz w:val="36"/>
          <w:szCs w:val="36"/>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7"/>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3207" w:type="dxa"/>
            <w:vAlign w:val="center"/>
          </w:tcPr>
          <w:p>
            <w:pPr>
              <w:spacing w:line="560" w:lineRule="exact"/>
              <w:jc w:val="center"/>
              <w:rPr>
                <w:rFonts w:ascii="宋体" w:hAnsi="宋体" w:cs="宋体"/>
                <w:sz w:val="24"/>
              </w:rPr>
            </w:pPr>
            <w:r>
              <w:rPr>
                <w:rFonts w:hint="eastAsia" w:ascii="宋体" w:hAnsi="宋体" w:cs="宋体"/>
                <w:sz w:val="24"/>
              </w:rPr>
              <w:t>招标人及</w:t>
            </w:r>
          </w:p>
          <w:p>
            <w:pPr>
              <w:spacing w:line="560" w:lineRule="exact"/>
              <w:jc w:val="center"/>
              <w:rPr>
                <w:rFonts w:ascii="宋体" w:hAnsi="宋体" w:cs="宋体"/>
                <w:sz w:val="24"/>
              </w:rPr>
            </w:pPr>
            <w:r>
              <w:rPr>
                <w:rFonts w:hint="eastAsia" w:ascii="宋体" w:hAnsi="宋体" w:cs="宋体"/>
                <w:sz w:val="24"/>
              </w:rPr>
              <w:t>招标代理机构名称</w:t>
            </w:r>
          </w:p>
        </w:tc>
        <w:tc>
          <w:tcPr>
            <w:tcW w:w="6743" w:type="dxa"/>
            <w:vAlign w:val="center"/>
          </w:tcPr>
          <w:p>
            <w:pPr>
              <w:spacing w:line="560" w:lineRule="exact"/>
              <w:rPr>
                <w:rFonts w:ascii="宋体" w:hAnsi="宋体" w:cs="宋体"/>
                <w:sz w:val="24"/>
              </w:rPr>
            </w:pPr>
            <w:r>
              <w:rPr>
                <w:rFonts w:hint="eastAsia" w:ascii="宋体" w:hAnsi="宋体" w:cs="宋体"/>
                <w:sz w:val="24"/>
              </w:rPr>
              <w:t>招标采购单位：盐城市大丰区幸福路小学</w:t>
            </w:r>
          </w:p>
          <w:p>
            <w:pPr>
              <w:widowControl/>
              <w:spacing w:line="560" w:lineRule="exact"/>
              <w:jc w:val="left"/>
              <w:rPr>
                <w:rFonts w:ascii="宋体" w:hAnsi="宋体" w:cs="宋体"/>
                <w:sz w:val="24"/>
              </w:rPr>
            </w:pPr>
            <w:r>
              <w:rPr>
                <w:rFonts w:hint="eastAsia" w:ascii="宋体" w:hAnsi="宋体" w:cs="宋体"/>
                <w:sz w:val="24"/>
              </w:rPr>
              <w:t xml:space="preserve">招标代理机构：江苏中正工程项目管理咨询有限公司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07" w:type="dxa"/>
            <w:vAlign w:val="center"/>
          </w:tcPr>
          <w:p>
            <w:pPr>
              <w:spacing w:line="560" w:lineRule="exact"/>
              <w:jc w:val="center"/>
              <w:rPr>
                <w:rFonts w:ascii="宋体" w:hAnsi="宋体" w:cs="宋体"/>
                <w:sz w:val="24"/>
              </w:rPr>
            </w:pPr>
            <w:r>
              <w:rPr>
                <w:rFonts w:hint="eastAsia" w:ascii="宋体" w:hAnsi="宋体" w:cs="宋体"/>
                <w:sz w:val="24"/>
              </w:rPr>
              <w:t>标段名称</w:t>
            </w:r>
          </w:p>
        </w:tc>
        <w:tc>
          <w:tcPr>
            <w:tcW w:w="6743" w:type="dxa"/>
            <w:vAlign w:val="center"/>
          </w:tcPr>
          <w:p>
            <w:pPr>
              <w:spacing w:line="560" w:lineRule="exact"/>
              <w:rPr>
                <w:rFonts w:hint="eastAsia" w:ascii="宋体" w:hAnsi="宋体" w:eastAsia="宋体" w:cs="宋体"/>
                <w:sz w:val="24"/>
                <w:lang w:eastAsia="zh-CN"/>
              </w:rPr>
            </w:pPr>
            <w:r>
              <w:rPr>
                <w:rFonts w:hint="eastAsia" w:ascii="宋体" w:hAnsi="宋体" w:cs="宋体"/>
                <w:sz w:val="24"/>
              </w:rPr>
              <w:t>大丰区幸福路小学LED全彩显示屏及灯光采购、安装及伴随服务项目</w:t>
            </w:r>
            <w:r>
              <w:rPr>
                <w:rFonts w:hint="eastAsia" w:ascii="宋体" w:hAnsi="宋体" w:cs="宋体"/>
                <w:sz w:val="24"/>
                <w:lang w:eastAsia="zh-CN"/>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3207" w:type="dxa"/>
            <w:vAlign w:val="center"/>
          </w:tcPr>
          <w:p>
            <w:pPr>
              <w:spacing w:line="560" w:lineRule="exact"/>
              <w:jc w:val="center"/>
              <w:rPr>
                <w:rFonts w:ascii="宋体" w:hAnsi="宋体" w:cs="宋体"/>
                <w:sz w:val="24"/>
              </w:rPr>
            </w:pPr>
            <w:r>
              <w:rPr>
                <w:rFonts w:hint="eastAsia" w:ascii="宋体" w:hAnsi="宋体" w:cs="宋体"/>
                <w:sz w:val="24"/>
              </w:rPr>
              <w:t>项目编号</w:t>
            </w:r>
          </w:p>
        </w:tc>
        <w:tc>
          <w:tcPr>
            <w:tcW w:w="6743" w:type="dxa"/>
            <w:vAlign w:val="center"/>
          </w:tcPr>
          <w:p>
            <w:pPr>
              <w:spacing w:line="560" w:lineRule="exact"/>
              <w:rPr>
                <w:rFonts w:ascii="宋体" w:hAnsi="宋体" w:cs="宋体"/>
                <w:sz w:val="24"/>
                <w:u w:val="single"/>
              </w:rPr>
            </w:pPr>
            <w:r>
              <w:rPr>
                <w:rFonts w:ascii="宋体" w:hAnsi="宋体" w:cs="宋体"/>
                <w:sz w:val="24"/>
                <w:u w:val="none"/>
              </w:rPr>
              <w:t>DFCG20200456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6" w:hRule="atLeast"/>
          <w:jc w:val="center"/>
        </w:trPr>
        <w:tc>
          <w:tcPr>
            <w:tcW w:w="9950" w:type="dxa"/>
            <w:gridSpan w:val="2"/>
          </w:tcPr>
          <w:p>
            <w:pPr>
              <w:spacing w:line="640" w:lineRule="exact"/>
              <w:rPr>
                <w:rFonts w:ascii="宋体" w:hAnsi="宋体" w:cs="宋体"/>
                <w:sz w:val="24"/>
              </w:rPr>
            </w:pPr>
          </w:p>
          <w:p>
            <w:pPr>
              <w:spacing w:line="640" w:lineRule="exact"/>
              <w:ind w:firstLine="555"/>
              <w:rPr>
                <w:rFonts w:ascii="宋体" w:hAnsi="宋体" w:cs="宋体"/>
                <w:sz w:val="24"/>
              </w:rPr>
            </w:pPr>
            <w:r>
              <w:rPr>
                <w:rFonts w:hint="eastAsia" w:ascii="宋体" w:hAnsi="宋体" w:cs="宋体"/>
                <w:sz w:val="24"/>
              </w:rPr>
              <w:t>此文件审查工作已结束，于</w:t>
            </w:r>
            <w:r>
              <w:rPr>
                <w:rFonts w:hint="eastAsia" w:ascii="宋体" w:hAnsi="宋体" w:cs="宋体"/>
                <w:sz w:val="24"/>
                <w:u w:val="single"/>
              </w:rPr>
              <w:t>202</w:t>
            </w:r>
            <w:r>
              <w:rPr>
                <w:rFonts w:hint="eastAsia" w:ascii="宋体" w:hAnsi="宋体" w:cs="宋体"/>
                <w:sz w:val="24"/>
                <w:u w:val="single"/>
                <w:lang w:val="en-US" w:eastAsia="zh-CN"/>
              </w:rPr>
              <w:t>1</w:t>
            </w:r>
            <w:r>
              <w:rPr>
                <w:rFonts w:hint="eastAsia" w:ascii="宋体" w:hAnsi="宋体" w:cs="宋体"/>
                <w:sz w:val="24"/>
              </w:rPr>
              <w:t>年</w:t>
            </w:r>
            <w:r>
              <w:rPr>
                <w:rFonts w:hint="eastAsia" w:ascii="宋体" w:hAnsi="宋体" w:cs="宋体"/>
                <w:sz w:val="24"/>
                <w:u w:val="single"/>
                <w:lang w:val="en-US" w:eastAsia="zh-CN"/>
              </w:rPr>
              <w:t>1</w:t>
            </w:r>
            <w:r>
              <w:rPr>
                <w:rFonts w:hint="eastAsia" w:ascii="宋体" w:hAnsi="宋体" w:cs="宋体"/>
                <w:sz w:val="24"/>
              </w:rPr>
              <w:t>月</w:t>
            </w:r>
            <w:r>
              <w:rPr>
                <w:rFonts w:hint="eastAsia" w:ascii="宋体" w:hAnsi="宋体" w:cs="宋体"/>
                <w:sz w:val="24"/>
                <w:u w:val="single"/>
                <w:lang w:val="en-US" w:eastAsia="zh-CN"/>
              </w:rPr>
              <w:t>6</w:t>
            </w:r>
            <w:r>
              <w:rPr>
                <w:rFonts w:hint="eastAsia" w:ascii="宋体" w:hAnsi="宋体" w:cs="宋体"/>
                <w:sz w:val="24"/>
              </w:rPr>
              <w:t>日备案，附件有：</w:t>
            </w:r>
          </w:p>
          <w:p>
            <w:pPr>
              <w:spacing w:line="640" w:lineRule="exact"/>
              <w:ind w:firstLine="555"/>
              <w:rPr>
                <w:rFonts w:ascii="宋体" w:hAnsi="宋体" w:cs="宋体"/>
                <w:sz w:val="24"/>
              </w:rPr>
            </w:pPr>
            <w:r>
              <w:rPr>
                <w:rFonts w:hint="eastAsia" w:ascii="宋体" w:hAnsi="宋体" w:cs="宋体"/>
                <w:sz w:val="24"/>
              </w:rPr>
              <w:t>1、招标采购计划申报表；</w:t>
            </w:r>
          </w:p>
          <w:p>
            <w:pPr>
              <w:spacing w:line="640" w:lineRule="exact"/>
              <w:ind w:firstLine="555"/>
              <w:rPr>
                <w:rFonts w:ascii="宋体" w:hAnsi="宋体" w:cs="宋体"/>
                <w:sz w:val="24"/>
              </w:rPr>
            </w:pPr>
            <w:r>
              <w:rPr>
                <w:rFonts w:hint="eastAsia" w:ascii="宋体" w:hAnsi="宋体" w:cs="宋体"/>
                <w:sz w:val="24"/>
              </w:rPr>
              <w:t>2、采购通知单；</w:t>
            </w:r>
          </w:p>
          <w:p>
            <w:pPr>
              <w:spacing w:line="640" w:lineRule="exact"/>
              <w:ind w:firstLine="555"/>
              <w:rPr>
                <w:rFonts w:ascii="宋体" w:hAnsi="宋体" w:cs="宋体"/>
                <w:sz w:val="24"/>
              </w:rPr>
            </w:pPr>
            <w:r>
              <w:rPr>
                <w:rFonts w:hint="eastAsia" w:ascii="宋体" w:hAnsi="宋体" w:cs="宋体"/>
                <w:sz w:val="24"/>
              </w:rPr>
              <w:t>3、招标代理服务合同。</w:t>
            </w:r>
          </w:p>
          <w:p>
            <w:pPr>
              <w:spacing w:line="640" w:lineRule="exact"/>
              <w:ind w:firstLine="555"/>
              <w:rPr>
                <w:rFonts w:ascii="宋体" w:hAnsi="宋体" w:cs="宋体"/>
                <w:sz w:val="24"/>
              </w:rPr>
            </w:pPr>
          </w:p>
          <w:p>
            <w:pPr>
              <w:spacing w:line="640" w:lineRule="exact"/>
              <w:ind w:firstLine="555"/>
              <w:rPr>
                <w:rFonts w:ascii="宋体" w:hAnsi="宋体" w:cs="宋体"/>
                <w:sz w:val="24"/>
              </w:rPr>
            </w:pPr>
          </w:p>
          <w:p>
            <w:pPr>
              <w:spacing w:line="640" w:lineRule="exact"/>
              <w:ind w:firstLine="555"/>
              <w:rPr>
                <w:rFonts w:ascii="宋体" w:hAnsi="宋体" w:cs="宋体"/>
                <w:sz w:val="24"/>
              </w:rPr>
            </w:pPr>
          </w:p>
          <w:p>
            <w:pPr>
              <w:spacing w:line="640" w:lineRule="exact"/>
              <w:ind w:firstLine="555"/>
              <w:rPr>
                <w:rFonts w:ascii="宋体" w:hAnsi="宋体" w:cs="宋体"/>
                <w:sz w:val="24"/>
              </w:rPr>
            </w:pPr>
          </w:p>
          <w:p>
            <w:pPr>
              <w:spacing w:line="640" w:lineRule="exact"/>
              <w:rPr>
                <w:rFonts w:ascii="宋体" w:hAnsi="宋体" w:cs="宋体"/>
                <w:sz w:val="24"/>
              </w:rPr>
            </w:pPr>
          </w:p>
          <w:p>
            <w:pPr>
              <w:spacing w:line="420" w:lineRule="exact"/>
              <w:ind w:firstLine="556"/>
              <w:rPr>
                <w:rFonts w:ascii="宋体" w:hAnsi="宋体" w:cs="宋体"/>
                <w:sz w:val="24"/>
              </w:rPr>
            </w:pPr>
          </w:p>
          <w:p>
            <w:pPr>
              <w:spacing w:line="420" w:lineRule="exact"/>
              <w:ind w:firstLine="556"/>
              <w:rPr>
                <w:rFonts w:ascii="宋体" w:hAnsi="宋体" w:cs="宋体"/>
                <w:sz w:val="24"/>
              </w:rPr>
            </w:pPr>
          </w:p>
          <w:p>
            <w:pPr>
              <w:spacing w:line="420" w:lineRule="exact"/>
              <w:ind w:firstLine="556"/>
              <w:rPr>
                <w:rFonts w:ascii="宋体" w:hAnsi="宋体" w:cs="宋体"/>
                <w:sz w:val="24"/>
              </w:rPr>
            </w:pPr>
          </w:p>
          <w:p>
            <w:pPr>
              <w:spacing w:line="420" w:lineRule="exact"/>
              <w:ind w:firstLine="556"/>
              <w:rPr>
                <w:rFonts w:ascii="宋体" w:hAnsi="宋体" w:cs="宋体"/>
                <w:sz w:val="24"/>
              </w:rPr>
            </w:pPr>
          </w:p>
          <w:p>
            <w:pPr>
              <w:spacing w:line="420" w:lineRule="exact"/>
              <w:ind w:firstLine="6480" w:firstLineChars="2700"/>
              <w:rPr>
                <w:rFonts w:ascii="宋体" w:hAnsi="宋体" w:cs="宋体"/>
                <w:sz w:val="24"/>
              </w:rPr>
            </w:pPr>
            <w:r>
              <w:rPr>
                <w:rFonts w:hint="eastAsia" w:ascii="宋体" w:hAnsi="宋体" w:cs="宋体"/>
                <w:sz w:val="24"/>
              </w:rPr>
              <w:t>招标管理部门（盖章）</w:t>
            </w:r>
          </w:p>
        </w:tc>
      </w:tr>
    </w:tbl>
    <w:p>
      <w:pPr>
        <w:spacing w:line="520" w:lineRule="exact"/>
        <w:jc w:val="center"/>
        <w:rPr>
          <w:rFonts w:ascii="宋体" w:hAnsi="宋体" w:cs="宋体"/>
          <w:b/>
          <w:sz w:val="32"/>
          <w:szCs w:val="32"/>
        </w:rPr>
      </w:pPr>
      <w:r>
        <w:rPr>
          <w:rFonts w:hint="eastAsia" w:ascii="宋体" w:hAnsi="宋体" w:cs="宋体"/>
          <w:sz w:val="30"/>
          <w:szCs w:val="30"/>
        </w:rPr>
        <w:br w:type="page"/>
      </w:r>
      <w:bookmarkStart w:id="2" w:name="OLE_LINK1"/>
      <w:bookmarkStart w:id="3" w:name="OLE_LINK3"/>
      <w:bookmarkStart w:id="4" w:name="OLE_LINK2"/>
      <w:r>
        <w:rPr>
          <w:rFonts w:hint="eastAsia" w:ascii="宋体" w:hAnsi="宋体" w:cs="宋体"/>
          <w:b/>
          <w:sz w:val="32"/>
          <w:szCs w:val="32"/>
        </w:rPr>
        <w:t xml:space="preserve"> 第一章 招标公告</w:t>
      </w:r>
    </w:p>
    <w:p>
      <w:pPr>
        <w:spacing w:line="520" w:lineRule="exact"/>
        <w:jc w:val="center"/>
        <w:rPr>
          <w:rFonts w:hint="eastAsia" w:ascii="宋体" w:hAnsi="宋体" w:eastAsia="宋体" w:cs="宋体"/>
          <w:kern w:val="0"/>
          <w:sz w:val="32"/>
          <w:szCs w:val="32"/>
          <w:lang w:eastAsia="zh-CN"/>
        </w:rPr>
      </w:pPr>
      <w:r>
        <w:rPr>
          <w:rFonts w:hint="eastAsia" w:ascii="宋体" w:hAnsi="宋体" w:cs="宋体"/>
          <w:kern w:val="0"/>
          <w:sz w:val="32"/>
          <w:szCs w:val="32"/>
          <w:lang w:eastAsia="zh-CN"/>
        </w:rPr>
        <w:t>（二次）</w:t>
      </w:r>
    </w:p>
    <w:bookmarkEnd w:id="2"/>
    <w:bookmarkEnd w:id="3"/>
    <w:bookmarkEnd w:id="4"/>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2" w:type="dxa"/>
          </w:tcPr>
          <w:p>
            <w:pPr>
              <w:pStyle w:val="27"/>
              <w:snapToGrid w:val="0"/>
              <w:spacing w:before="120" w:after="120" w:line="360" w:lineRule="auto"/>
              <w:jc w:val="center"/>
              <w:rPr>
                <w:rFonts w:ascii="宋体" w:hAnsi="宋体"/>
                <w:color w:val="auto"/>
                <w:sz w:val="24"/>
                <w:szCs w:val="24"/>
                <w:lang w:bidi="ar"/>
              </w:rPr>
            </w:pPr>
            <w:r>
              <w:rPr>
                <w:rFonts w:hint="eastAsia" w:ascii="宋体" w:hAnsi="宋体"/>
                <w:color w:val="auto"/>
                <w:sz w:val="24"/>
                <w:szCs w:val="24"/>
                <w:lang w:bidi="ar"/>
              </w:rPr>
              <w:t>项目概况</w:t>
            </w:r>
          </w:p>
          <w:p>
            <w:pPr>
              <w:widowControl/>
              <w:snapToGrid w:val="0"/>
              <w:spacing w:before="120" w:after="120" w:line="360" w:lineRule="auto"/>
              <w:ind w:firstLine="464" w:firstLineChars="200"/>
              <w:jc w:val="left"/>
              <w:rPr>
                <w:rFonts w:ascii="宋体" w:hAnsi="宋体" w:cs="宋体"/>
                <w:b/>
                <w:sz w:val="24"/>
              </w:rPr>
            </w:pPr>
            <w:r>
              <w:rPr>
                <w:rFonts w:hint="eastAsia" w:ascii="宋体" w:hAnsi="宋体" w:cs="宋体"/>
                <w:spacing w:val="-4"/>
                <w:kern w:val="0"/>
                <w:sz w:val="24"/>
                <w:u w:val="single"/>
                <w:lang w:val="zh-CN"/>
              </w:rPr>
              <w:t>大丰区幸福路小学LED全彩显示屏及灯光采购、安装及伴随服务项目</w:t>
            </w:r>
            <w:r>
              <w:rPr>
                <w:rFonts w:hint="eastAsia" w:ascii="宋体" w:hAnsi="宋体" w:cs="宋体"/>
                <w:bCs/>
                <w:kern w:val="0"/>
                <w:sz w:val="24"/>
              </w:rPr>
              <w:t>的潜在投标人应在大丰公共资源交易平台(http://221.231.122.12/dfhy/)获取招标文件，并于202</w:t>
            </w:r>
            <w:r>
              <w:rPr>
                <w:rFonts w:hint="eastAsia" w:ascii="宋体" w:hAnsi="宋体" w:cs="宋体"/>
                <w:bCs/>
                <w:kern w:val="0"/>
                <w:sz w:val="24"/>
                <w:lang w:val="en-US" w:eastAsia="zh-CN"/>
              </w:rPr>
              <w:t>1</w:t>
            </w:r>
            <w:r>
              <w:rPr>
                <w:rFonts w:hint="eastAsia" w:ascii="宋体" w:hAnsi="宋体" w:cs="宋体"/>
                <w:bCs/>
                <w:kern w:val="0"/>
                <w:sz w:val="24"/>
              </w:rPr>
              <w:t>年</w:t>
            </w:r>
            <w:r>
              <w:rPr>
                <w:rFonts w:hint="eastAsia" w:ascii="宋体" w:hAnsi="宋体" w:cs="宋体"/>
                <w:bCs/>
                <w:kern w:val="0"/>
                <w:sz w:val="24"/>
                <w:u w:val="single"/>
              </w:rPr>
              <w:t>1</w:t>
            </w:r>
            <w:r>
              <w:rPr>
                <w:rFonts w:hint="eastAsia" w:ascii="宋体" w:hAnsi="宋体" w:cs="宋体"/>
                <w:bCs/>
                <w:kern w:val="0"/>
                <w:sz w:val="24"/>
              </w:rPr>
              <w:t>月</w:t>
            </w:r>
            <w:r>
              <w:rPr>
                <w:rFonts w:hint="eastAsia" w:ascii="宋体" w:hAnsi="宋体" w:cs="宋体"/>
                <w:bCs/>
                <w:kern w:val="0"/>
                <w:sz w:val="24"/>
                <w:u w:val="single"/>
                <w:lang w:val="en-US" w:eastAsia="zh-CN"/>
              </w:rPr>
              <w:t>28</w:t>
            </w:r>
            <w:r>
              <w:rPr>
                <w:rFonts w:hint="eastAsia" w:ascii="宋体" w:hAnsi="宋体" w:cs="宋体"/>
                <w:bCs/>
                <w:kern w:val="0"/>
                <w:sz w:val="24"/>
              </w:rPr>
              <w:t>日</w:t>
            </w:r>
            <w:r>
              <w:rPr>
                <w:rFonts w:hint="eastAsia" w:ascii="宋体" w:hAnsi="宋体" w:cs="宋体"/>
                <w:bCs/>
                <w:kern w:val="0"/>
                <w:sz w:val="24"/>
                <w:u w:val="single"/>
                <w:lang w:val="en-US" w:eastAsia="zh-CN"/>
              </w:rPr>
              <w:t>9</w:t>
            </w:r>
            <w:r>
              <w:rPr>
                <w:rFonts w:hint="eastAsia" w:ascii="宋体" w:hAnsi="宋体" w:cs="宋体"/>
                <w:bCs/>
                <w:kern w:val="0"/>
                <w:sz w:val="24"/>
              </w:rPr>
              <w:t>点</w:t>
            </w:r>
            <w:r>
              <w:rPr>
                <w:rFonts w:hint="eastAsia" w:ascii="宋体" w:hAnsi="宋体" w:cs="宋体"/>
                <w:bCs/>
                <w:kern w:val="0"/>
                <w:sz w:val="24"/>
                <w:u w:val="single"/>
                <w:lang w:val="en-US" w:eastAsia="zh-CN"/>
              </w:rPr>
              <w:t>0</w:t>
            </w:r>
            <w:r>
              <w:rPr>
                <w:rFonts w:hint="eastAsia" w:ascii="宋体" w:hAnsi="宋体" w:cs="宋体"/>
                <w:bCs/>
                <w:kern w:val="0"/>
                <w:sz w:val="24"/>
              </w:rPr>
              <w:t>分（北京时间）前递交投标文件。</w:t>
            </w:r>
          </w:p>
        </w:tc>
      </w:tr>
    </w:tbl>
    <w:p>
      <w:pPr>
        <w:widowControl/>
        <w:spacing w:line="560" w:lineRule="exact"/>
        <w:ind w:firstLine="482" w:firstLineChars="200"/>
        <w:jc w:val="left"/>
        <w:rPr>
          <w:rFonts w:ascii="宋体" w:hAnsi="宋体" w:cs="宋体"/>
          <w:sz w:val="24"/>
        </w:rPr>
      </w:pPr>
      <w:r>
        <w:rPr>
          <w:rFonts w:hint="eastAsia" w:ascii="宋体" w:hAnsi="宋体" w:cs="宋体"/>
          <w:b/>
          <w:bCs/>
          <w:kern w:val="0"/>
          <w:sz w:val="24"/>
        </w:rPr>
        <w:t>一、项目基本情况</w:t>
      </w:r>
    </w:p>
    <w:p>
      <w:pPr>
        <w:widowControl/>
        <w:spacing w:line="560" w:lineRule="exact"/>
        <w:ind w:firstLine="480" w:firstLineChars="200"/>
        <w:jc w:val="left"/>
        <w:rPr>
          <w:rFonts w:ascii="宋体" w:hAnsi="宋体" w:cs="宋体"/>
          <w:kern w:val="0"/>
          <w:sz w:val="24"/>
          <w:u w:val="single"/>
        </w:rPr>
      </w:pPr>
      <w:r>
        <w:rPr>
          <w:rFonts w:hint="eastAsia" w:ascii="宋体" w:hAnsi="宋体" w:cs="宋体"/>
          <w:kern w:val="0"/>
          <w:sz w:val="24"/>
        </w:rPr>
        <w:t>1、项目编号：</w:t>
      </w:r>
      <w:r>
        <w:rPr>
          <w:rFonts w:hint="eastAsia" w:ascii="宋体" w:hAnsi="宋体" w:cs="宋体"/>
          <w:spacing w:val="-6"/>
          <w:kern w:val="0"/>
          <w:sz w:val="24"/>
          <w:u w:val="single"/>
          <w:lang w:val="zh-CN"/>
        </w:rPr>
        <w:t>DFCG20200456</w:t>
      </w:r>
    </w:p>
    <w:p>
      <w:pPr>
        <w:widowControl/>
        <w:spacing w:line="560" w:lineRule="exact"/>
        <w:ind w:firstLine="480" w:firstLineChars="200"/>
        <w:jc w:val="left"/>
        <w:rPr>
          <w:rFonts w:ascii="宋体" w:hAnsi="宋体" w:cs="宋体"/>
          <w:spacing w:val="-6"/>
          <w:kern w:val="0"/>
          <w:sz w:val="24"/>
          <w:u w:val="single"/>
          <w:lang w:val="zh-CN"/>
        </w:rPr>
      </w:pPr>
      <w:r>
        <w:rPr>
          <w:rFonts w:hint="eastAsia" w:ascii="宋体" w:hAnsi="宋体" w:cs="宋体"/>
          <w:kern w:val="0"/>
          <w:sz w:val="24"/>
        </w:rPr>
        <w:t>2、项目名称：</w:t>
      </w:r>
      <w:r>
        <w:rPr>
          <w:rFonts w:hint="eastAsia" w:ascii="宋体" w:hAnsi="宋体" w:cs="宋体"/>
          <w:spacing w:val="-6"/>
          <w:kern w:val="0"/>
          <w:sz w:val="24"/>
          <w:u w:val="single"/>
          <w:lang w:val="zh-CN"/>
        </w:rPr>
        <w:t>大丰区幸福路小学LED全</w:t>
      </w:r>
      <w:bookmarkStart w:id="494" w:name="_GoBack"/>
      <w:bookmarkEnd w:id="494"/>
      <w:r>
        <w:rPr>
          <w:rFonts w:hint="eastAsia" w:ascii="宋体" w:hAnsi="宋体" w:cs="宋体"/>
          <w:spacing w:val="-6"/>
          <w:kern w:val="0"/>
          <w:sz w:val="24"/>
          <w:u w:val="single"/>
          <w:lang w:val="zh-CN"/>
        </w:rPr>
        <w:t>彩显示屏及灯光采购、安装及伴随服务项目</w:t>
      </w:r>
    </w:p>
    <w:p>
      <w:pPr>
        <w:widowControl/>
        <w:spacing w:line="560" w:lineRule="exact"/>
        <w:ind w:firstLine="480" w:firstLineChars="200"/>
        <w:jc w:val="left"/>
        <w:rPr>
          <w:rFonts w:ascii="宋体" w:hAnsi="宋体" w:cs="宋体"/>
          <w:kern w:val="0"/>
          <w:sz w:val="24"/>
          <w:u w:val="single"/>
        </w:rPr>
      </w:pPr>
      <w:r>
        <w:rPr>
          <w:rFonts w:hint="eastAsia" w:ascii="宋体" w:hAnsi="宋体" w:cs="宋体"/>
          <w:kern w:val="0"/>
          <w:sz w:val="24"/>
        </w:rPr>
        <w:t>3、预算金额：</w:t>
      </w:r>
      <w:r>
        <w:rPr>
          <w:rFonts w:hint="eastAsia" w:ascii="宋体" w:hAnsi="宋体" w:cs="宋体"/>
          <w:kern w:val="0"/>
          <w:sz w:val="24"/>
          <w:u w:val="single"/>
        </w:rPr>
        <w:t>25万元</w:t>
      </w:r>
    </w:p>
    <w:p>
      <w:pPr>
        <w:widowControl/>
        <w:spacing w:line="560" w:lineRule="exact"/>
        <w:ind w:firstLine="480" w:firstLineChars="200"/>
        <w:jc w:val="left"/>
        <w:rPr>
          <w:rFonts w:ascii="宋体" w:hAnsi="宋体" w:cs="宋体"/>
          <w:kern w:val="0"/>
          <w:sz w:val="24"/>
          <w:u w:val="single"/>
        </w:rPr>
      </w:pPr>
      <w:r>
        <w:rPr>
          <w:rFonts w:hint="eastAsia" w:ascii="宋体" w:hAnsi="宋体" w:cs="宋体"/>
          <w:kern w:val="0"/>
          <w:sz w:val="24"/>
        </w:rPr>
        <w:t>4、最高限价：</w:t>
      </w:r>
      <w:r>
        <w:rPr>
          <w:rFonts w:hint="eastAsia" w:ascii="宋体" w:hAnsi="宋体" w:cs="宋体"/>
          <w:kern w:val="0"/>
          <w:sz w:val="24"/>
          <w:u w:val="single"/>
        </w:rPr>
        <w:t>25万元</w:t>
      </w:r>
    </w:p>
    <w:p>
      <w:pPr>
        <w:widowControl/>
        <w:spacing w:line="560" w:lineRule="exact"/>
        <w:ind w:firstLine="480" w:firstLineChars="200"/>
        <w:jc w:val="left"/>
        <w:rPr>
          <w:rFonts w:ascii="宋体" w:hAnsi="宋体" w:cs="宋体"/>
          <w:kern w:val="0"/>
          <w:sz w:val="24"/>
          <w:highlight w:val="none"/>
          <w:u w:val="single"/>
        </w:rPr>
      </w:pPr>
      <w:r>
        <w:rPr>
          <w:rFonts w:hint="eastAsia" w:ascii="宋体" w:hAnsi="宋体" w:cs="宋体"/>
          <w:kern w:val="0"/>
          <w:sz w:val="24"/>
        </w:rPr>
        <w:t>5、采购需求：</w:t>
      </w:r>
      <w:r>
        <w:rPr>
          <w:rFonts w:hint="eastAsia" w:ascii="宋体" w:hAnsi="宋体" w:cs="宋体"/>
          <w:kern w:val="0"/>
          <w:sz w:val="24"/>
          <w:u w:val="single"/>
        </w:rPr>
        <w:t>大丰区幸福路小学LED全彩显示屏及灯光采购、安装及伴随服务项目（主要包括设备采购、安装调试、运输保险、检测试运行直至竣工验收合格，还包括提供技术资料、技术服务、售前售后服务</w:t>
      </w:r>
      <w:r>
        <w:rPr>
          <w:rFonts w:hint="eastAsia" w:ascii="宋体" w:hAnsi="宋体" w:cs="宋体"/>
          <w:kern w:val="0"/>
          <w:sz w:val="24"/>
          <w:highlight w:val="none"/>
          <w:u w:val="single"/>
        </w:rPr>
        <w:t>、维修保养、业务培训、系统升级等伴随服务等，具体以招标人提供的货物清单及技术参数需求为准），质保期</w:t>
      </w:r>
      <w:r>
        <w:rPr>
          <w:rFonts w:hint="eastAsia" w:ascii="宋体" w:hAnsi="宋体" w:cs="宋体"/>
          <w:kern w:val="0"/>
          <w:sz w:val="24"/>
          <w:highlight w:val="none"/>
          <w:u w:val="single"/>
          <w:lang w:val="en-US" w:eastAsia="zh-CN"/>
        </w:rPr>
        <w:t>2</w:t>
      </w:r>
      <w:r>
        <w:rPr>
          <w:rFonts w:hint="eastAsia" w:ascii="宋体" w:hAnsi="宋体" w:cs="宋体"/>
          <w:kern w:val="0"/>
          <w:sz w:val="24"/>
          <w:highlight w:val="none"/>
          <w:u w:val="single"/>
        </w:rPr>
        <w:t>年，质量要求：国家相关质量验收合格标准。</w:t>
      </w:r>
    </w:p>
    <w:p>
      <w:pPr>
        <w:widowControl/>
        <w:spacing w:line="560" w:lineRule="exact"/>
        <w:ind w:firstLine="480" w:firstLineChars="200"/>
        <w:jc w:val="left"/>
        <w:rPr>
          <w:rFonts w:ascii="宋体" w:hAnsi="宋体" w:cs="宋体"/>
          <w:kern w:val="0"/>
          <w:sz w:val="24"/>
          <w:u w:val="single"/>
        </w:rPr>
      </w:pPr>
      <w:r>
        <w:rPr>
          <w:rFonts w:hint="eastAsia" w:ascii="宋体" w:hAnsi="宋体" w:cs="宋体"/>
          <w:kern w:val="0"/>
          <w:sz w:val="24"/>
          <w:highlight w:val="none"/>
        </w:rPr>
        <w:t>6、合同履行期限：</w:t>
      </w:r>
      <w:r>
        <w:rPr>
          <w:rFonts w:hint="eastAsia" w:ascii="宋体" w:hAnsi="宋体" w:cs="宋体"/>
          <w:kern w:val="0"/>
          <w:sz w:val="24"/>
          <w:highlight w:val="none"/>
          <w:u w:val="single"/>
        </w:rPr>
        <w:t>签订合同后</w:t>
      </w:r>
      <w:r>
        <w:rPr>
          <w:rFonts w:hint="eastAsia" w:ascii="宋体" w:hAnsi="宋体" w:cs="宋体"/>
          <w:kern w:val="0"/>
          <w:sz w:val="24"/>
          <w:highlight w:val="none"/>
          <w:u w:val="single"/>
          <w:lang w:val="en-US" w:eastAsia="zh-CN"/>
        </w:rPr>
        <w:t>20</w:t>
      </w:r>
      <w:r>
        <w:rPr>
          <w:rFonts w:hint="eastAsia" w:ascii="宋体" w:hAnsi="宋体" w:cs="宋体"/>
          <w:kern w:val="0"/>
          <w:sz w:val="24"/>
          <w:highlight w:val="none"/>
          <w:u w:val="single"/>
        </w:rPr>
        <w:t>日历天内完</w:t>
      </w:r>
      <w:r>
        <w:rPr>
          <w:rFonts w:hint="eastAsia" w:ascii="宋体" w:hAnsi="宋体" w:cs="宋体"/>
          <w:kern w:val="0"/>
          <w:sz w:val="24"/>
          <w:u w:val="single"/>
        </w:rPr>
        <w:t>成供货、安装等全部工作内容。</w:t>
      </w:r>
    </w:p>
    <w:p>
      <w:pPr>
        <w:widowControl/>
        <w:spacing w:line="560" w:lineRule="exact"/>
        <w:ind w:firstLine="480" w:firstLineChars="200"/>
        <w:jc w:val="left"/>
        <w:rPr>
          <w:rFonts w:ascii="宋体" w:hAnsi="宋体" w:cs="宋体"/>
          <w:kern w:val="0"/>
          <w:sz w:val="24"/>
          <w:u w:val="single"/>
        </w:rPr>
      </w:pPr>
      <w:r>
        <w:rPr>
          <w:rFonts w:hint="eastAsia" w:ascii="宋体" w:hAnsi="宋体" w:cs="宋体"/>
          <w:kern w:val="0"/>
          <w:sz w:val="24"/>
        </w:rPr>
        <w:t>7、本项目不接受联合体投标</w:t>
      </w:r>
    </w:p>
    <w:p>
      <w:pPr>
        <w:pStyle w:val="7"/>
        <w:overflowPunct w:val="0"/>
        <w:spacing w:line="560" w:lineRule="exact"/>
        <w:ind w:firstLine="482" w:firstLineChars="200"/>
        <w:rPr>
          <w:rFonts w:ascii="宋体" w:hAnsi="宋体" w:cs="宋体"/>
          <w:sz w:val="24"/>
          <w:szCs w:val="24"/>
        </w:rPr>
      </w:pPr>
      <w:r>
        <w:rPr>
          <w:rFonts w:hint="eastAsia" w:ascii="宋体" w:hAnsi="宋体" w:cs="宋体"/>
          <w:b/>
          <w:bCs/>
          <w:sz w:val="24"/>
          <w:szCs w:val="24"/>
        </w:rPr>
        <w:t>二、申请人的资格要求</w:t>
      </w:r>
    </w:p>
    <w:p>
      <w:pPr>
        <w:spacing w:line="560" w:lineRule="exact"/>
        <w:ind w:firstLine="480" w:firstLineChars="200"/>
        <w:jc w:val="left"/>
        <w:rPr>
          <w:rFonts w:ascii="宋体" w:hAnsi="宋体" w:cs="宋体"/>
          <w:kern w:val="0"/>
          <w:sz w:val="24"/>
          <w:lang w:val="zh-CN" w:bidi="ar"/>
        </w:rPr>
      </w:pPr>
      <w:r>
        <w:rPr>
          <w:rFonts w:hint="eastAsia" w:ascii="宋体" w:hAnsi="宋体" w:cs="宋体"/>
          <w:sz w:val="24"/>
        </w:rPr>
        <w:t>1、</w:t>
      </w:r>
      <w:r>
        <w:rPr>
          <w:rFonts w:hint="eastAsia" w:ascii="宋体" w:hAnsi="宋体" w:cs="宋体"/>
          <w:kern w:val="0"/>
          <w:sz w:val="24"/>
          <w:lang w:val="zh-CN" w:bidi="ar"/>
        </w:rPr>
        <w:t>满足《中华人民共和国政府采购法》第二十二条规定；</w:t>
      </w:r>
    </w:p>
    <w:p>
      <w:pPr>
        <w:spacing w:line="560" w:lineRule="exact"/>
        <w:ind w:firstLine="480" w:firstLineChars="200"/>
        <w:jc w:val="left"/>
        <w:rPr>
          <w:rFonts w:ascii="宋体" w:hAnsi="宋体" w:cs="宋体"/>
          <w:sz w:val="24"/>
        </w:rPr>
      </w:pPr>
      <w:r>
        <w:rPr>
          <w:rFonts w:hint="eastAsia" w:ascii="宋体" w:hAnsi="宋体" w:cs="宋体"/>
          <w:kern w:val="0"/>
          <w:sz w:val="24"/>
          <w:lang w:bidi="ar"/>
        </w:rPr>
        <w:t>2、</w:t>
      </w:r>
      <w:r>
        <w:rPr>
          <w:rFonts w:hint="eastAsia" w:ascii="宋体" w:hAnsi="宋体" w:cs="宋体"/>
          <w:sz w:val="24"/>
        </w:rPr>
        <w:t xml:space="preserve">投标申请人须在中国境内注册，具有行政主管部门核发的营业执照，有独立订立合同的能力，且具有与本项目相对应产品的经营、安装能力，近三年内没有严重违约和重大质量问题，未处于被责令停业、财产被接管、冻结、破产等状态，未被有关部门暂停投标资格并在暂停期内的。 </w:t>
      </w:r>
    </w:p>
    <w:p>
      <w:pPr>
        <w:spacing w:line="560" w:lineRule="exact"/>
        <w:ind w:firstLine="480" w:firstLineChars="200"/>
        <w:rPr>
          <w:rFonts w:ascii="宋体" w:hAnsi="宋体" w:cs="宋体"/>
          <w:sz w:val="24"/>
        </w:rPr>
      </w:pPr>
      <w:r>
        <w:rPr>
          <w:rFonts w:hint="eastAsia" w:ascii="宋体" w:hAnsi="宋体" w:cs="宋体"/>
          <w:sz w:val="24"/>
        </w:rPr>
        <w:t>3、法定代表人为同一个人的两个或两个以上法人，母公司、全资子公司及其控股公司，只能有一家参加本采购项目的投标。</w:t>
      </w:r>
    </w:p>
    <w:p>
      <w:pPr>
        <w:spacing w:line="560" w:lineRule="exact"/>
        <w:ind w:firstLine="480" w:firstLineChars="200"/>
        <w:rPr>
          <w:rFonts w:ascii="宋体" w:hAnsi="宋体" w:cs="宋体"/>
          <w:sz w:val="24"/>
        </w:rPr>
      </w:pPr>
      <w:r>
        <w:rPr>
          <w:rFonts w:hint="eastAsia" w:ascii="宋体" w:hAnsi="宋体" w:cs="宋体"/>
          <w:sz w:val="24"/>
        </w:rPr>
        <w:t>4、投标人提供的产品及配件等不得涉及专利等商业纠纷。</w:t>
      </w:r>
    </w:p>
    <w:p>
      <w:pPr>
        <w:spacing w:line="560" w:lineRule="exact"/>
        <w:ind w:firstLine="480" w:firstLineChars="200"/>
        <w:contextualSpacing/>
        <w:rPr>
          <w:rFonts w:ascii="宋体" w:hAnsi="宋体" w:cs="宋体"/>
          <w:sz w:val="24"/>
        </w:rPr>
      </w:pPr>
      <w:r>
        <w:rPr>
          <w:rFonts w:hint="eastAsia" w:ascii="宋体" w:hAnsi="宋体" w:cs="宋体"/>
          <w:sz w:val="24"/>
        </w:rPr>
        <w:t>5、投标人须具有良好的商业信誉和健全的财务会计制度，有提供优质售后服务的专业技术能力；</w:t>
      </w:r>
    </w:p>
    <w:p>
      <w:pPr>
        <w:spacing w:line="560" w:lineRule="exact"/>
        <w:ind w:firstLine="480" w:firstLineChars="200"/>
        <w:jc w:val="left"/>
        <w:rPr>
          <w:rFonts w:ascii="宋体" w:hAnsi="宋体" w:cs="宋体"/>
          <w:sz w:val="24"/>
        </w:rPr>
      </w:pPr>
      <w:r>
        <w:rPr>
          <w:rFonts w:hint="eastAsia" w:ascii="宋体" w:hAnsi="宋体" w:cs="宋体"/>
          <w:kern w:val="0"/>
          <w:sz w:val="24"/>
        </w:rPr>
        <w:t>6、</w:t>
      </w:r>
      <w:r>
        <w:rPr>
          <w:rFonts w:hint="eastAsia" w:ascii="宋体" w:hAnsi="宋体" w:cs="宋体"/>
          <w:sz w:val="24"/>
        </w:rPr>
        <w:t>本项目招标</w:t>
      </w:r>
      <w:r>
        <w:rPr>
          <w:rFonts w:hint="eastAsia" w:ascii="宋体" w:hAnsi="宋体" w:cs="宋体"/>
          <w:sz w:val="24"/>
          <w:u w:val="single"/>
        </w:rPr>
        <w:t>不接受</w:t>
      </w:r>
      <w:r>
        <w:rPr>
          <w:rFonts w:hint="eastAsia" w:ascii="宋体" w:hAnsi="宋体" w:cs="宋体"/>
          <w:sz w:val="24"/>
        </w:rPr>
        <w:t>联合体投标。</w:t>
      </w:r>
    </w:p>
    <w:p>
      <w:pPr>
        <w:spacing w:line="560" w:lineRule="exact"/>
        <w:ind w:firstLine="480" w:firstLineChars="200"/>
        <w:rPr>
          <w:rFonts w:ascii="宋体" w:hAnsi="宋体" w:cs="宋体"/>
          <w:sz w:val="24"/>
        </w:rPr>
      </w:pPr>
      <w:r>
        <w:rPr>
          <w:rFonts w:hint="eastAsia" w:ascii="宋体" w:hAnsi="宋体" w:cs="宋体"/>
          <w:sz w:val="24"/>
        </w:rPr>
        <w:t>7、 被"信用中国"网站（</w:t>
      </w:r>
      <w:r>
        <w:fldChar w:fldCharType="begin"/>
      </w:r>
      <w:r>
        <w:instrText xml:space="preserve"> HYPERLINK "http://www.creditchina.gov.cn/" </w:instrText>
      </w:r>
      <w:r>
        <w:fldChar w:fldCharType="separate"/>
      </w:r>
      <w:r>
        <w:rPr>
          <w:rStyle w:val="37"/>
          <w:rFonts w:hint="eastAsia" w:ascii="宋体" w:hAnsi="宋体" w:cs="宋体"/>
          <w:color w:val="auto"/>
          <w:sz w:val="24"/>
        </w:rPr>
        <w:t>www.creditchina.gov.cn</w:t>
      </w:r>
      <w:r>
        <w:rPr>
          <w:rStyle w:val="37"/>
          <w:rFonts w:hint="eastAsia" w:ascii="宋体" w:hAnsi="宋体" w:cs="宋体"/>
          <w:color w:val="auto"/>
          <w:sz w:val="24"/>
        </w:rPr>
        <w:fldChar w:fldCharType="end"/>
      </w:r>
      <w:r>
        <w:rPr>
          <w:rFonts w:hint="eastAsia" w:ascii="宋体" w:hAnsi="宋体" w:cs="宋体"/>
          <w:sz w:val="24"/>
        </w:rPr>
        <w:t>）、"中国政府采购网"(www.ccgp.gov.cn) 列入失信被执行人、重大税收违法案件当事人名单、政府采购严重违法失信行为记录名单的不得 参加本项目采购活动。</w:t>
      </w:r>
    </w:p>
    <w:p>
      <w:pPr>
        <w:spacing w:line="560" w:lineRule="exact"/>
        <w:ind w:firstLine="480" w:firstLineChars="200"/>
        <w:rPr>
          <w:rFonts w:ascii="宋体" w:hAnsi="宋体" w:cs="宋体"/>
          <w:sz w:val="24"/>
        </w:rPr>
      </w:pPr>
      <w:r>
        <w:rPr>
          <w:rFonts w:hint="eastAsia" w:ascii="宋体" w:hAnsi="宋体" w:cs="宋体"/>
          <w:sz w:val="24"/>
        </w:rPr>
        <w:t>8、符合相关法律、法规规定的其他要求。</w:t>
      </w:r>
    </w:p>
    <w:p>
      <w:pPr>
        <w:widowControl/>
        <w:spacing w:line="530" w:lineRule="exact"/>
        <w:ind w:firstLine="482" w:firstLineChars="200"/>
        <w:jc w:val="left"/>
        <w:rPr>
          <w:rFonts w:ascii="宋体" w:hAnsi="宋体" w:cs="宋体"/>
          <w:b/>
          <w:sz w:val="18"/>
          <w:szCs w:val="18"/>
        </w:rPr>
      </w:pPr>
      <w:r>
        <w:rPr>
          <w:rFonts w:hint="eastAsia" w:ascii="宋体" w:hAnsi="宋体" w:cs="宋体"/>
          <w:b/>
          <w:sz w:val="24"/>
        </w:rPr>
        <w:t>三、获取招标文件</w:t>
      </w:r>
    </w:p>
    <w:p>
      <w:pPr>
        <w:widowControl/>
        <w:spacing w:line="530" w:lineRule="exact"/>
        <w:ind w:firstLine="480" w:firstLineChars="200"/>
        <w:jc w:val="left"/>
        <w:rPr>
          <w:rFonts w:ascii="宋体" w:hAnsi="宋体" w:cs="宋体"/>
          <w:bCs/>
          <w:sz w:val="24"/>
        </w:rPr>
      </w:pPr>
      <w:r>
        <w:rPr>
          <w:rFonts w:hint="eastAsia" w:ascii="宋体" w:hAnsi="宋体" w:cs="宋体"/>
          <w:bCs/>
          <w:sz w:val="24"/>
        </w:rPr>
        <w:t>1、各潜在投标人采用网上方式报名及下载招标文件，具体步骤如下：</w:t>
      </w:r>
    </w:p>
    <w:p>
      <w:pPr>
        <w:widowControl/>
        <w:spacing w:line="530" w:lineRule="exact"/>
        <w:ind w:firstLine="480" w:firstLineChars="200"/>
        <w:jc w:val="left"/>
        <w:rPr>
          <w:rFonts w:ascii="宋体" w:hAnsi="宋体" w:cs="宋体"/>
          <w:bCs/>
          <w:sz w:val="24"/>
        </w:rPr>
      </w:pPr>
      <w:r>
        <w:rPr>
          <w:rFonts w:hint="eastAsia" w:ascii="宋体" w:hAnsi="宋体" w:cs="宋体"/>
          <w:bCs/>
          <w:sz w:val="24"/>
        </w:rPr>
        <w:t>⑴</w:t>
      </w:r>
      <w:r>
        <w:rPr>
          <w:rFonts w:hint="eastAsia" w:ascii="宋体" w:hAnsi="宋体" w:cs="宋体"/>
          <w:sz w:val="24"/>
        </w:rPr>
        <w:t>各潜在投标人（供应商）下载采购类项目网上报名操作指南（网址：</w:t>
      </w:r>
      <w:r>
        <w:rPr>
          <w:rFonts w:hint="eastAsia" w:ascii="宋体" w:hAnsi="宋体" w:cs="宋体"/>
          <w:sz w:val="24"/>
          <w:u w:val="single"/>
        </w:rPr>
        <w:t>http://ggzy.dafeng.gov.cn/dfweb/InfoDetail/?InfoID=8a98b92b-4bd3-4d80-afcf-ddb1d664dfbf&amp;CategoryNum=029</w:t>
      </w:r>
      <w:r>
        <w:rPr>
          <w:rFonts w:hint="eastAsia" w:ascii="宋体" w:hAnsi="宋体" w:cs="宋体"/>
          <w:sz w:val="24"/>
        </w:rPr>
        <w:t>）；</w:t>
      </w:r>
    </w:p>
    <w:p>
      <w:pPr>
        <w:widowControl/>
        <w:spacing w:line="530" w:lineRule="exact"/>
        <w:ind w:firstLine="480" w:firstLineChars="200"/>
        <w:jc w:val="left"/>
        <w:rPr>
          <w:rFonts w:ascii="宋体" w:hAnsi="宋体" w:cs="宋体"/>
          <w:bCs/>
          <w:sz w:val="24"/>
        </w:rPr>
      </w:pPr>
      <w:r>
        <w:rPr>
          <w:rFonts w:hint="eastAsia" w:ascii="宋体" w:hAnsi="宋体" w:cs="宋体"/>
          <w:bCs/>
          <w:sz w:val="24"/>
        </w:rPr>
        <w:t>⑵各潜在投标人根据网上报名操作指南进行操作，仔细阅读采购类项目网上报名操作指南，认真掌握操作方法(请牢记登录名和密码)，确保信息准确无误，如填报错误,后果由投标单位自行承担；</w:t>
      </w:r>
    </w:p>
    <w:p>
      <w:pPr>
        <w:widowControl/>
        <w:spacing w:line="530" w:lineRule="exact"/>
        <w:ind w:firstLine="480" w:firstLineChars="200"/>
        <w:jc w:val="left"/>
        <w:rPr>
          <w:rFonts w:ascii="宋体" w:hAnsi="宋体" w:cs="宋体"/>
          <w:bCs/>
          <w:sz w:val="24"/>
        </w:rPr>
      </w:pPr>
      <w:r>
        <w:rPr>
          <w:rFonts w:hint="eastAsia" w:ascii="宋体" w:hAnsi="宋体" w:cs="宋体"/>
          <w:bCs/>
          <w:sz w:val="24"/>
        </w:rPr>
        <w:t>⑶各潜在投标人（供应商）在交纳招标文件工本费并下载招标文件后，报名视为成功。若未交纳招标文件工本费或未在报名系统下载招标文件，均视为未报名 (本项目招标文件售价：详见报名系统)；</w:t>
      </w:r>
    </w:p>
    <w:p>
      <w:pPr>
        <w:widowControl/>
        <w:spacing w:line="530" w:lineRule="exact"/>
        <w:ind w:firstLine="480" w:firstLineChars="200"/>
        <w:jc w:val="left"/>
        <w:rPr>
          <w:rFonts w:ascii="宋体" w:hAnsi="宋体" w:cs="宋体"/>
          <w:bCs/>
          <w:sz w:val="24"/>
        </w:rPr>
      </w:pPr>
      <w:r>
        <w:rPr>
          <w:rFonts w:hint="eastAsia" w:ascii="宋体" w:hAnsi="宋体" w:cs="宋体"/>
          <w:bCs/>
          <w:sz w:val="24"/>
        </w:rPr>
        <w:t>⑷报名技术咨询电话：刘文辉，0515—83927236，或咨询本项目的招标代理联系人。</w:t>
      </w:r>
    </w:p>
    <w:p>
      <w:pPr>
        <w:widowControl/>
        <w:spacing w:line="530" w:lineRule="exact"/>
        <w:ind w:firstLine="480" w:firstLineChars="200"/>
        <w:jc w:val="left"/>
        <w:rPr>
          <w:rFonts w:ascii="宋体" w:hAnsi="宋体" w:cs="宋体"/>
          <w:bCs/>
          <w:sz w:val="24"/>
        </w:rPr>
      </w:pPr>
      <w:r>
        <w:rPr>
          <w:rFonts w:hint="eastAsia" w:ascii="宋体" w:hAnsi="宋体" w:cs="宋体"/>
          <w:bCs/>
          <w:sz w:val="24"/>
        </w:rPr>
        <w:t>⑸售价：250元/份。</w:t>
      </w:r>
    </w:p>
    <w:p>
      <w:pPr>
        <w:widowControl/>
        <w:spacing w:line="530" w:lineRule="exact"/>
        <w:ind w:firstLine="480" w:firstLineChars="200"/>
        <w:jc w:val="left"/>
        <w:rPr>
          <w:rFonts w:ascii="宋体" w:hAnsi="宋体" w:cs="宋体"/>
          <w:bCs/>
          <w:sz w:val="24"/>
        </w:rPr>
      </w:pPr>
      <w:r>
        <w:rPr>
          <w:rFonts w:hint="eastAsia" w:ascii="宋体" w:hAnsi="宋体" w:cs="宋体"/>
          <w:bCs/>
          <w:sz w:val="24"/>
        </w:rPr>
        <w:t>2、请各投标申请人于</w:t>
      </w:r>
      <w:r>
        <w:rPr>
          <w:rFonts w:hint="eastAsia" w:ascii="宋体" w:hAnsi="宋体" w:cs="宋体"/>
          <w:bCs/>
          <w:sz w:val="24"/>
          <w:u w:val="single"/>
        </w:rPr>
        <w:t>202</w:t>
      </w:r>
      <w:r>
        <w:rPr>
          <w:rFonts w:hint="eastAsia" w:ascii="宋体" w:hAnsi="宋体" w:cs="宋体"/>
          <w:bCs/>
          <w:sz w:val="24"/>
          <w:u w:val="single"/>
          <w:lang w:val="en-US" w:eastAsia="zh-CN"/>
        </w:rPr>
        <w:t>1</w:t>
      </w:r>
      <w:r>
        <w:rPr>
          <w:rFonts w:hint="eastAsia" w:ascii="宋体" w:hAnsi="宋体" w:cs="宋体"/>
          <w:bCs/>
          <w:sz w:val="24"/>
        </w:rPr>
        <w:t>年</w:t>
      </w:r>
      <w:r>
        <w:rPr>
          <w:rFonts w:hint="eastAsia" w:ascii="宋体" w:hAnsi="宋体" w:cs="宋体"/>
          <w:bCs/>
          <w:sz w:val="24"/>
          <w:u w:val="single"/>
          <w:lang w:val="en-US" w:eastAsia="zh-CN"/>
        </w:rPr>
        <w:t>1</w:t>
      </w:r>
      <w:r>
        <w:rPr>
          <w:rFonts w:hint="eastAsia" w:ascii="宋体" w:hAnsi="宋体" w:cs="宋体"/>
          <w:bCs/>
          <w:sz w:val="24"/>
        </w:rPr>
        <w:t>月</w:t>
      </w:r>
      <w:r>
        <w:rPr>
          <w:rFonts w:hint="eastAsia" w:ascii="宋体" w:hAnsi="宋体" w:cs="宋体"/>
          <w:bCs/>
          <w:sz w:val="24"/>
          <w:u w:val="single"/>
          <w:lang w:val="en-US" w:eastAsia="zh-CN"/>
        </w:rPr>
        <w:t>6</w:t>
      </w:r>
      <w:r>
        <w:rPr>
          <w:rFonts w:hint="eastAsia" w:ascii="宋体" w:hAnsi="宋体" w:cs="宋体"/>
          <w:bCs/>
          <w:sz w:val="24"/>
        </w:rPr>
        <w:t>日至</w:t>
      </w:r>
      <w:r>
        <w:rPr>
          <w:rFonts w:hint="eastAsia" w:ascii="宋体" w:hAnsi="宋体" w:cs="宋体"/>
          <w:bCs/>
          <w:sz w:val="24"/>
          <w:u w:val="single"/>
        </w:rPr>
        <w:t>202</w:t>
      </w:r>
      <w:r>
        <w:rPr>
          <w:rFonts w:hint="eastAsia" w:ascii="宋体" w:hAnsi="宋体" w:cs="宋体"/>
          <w:bCs/>
          <w:sz w:val="24"/>
          <w:u w:val="single"/>
          <w:lang w:val="en-US" w:eastAsia="zh-CN"/>
        </w:rPr>
        <w:t>1</w:t>
      </w:r>
      <w:r>
        <w:rPr>
          <w:rFonts w:hint="eastAsia" w:ascii="宋体" w:hAnsi="宋体" w:cs="宋体"/>
          <w:bCs/>
          <w:sz w:val="24"/>
        </w:rPr>
        <w:t>年</w:t>
      </w:r>
      <w:r>
        <w:rPr>
          <w:rFonts w:hint="eastAsia" w:ascii="宋体" w:hAnsi="宋体" w:cs="宋体"/>
          <w:bCs/>
          <w:sz w:val="24"/>
          <w:u w:val="single"/>
          <w:lang w:val="en-US" w:eastAsia="zh-CN"/>
        </w:rPr>
        <w:t>1</w:t>
      </w:r>
      <w:r>
        <w:rPr>
          <w:rFonts w:hint="eastAsia" w:ascii="宋体" w:hAnsi="宋体" w:cs="宋体"/>
          <w:bCs/>
          <w:sz w:val="24"/>
        </w:rPr>
        <w:t>月</w:t>
      </w:r>
      <w:r>
        <w:rPr>
          <w:rFonts w:hint="eastAsia" w:ascii="宋体" w:hAnsi="宋体" w:cs="宋体"/>
          <w:bCs/>
          <w:sz w:val="24"/>
          <w:u w:val="single"/>
          <w:lang w:val="en-US" w:eastAsia="zh-CN"/>
        </w:rPr>
        <w:t>13</w:t>
      </w:r>
      <w:r>
        <w:rPr>
          <w:rFonts w:hint="eastAsia" w:ascii="宋体" w:hAnsi="宋体" w:cs="宋体"/>
          <w:bCs/>
          <w:sz w:val="24"/>
        </w:rPr>
        <w:t>日进行网上报名及下载招标文件，如在规定时间内未下载招标文件，由此引起的责任自负。</w:t>
      </w:r>
    </w:p>
    <w:p>
      <w:pPr>
        <w:widowControl/>
        <w:spacing w:line="530" w:lineRule="exact"/>
        <w:ind w:firstLine="482" w:firstLineChars="200"/>
        <w:jc w:val="left"/>
        <w:rPr>
          <w:rFonts w:ascii="宋体" w:hAnsi="宋体" w:cs="宋体"/>
          <w:b/>
          <w:sz w:val="24"/>
        </w:rPr>
      </w:pPr>
      <w:r>
        <w:rPr>
          <w:rFonts w:hint="eastAsia" w:ascii="宋体" w:hAnsi="宋体" w:cs="宋体"/>
          <w:b/>
          <w:bCs/>
          <w:sz w:val="24"/>
        </w:rPr>
        <w:t>四、提交投标文件截止时间、开标时间和地点</w:t>
      </w:r>
    </w:p>
    <w:p>
      <w:pPr>
        <w:spacing w:line="530" w:lineRule="exact"/>
        <w:ind w:firstLine="480" w:firstLineChars="200"/>
        <w:rPr>
          <w:rFonts w:ascii="宋体" w:hAnsi="宋体"/>
          <w:sz w:val="24"/>
        </w:rPr>
      </w:pPr>
      <w:r>
        <w:rPr>
          <w:rFonts w:hint="eastAsia" w:ascii="宋体" w:hAnsi="宋体"/>
          <w:sz w:val="24"/>
        </w:rPr>
        <w:t>4.1投标文件提交开始及截止时间：</w:t>
      </w:r>
    </w:p>
    <w:p>
      <w:pPr>
        <w:spacing w:line="530" w:lineRule="exact"/>
        <w:ind w:firstLine="480" w:firstLineChars="200"/>
        <w:rPr>
          <w:rFonts w:ascii="宋体" w:hAnsi="宋体"/>
          <w:sz w:val="24"/>
        </w:rPr>
      </w:pPr>
      <w:r>
        <w:rPr>
          <w:rFonts w:hint="eastAsia" w:ascii="宋体" w:hAnsi="宋体"/>
          <w:sz w:val="24"/>
        </w:rPr>
        <w:t>纸质投标文件的递交开始时间：202</w:t>
      </w:r>
      <w:r>
        <w:rPr>
          <w:rFonts w:hint="eastAsia" w:ascii="宋体" w:hAnsi="宋体"/>
          <w:sz w:val="24"/>
          <w:lang w:val="en-US" w:eastAsia="zh-CN"/>
        </w:rPr>
        <w:t>1</w:t>
      </w:r>
      <w:r>
        <w:rPr>
          <w:rFonts w:hint="eastAsia" w:ascii="宋体" w:hAnsi="宋体"/>
          <w:sz w:val="24"/>
        </w:rPr>
        <w:t>年</w:t>
      </w:r>
      <w:r>
        <w:rPr>
          <w:rFonts w:hint="eastAsia" w:ascii="宋体" w:hAnsi="宋体"/>
          <w:sz w:val="24"/>
          <w:u w:val="single"/>
        </w:rPr>
        <w:t>1</w:t>
      </w:r>
      <w:r>
        <w:rPr>
          <w:rFonts w:hint="eastAsia" w:ascii="宋体" w:hAnsi="宋体"/>
          <w:sz w:val="24"/>
        </w:rPr>
        <w:t>月</w:t>
      </w:r>
      <w:r>
        <w:rPr>
          <w:rFonts w:hint="eastAsia" w:ascii="宋体" w:hAnsi="宋体"/>
          <w:sz w:val="24"/>
          <w:u w:val="single"/>
          <w:lang w:val="en-US" w:eastAsia="zh-CN"/>
        </w:rPr>
        <w:t>28</w:t>
      </w:r>
      <w:r>
        <w:rPr>
          <w:rFonts w:hint="eastAsia" w:ascii="宋体" w:hAnsi="宋体"/>
          <w:sz w:val="24"/>
        </w:rPr>
        <w:t>日</w:t>
      </w:r>
      <w:r>
        <w:rPr>
          <w:rFonts w:hint="eastAsia" w:ascii="宋体" w:hAnsi="宋体"/>
          <w:sz w:val="24"/>
          <w:u w:val="single"/>
          <w:lang w:val="en-US" w:eastAsia="zh-CN"/>
        </w:rPr>
        <w:t>8</w:t>
      </w:r>
      <w:r>
        <w:rPr>
          <w:rFonts w:hint="eastAsia" w:ascii="宋体" w:hAnsi="宋体"/>
          <w:sz w:val="24"/>
        </w:rPr>
        <w:t>时</w:t>
      </w:r>
      <w:r>
        <w:rPr>
          <w:rFonts w:hint="eastAsia" w:ascii="宋体" w:hAnsi="宋体"/>
          <w:sz w:val="24"/>
          <w:u w:val="single"/>
          <w:lang w:val="en-US" w:eastAsia="zh-CN"/>
        </w:rPr>
        <w:t>30</w:t>
      </w:r>
      <w:r>
        <w:rPr>
          <w:rFonts w:hint="eastAsia" w:ascii="宋体" w:hAnsi="宋体"/>
          <w:sz w:val="24"/>
        </w:rPr>
        <w:t>分</w:t>
      </w:r>
    </w:p>
    <w:p>
      <w:pPr>
        <w:spacing w:line="530" w:lineRule="exact"/>
        <w:ind w:firstLine="480" w:firstLineChars="200"/>
        <w:rPr>
          <w:rFonts w:ascii="宋体" w:hAnsi="宋体"/>
          <w:sz w:val="24"/>
        </w:rPr>
      </w:pPr>
      <w:r>
        <w:rPr>
          <w:rFonts w:hint="eastAsia" w:ascii="宋体" w:hAnsi="宋体"/>
          <w:sz w:val="24"/>
        </w:rPr>
        <w:t>纸质投标文件的递交截止时间：202</w:t>
      </w:r>
      <w:r>
        <w:rPr>
          <w:rFonts w:hint="eastAsia" w:ascii="宋体" w:hAnsi="宋体"/>
          <w:sz w:val="24"/>
          <w:lang w:val="en-US" w:eastAsia="zh-CN"/>
        </w:rPr>
        <w:t>1</w:t>
      </w:r>
      <w:r>
        <w:rPr>
          <w:rFonts w:hint="eastAsia" w:ascii="宋体" w:hAnsi="宋体"/>
          <w:sz w:val="24"/>
        </w:rPr>
        <w:t>年</w:t>
      </w:r>
      <w:r>
        <w:rPr>
          <w:rFonts w:hint="eastAsia" w:ascii="宋体" w:hAnsi="宋体"/>
          <w:sz w:val="24"/>
          <w:u w:val="single"/>
        </w:rPr>
        <w:t>1</w:t>
      </w:r>
      <w:r>
        <w:rPr>
          <w:rFonts w:hint="eastAsia" w:ascii="宋体" w:hAnsi="宋体"/>
          <w:sz w:val="24"/>
        </w:rPr>
        <w:t>月</w:t>
      </w:r>
      <w:r>
        <w:rPr>
          <w:rFonts w:hint="eastAsia" w:ascii="宋体" w:hAnsi="宋体"/>
          <w:sz w:val="24"/>
          <w:u w:val="single"/>
          <w:lang w:val="en-US" w:eastAsia="zh-CN"/>
        </w:rPr>
        <w:t>28</w:t>
      </w:r>
      <w:r>
        <w:rPr>
          <w:rFonts w:hint="eastAsia" w:ascii="宋体" w:hAnsi="宋体"/>
          <w:sz w:val="24"/>
        </w:rPr>
        <w:t>日</w:t>
      </w:r>
      <w:r>
        <w:rPr>
          <w:rFonts w:hint="eastAsia" w:ascii="宋体" w:hAnsi="宋体"/>
          <w:sz w:val="24"/>
          <w:u w:val="single"/>
          <w:lang w:val="en-US" w:eastAsia="zh-CN"/>
        </w:rPr>
        <w:t>9</w:t>
      </w:r>
      <w:r>
        <w:rPr>
          <w:rFonts w:hint="eastAsia" w:ascii="宋体" w:hAnsi="宋体"/>
          <w:sz w:val="24"/>
        </w:rPr>
        <w:t>时</w:t>
      </w:r>
      <w:r>
        <w:rPr>
          <w:rFonts w:hint="eastAsia" w:ascii="宋体" w:hAnsi="宋体"/>
          <w:sz w:val="24"/>
          <w:u w:val="single"/>
          <w:lang w:val="en-US" w:eastAsia="zh-CN"/>
        </w:rPr>
        <w:t>0</w:t>
      </w:r>
      <w:r>
        <w:rPr>
          <w:rFonts w:hint="eastAsia" w:ascii="宋体" w:hAnsi="宋体"/>
          <w:sz w:val="24"/>
        </w:rPr>
        <w:t>分，逾期提交的文件拒绝接受。</w:t>
      </w:r>
    </w:p>
    <w:p>
      <w:pPr>
        <w:spacing w:line="530" w:lineRule="exact"/>
        <w:ind w:firstLine="480" w:firstLineChars="200"/>
        <w:rPr>
          <w:rFonts w:ascii="宋体" w:hAnsi="宋体"/>
          <w:sz w:val="24"/>
        </w:rPr>
      </w:pPr>
      <w:r>
        <w:rPr>
          <w:rFonts w:hint="eastAsia" w:ascii="宋体" w:hAnsi="宋体"/>
          <w:sz w:val="24"/>
        </w:rPr>
        <w:t>4.2开标时间：202</w:t>
      </w:r>
      <w:r>
        <w:rPr>
          <w:rFonts w:hint="eastAsia" w:ascii="宋体" w:hAnsi="宋体"/>
          <w:sz w:val="24"/>
          <w:lang w:val="en-US" w:eastAsia="zh-CN"/>
        </w:rPr>
        <w:t>1</w:t>
      </w:r>
      <w:r>
        <w:rPr>
          <w:rFonts w:hint="eastAsia" w:ascii="宋体" w:hAnsi="宋体"/>
          <w:sz w:val="24"/>
        </w:rPr>
        <w:t>年</w:t>
      </w:r>
      <w:r>
        <w:rPr>
          <w:rFonts w:hint="eastAsia" w:ascii="宋体" w:hAnsi="宋体"/>
          <w:sz w:val="24"/>
          <w:u w:val="single"/>
        </w:rPr>
        <w:t>1</w:t>
      </w:r>
      <w:r>
        <w:rPr>
          <w:rFonts w:hint="eastAsia" w:ascii="宋体" w:hAnsi="宋体"/>
          <w:sz w:val="24"/>
        </w:rPr>
        <w:t>月</w:t>
      </w:r>
      <w:r>
        <w:rPr>
          <w:rFonts w:hint="eastAsia" w:ascii="宋体" w:hAnsi="宋体"/>
          <w:sz w:val="24"/>
          <w:u w:val="single"/>
          <w:lang w:val="en-US" w:eastAsia="zh-CN"/>
        </w:rPr>
        <w:t>28</w:t>
      </w:r>
      <w:r>
        <w:rPr>
          <w:rFonts w:hint="eastAsia" w:ascii="宋体" w:hAnsi="宋体"/>
          <w:sz w:val="24"/>
        </w:rPr>
        <w:t>日</w:t>
      </w:r>
      <w:r>
        <w:rPr>
          <w:rFonts w:hint="eastAsia" w:ascii="宋体" w:hAnsi="宋体"/>
          <w:sz w:val="24"/>
          <w:u w:val="single"/>
          <w:lang w:val="en-US" w:eastAsia="zh-CN"/>
        </w:rPr>
        <w:t>9</w:t>
      </w:r>
      <w:r>
        <w:rPr>
          <w:rFonts w:hint="eastAsia" w:ascii="宋体" w:hAnsi="宋体"/>
          <w:sz w:val="24"/>
        </w:rPr>
        <w:t>时</w:t>
      </w:r>
      <w:r>
        <w:rPr>
          <w:rFonts w:hint="eastAsia" w:ascii="宋体" w:hAnsi="宋体"/>
          <w:sz w:val="24"/>
          <w:u w:val="single"/>
          <w:lang w:val="en-US" w:eastAsia="zh-CN"/>
        </w:rPr>
        <w:t>0</w:t>
      </w:r>
      <w:r>
        <w:rPr>
          <w:rFonts w:hint="eastAsia" w:ascii="宋体" w:hAnsi="宋体"/>
          <w:sz w:val="24"/>
        </w:rPr>
        <w:t>分</w:t>
      </w:r>
    </w:p>
    <w:p>
      <w:pPr>
        <w:spacing w:line="530" w:lineRule="exact"/>
        <w:ind w:firstLine="480" w:firstLineChars="200"/>
        <w:rPr>
          <w:rFonts w:ascii="宋体" w:hAnsi="宋体"/>
          <w:sz w:val="24"/>
        </w:rPr>
      </w:pPr>
      <w:r>
        <w:rPr>
          <w:rFonts w:hint="eastAsia" w:ascii="宋体" w:hAnsi="宋体"/>
          <w:sz w:val="24"/>
        </w:rPr>
        <w:t>4.3 开标地点：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w:t>
      </w:r>
      <w:r>
        <w:rPr>
          <w:rFonts w:ascii="宋体" w:hAnsi="宋体"/>
          <w:sz w:val="24"/>
        </w:rPr>
        <w:t>结合当前疫情防控要求，本</w:t>
      </w:r>
      <w:r>
        <w:rPr>
          <w:rFonts w:hint="eastAsia" w:ascii="宋体" w:hAnsi="宋体"/>
          <w:sz w:val="24"/>
        </w:rPr>
        <w:t>项目开标方式为</w:t>
      </w:r>
      <w:r>
        <w:rPr>
          <w:rFonts w:ascii="宋体" w:hAnsi="宋体"/>
          <w:sz w:val="24"/>
        </w:rPr>
        <w:t>不见面</w:t>
      </w:r>
      <w:r>
        <w:rPr>
          <w:rFonts w:hint="eastAsia" w:ascii="宋体" w:hAnsi="宋体"/>
          <w:sz w:val="24"/>
        </w:rPr>
        <w:t>纸质文件</w:t>
      </w:r>
      <w:r>
        <w:rPr>
          <w:rFonts w:ascii="宋体" w:hAnsi="宋体"/>
          <w:sz w:val="24"/>
        </w:rPr>
        <w:t>开标</w:t>
      </w:r>
      <w:r>
        <w:rPr>
          <w:rFonts w:hint="eastAsia" w:ascii="宋体" w:hAnsi="宋体"/>
          <w:sz w:val="24"/>
        </w:rPr>
        <w:t>。</w:t>
      </w:r>
      <w:r>
        <w:rPr>
          <w:rFonts w:ascii="宋体" w:hAnsi="宋体"/>
          <w:sz w:val="24"/>
        </w:rPr>
        <w:t>开标当日，投标人无需到达开标现场，仅需在任意地点通过 PC端或移动端的“腾讯会议”及相应的配套硬件设备参加开标会议</w:t>
      </w:r>
      <w:r>
        <w:rPr>
          <w:rFonts w:hint="eastAsia" w:ascii="宋体" w:hAnsi="宋体"/>
          <w:sz w:val="24"/>
        </w:rPr>
        <w:t>。</w:t>
      </w:r>
    </w:p>
    <w:p>
      <w:pPr>
        <w:spacing w:line="530" w:lineRule="exact"/>
        <w:ind w:firstLine="480" w:firstLineChars="200"/>
        <w:rPr>
          <w:rFonts w:ascii="宋体" w:hAnsi="宋体"/>
          <w:sz w:val="24"/>
        </w:rPr>
      </w:pPr>
      <w:r>
        <w:rPr>
          <w:rFonts w:hint="eastAsia" w:ascii="宋体" w:hAnsi="宋体"/>
          <w:sz w:val="24"/>
        </w:rPr>
        <w:t>参加会议的方法（必选）：电脑或智能手机可以搜索下载并安装“腾讯会议”，注册完成后点击“加入会议”，输入会议号“</w:t>
      </w:r>
      <w:r>
        <w:rPr>
          <w:rFonts w:ascii="宋体" w:hAnsi="宋体" w:eastAsia="宋体" w:cs="宋体"/>
          <w:sz w:val="24"/>
          <w:szCs w:val="24"/>
        </w:rPr>
        <w:t>794509477</w:t>
      </w:r>
      <w:r>
        <w:rPr>
          <w:rFonts w:ascii="宋体" w:hAnsi="宋体"/>
          <w:sz w:val="24"/>
        </w:rPr>
        <w:t>”，“您的姓名”按“单位</w:t>
      </w:r>
      <w:r>
        <w:rPr>
          <w:rFonts w:hint="eastAsia" w:ascii="宋体" w:hAnsi="宋体"/>
          <w:sz w:val="24"/>
        </w:rPr>
        <w:t>简</w:t>
      </w:r>
      <w:r>
        <w:rPr>
          <w:rFonts w:ascii="宋体" w:hAnsi="宋体"/>
          <w:sz w:val="24"/>
        </w:rPr>
        <w:t>称+授权委托人姓名”格式填写，然后点击“加入会议”。会议系统将在投标截止时间前10分钟开放。</w:t>
      </w:r>
    </w:p>
    <w:p>
      <w:pPr>
        <w:spacing w:line="530" w:lineRule="exact"/>
        <w:ind w:firstLine="482" w:firstLineChars="200"/>
        <w:rPr>
          <w:rFonts w:ascii="宋体" w:hAnsi="宋体"/>
          <w:b/>
          <w:sz w:val="24"/>
        </w:rPr>
      </w:pPr>
      <w:r>
        <w:rPr>
          <w:rFonts w:hint="eastAsia" w:ascii="宋体" w:hAnsi="宋体"/>
          <w:b/>
          <w:sz w:val="24"/>
        </w:rPr>
        <w:t>五、公告期限</w:t>
      </w:r>
    </w:p>
    <w:p>
      <w:pPr>
        <w:spacing w:line="530" w:lineRule="exact"/>
        <w:ind w:firstLine="480" w:firstLineChars="200"/>
        <w:rPr>
          <w:rFonts w:ascii="宋体" w:hAnsi="宋体"/>
          <w:sz w:val="24"/>
        </w:rPr>
      </w:pPr>
      <w:r>
        <w:rPr>
          <w:rFonts w:hint="eastAsia" w:ascii="宋体" w:hAnsi="宋体"/>
          <w:sz w:val="24"/>
        </w:rPr>
        <w:t>自本公告发布之日起5个工作日。</w:t>
      </w:r>
    </w:p>
    <w:p>
      <w:pPr>
        <w:spacing w:line="530" w:lineRule="exact"/>
        <w:ind w:firstLine="482" w:firstLineChars="200"/>
        <w:rPr>
          <w:rFonts w:ascii="宋体" w:hAnsi="宋体"/>
          <w:b/>
          <w:sz w:val="24"/>
        </w:rPr>
      </w:pPr>
      <w:r>
        <w:rPr>
          <w:rFonts w:hint="eastAsia" w:ascii="宋体" w:hAnsi="宋体"/>
          <w:b/>
          <w:sz w:val="24"/>
        </w:rPr>
        <w:t>六、其他补充事宜</w:t>
      </w:r>
    </w:p>
    <w:p>
      <w:pPr>
        <w:spacing w:line="530" w:lineRule="exact"/>
        <w:ind w:firstLine="480" w:firstLineChars="200"/>
        <w:rPr>
          <w:rFonts w:ascii="宋体" w:hAnsi="宋体"/>
          <w:sz w:val="24"/>
        </w:rPr>
      </w:pPr>
      <w:r>
        <w:rPr>
          <w:rFonts w:hint="eastAsia" w:ascii="宋体" w:hAnsi="宋体"/>
          <w:sz w:val="24"/>
        </w:rPr>
        <w:t>1、本项目资金来源：</w:t>
      </w:r>
      <w:r>
        <w:rPr>
          <w:rFonts w:hint="eastAsia" w:ascii="宋体" w:hAnsi="宋体"/>
          <w:sz w:val="24"/>
          <w:u w:val="single"/>
        </w:rPr>
        <w:t>区财政</w:t>
      </w:r>
    </w:p>
    <w:p>
      <w:pPr>
        <w:widowControl/>
        <w:spacing w:line="560" w:lineRule="exact"/>
        <w:ind w:firstLine="480" w:firstLineChars="200"/>
        <w:jc w:val="left"/>
        <w:rPr>
          <w:rFonts w:ascii="宋体" w:hAnsi="宋体" w:cs="宋体"/>
          <w:spacing w:val="-4"/>
          <w:kern w:val="0"/>
          <w:sz w:val="24"/>
          <w:u w:val="single"/>
          <w:lang w:val="zh-CN"/>
        </w:rPr>
      </w:pPr>
      <w:r>
        <w:rPr>
          <w:rFonts w:hint="eastAsia" w:ascii="宋体" w:hAnsi="宋体"/>
          <w:sz w:val="24"/>
        </w:rPr>
        <w:t>2、</w:t>
      </w:r>
      <w:r>
        <w:rPr>
          <w:rFonts w:hint="eastAsia" w:ascii="宋体" w:hAnsi="宋体" w:cs="宋体"/>
          <w:kern w:val="0"/>
          <w:sz w:val="24"/>
        </w:rPr>
        <w:t>项目标段划分：</w:t>
      </w:r>
      <w:r>
        <w:rPr>
          <w:rFonts w:hint="eastAsia" w:ascii="宋体" w:hAnsi="宋体" w:cs="宋体"/>
          <w:spacing w:val="-4"/>
          <w:kern w:val="0"/>
          <w:sz w:val="24"/>
          <w:u w:val="single"/>
          <w:lang w:val="zh-CN"/>
        </w:rPr>
        <w:t>大丰区幸福路小学LED全彩显示屏及灯光采购、安装及伴随服务项目共划分1个标段，标段信息如下：</w:t>
      </w:r>
    </w:p>
    <w:tbl>
      <w:tblPr>
        <w:tblStyle w:val="31"/>
        <w:tblW w:w="0" w:type="auto"/>
        <w:tblInd w:w="6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3"/>
        <w:gridCol w:w="4536"/>
        <w:gridCol w:w="1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Borders>
              <w:right w:val="single" w:color="auto" w:sz="4" w:space="0"/>
            </w:tcBorders>
          </w:tcPr>
          <w:p>
            <w:pPr>
              <w:widowControl/>
              <w:spacing w:line="276" w:lineRule="auto"/>
              <w:jc w:val="center"/>
              <w:rPr>
                <w:rFonts w:ascii="宋体" w:hAnsi="宋体" w:cs="宋体"/>
                <w:kern w:val="0"/>
                <w:sz w:val="22"/>
              </w:rPr>
            </w:pPr>
            <w:r>
              <w:rPr>
                <w:rFonts w:hint="eastAsia" w:ascii="宋体" w:hAnsi="宋体" w:cs="宋体"/>
                <w:kern w:val="0"/>
                <w:sz w:val="22"/>
              </w:rPr>
              <w:t>标段</w:t>
            </w:r>
            <w:r>
              <w:rPr>
                <w:rFonts w:ascii="宋体" w:hAnsi="宋体" w:cs="宋体"/>
                <w:kern w:val="0"/>
                <w:sz w:val="22"/>
              </w:rPr>
              <w:t>号</w:t>
            </w:r>
          </w:p>
        </w:tc>
        <w:tc>
          <w:tcPr>
            <w:tcW w:w="4536" w:type="dxa"/>
            <w:tcBorders>
              <w:left w:val="single" w:color="auto" w:sz="4" w:space="0"/>
            </w:tcBorders>
          </w:tcPr>
          <w:p>
            <w:pPr>
              <w:widowControl/>
              <w:spacing w:line="276" w:lineRule="auto"/>
              <w:jc w:val="center"/>
              <w:rPr>
                <w:rFonts w:ascii="宋体" w:hAnsi="宋体" w:cs="宋体"/>
                <w:kern w:val="0"/>
                <w:sz w:val="22"/>
              </w:rPr>
            </w:pPr>
            <w:r>
              <w:rPr>
                <w:rFonts w:hint="eastAsia" w:ascii="宋体" w:hAnsi="宋体" w:cs="宋体"/>
                <w:kern w:val="0"/>
                <w:sz w:val="22"/>
              </w:rPr>
              <w:t>标段名称</w:t>
            </w:r>
          </w:p>
        </w:tc>
        <w:tc>
          <w:tcPr>
            <w:tcW w:w="1899" w:type="dxa"/>
          </w:tcPr>
          <w:p>
            <w:pPr>
              <w:widowControl/>
              <w:spacing w:line="276" w:lineRule="auto"/>
              <w:jc w:val="center"/>
              <w:rPr>
                <w:rFonts w:ascii="宋体" w:hAnsi="宋体" w:cs="宋体"/>
                <w:kern w:val="0"/>
                <w:sz w:val="22"/>
              </w:rPr>
            </w:pPr>
            <w:r>
              <w:rPr>
                <w:rFonts w:hint="eastAsia" w:ascii="宋体" w:hAnsi="宋体" w:cs="宋体"/>
                <w:kern w:val="0"/>
                <w:sz w:val="22"/>
              </w:rPr>
              <w:t>控制价（万元）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Borders>
              <w:right w:val="single" w:color="auto" w:sz="4" w:space="0"/>
            </w:tcBorders>
            <w:vAlign w:val="center"/>
          </w:tcPr>
          <w:p>
            <w:pPr>
              <w:widowControl/>
              <w:spacing w:line="276" w:lineRule="auto"/>
              <w:jc w:val="center"/>
              <w:rPr>
                <w:rFonts w:ascii="宋体" w:hAnsi="宋体" w:cs="宋体"/>
                <w:spacing w:val="-4"/>
                <w:kern w:val="0"/>
                <w:sz w:val="22"/>
                <w:lang w:val="zh-CN"/>
              </w:rPr>
            </w:pPr>
            <w:r>
              <w:rPr>
                <w:rFonts w:hint="eastAsia" w:ascii="宋体" w:hAnsi="宋体" w:cs="宋体"/>
                <w:spacing w:val="-4"/>
                <w:kern w:val="0"/>
                <w:sz w:val="22"/>
                <w:highlight w:val="none"/>
                <w:lang w:val="zh-CN"/>
              </w:rPr>
              <w:t xml:space="preserve"> DFCG20200456-1</w:t>
            </w:r>
          </w:p>
        </w:tc>
        <w:tc>
          <w:tcPr>
            <w:tcW w:w="4536" w:type="dxa"/>
            <w:tcBorders>
              <w:left w:val="single" w:color="auto" w:sz="4" w:space="0"/>
            </w:tcBorders>
            <w:vAlign w:val="center"/>
          </w:tcPr>
          <w:p>
            <w:pPr>
              <w:widowControl/>
              <w:spacing w:line="276" w:lineRule="auto"/>
              <w:jc w:val="center"/>
              <w:rPr>
                <w:rFonts w:ascii="宋体" w:hAnsi="宋体" w:cs="宋体"/>
                <w:kern w:val="0"/>
                <w:sz w:val="22"/>
              </w:rPr>
            </w:pPr>
            <w:r>
              <w:rPr>
                <w:rFonts w:hint="eastAsia" w:ascii="宋体" w:hAnsi="宋体" w:cs="宋体"/>
                <w:spacing w:val="-4"/>
                <w:kern w:val="0"/>
                <w:sz w:val="22"/>
                <w:lang w:val="zh-CN"/>
              </w:rPr>
              <w:t>大丰区幸福路小学LED全彩显示屏及灯光采购、安装及伴随服务项目</w:t>
            </w:r>
          </w:p>
        </w:tc>
        <w:tc>
          <w:tcPr>
            <w:tcW w:w="1899" w:type="dxa"/>
            <w:vAlign w:val="center"/>
          </w:tcPr>
          <w:p>
            <w:pPr>
              <w:widowControl/>
              <w:spacing w:line="276" w:lineRule="auto"/>
              <w:jc w:val="center"/>
              <w:rPr>
                <w:rFonts w:ascii="宋体" w:hAnsi="宋体" w:cs="宋体"/>
                <w:kern w:val="0"/>
                <w:sz w:val="22"/>
              </w:rPr>
            </w:pPr>
            <w:r>
              <w:rPr>
                <w:rFonts w:hint="eastAsia" w:ascii="宋体" w:hAnsi="宋体" w:cs="宋体"/>
                <w:kern w:val="0"/>
                <w:sz w:val="22"/>
              </w:rPr>
              <w:t>25</w:t>
            </w:r>
          </w:p>
        </w:tc>
      </w:tr>
    </w:tbl>
    <w:p>
      <w:pPr>
        <w:widowControl/>
        <w:spacing w:line="560" w:lineRule="exact"/>
        <w:ind w:firstLine="480" w:firstLineChars="200"/>
        <w:jc w:val="left"/>
        <w:rPr>
          <w:rFonts w:ascii="宋体" w:hAnsi="宋体" w:cs="宋体"/>
          <w:kern w:val="0"/>
          <w:sz w:val="24"/>
          <w:u w:val="single"/>
        </w:rPr>
      </w:pPr>
      <w:r>
        <w:rPr>
          <w:rFonts w:hint="eastAsia" w:ascii="宋体" w:hAnsi="宋体"/>
          <w:sz w:val="24"/>
        </w:rPr>
        <w:t>3、</w:t>
      </w:r>
      <w:r>
        <w:rPr>
          <w:rFonts w:hint="eastAsia" w:ascii="宋体" w:hAnsi="宋体" w:cs="宋体"/>
          <w:kern w:val="0"/>
          <w:sz w:val="24"/>
        </w:rPr>
        <w:t>招标方式：</w:t>
      </w:r>
      <w:r>
        <w:rPr>
          <w:rFonts w:hint="eastAsia" w:ascii="宋体" w:hAnsi="宋体" w:cs="宋体"/>
          <w:kern w:val="0"/>
          <w:sz w:val="24"/>
          <w:u w:val="single"/>
        </w:rPr>
        <w:t>公开招标</w:t>
      </w:r>
    </w:p>
    <w:p>
      <w:pPr>
        <w:widowControl/>
        <w:spacing w:line="530" w:lineRule="exact"/>
        <w:ind w:firstLine="480" w:firstLineChars="200"/>
        <w:contextualSpacing/>
        <w:jc w:val="left"/>
        <w:rPr>
          <w:rFonts w:ascii="宋体" w:hAnsi="宋体" w:cs="宋体"/>
          <w:bCs/>
          <w:sz w:val="24"/>
        </w:rPr>
      </w:pPr>
      <w:r>
        <w:rPr>
          <w:rFonts w:hint="eastAsia" w:ascii="宋体" w:hAnsi="宋体"/>
          <w:sz w:val="24"/>
          <w:lang w:val="en-US" w:eastAsia="zh-CN"/>
        </w:rPr>
        <w:t>4</w:t>
      </w:r>
      <w:r>
        <w:rPr>
          <w:rFonts w:hint="eastAsia" w:ascii="宋体" w:hAnsi="宋体"/>
          <w:sz w:val="24"/>
        </w:rPr>
        <w:t>、</w:t>
      </w:r>
      <w:r>
        <w:rPr>
          <w:rFonts w:hint="eastAsia" w:ascii="宋体" w:hAnsi="宋体" w:cs="宋体"/>
          <w:bCs/>
          <w:sz w:val="24"/>
        </w:rPr>
        <w:t>本项目对投标申请人的资格审查采用资格后审方式，由评标委员会根据招标文件进行评定；报名时不进行报名资料的任何审查，由意向投标人自行判断是否符合投标资格。</w:t>
      </w:r>
    </w:p>
    <w:p>
      <w:pPr>
        <w:widowControl/>
        <w:spacing w:line="530" w:lineRule="exact"/>
        <w:ind w:firstLine="480" w:firstLineChars="200"/>
        <w:contextualSpacing/>
        <w:jc w:val="left"/>
        <w:rPr>
          <w:rFonts w:ascii="宋体" w:hAnsi="宋体" w:cs="宋体"/>
          <w:bCs/>
          <w:sz w:val="24"/>
        </w:rPr>
      </w:pPr>
      <w:r>
        <w:rPr>
          <w:rFonts w:hint="eastAsia" w:ascii="宋体" w:hAnsi="宋体" w:cs="宋体"/>
          <w:bCs/>
          <w:sz w:val="24"/>
          <w:lang w:val="en-US" w:eastAsia="zh-CN"/>
        </w:rPr>
        <w:t>5</w:t>
      </w:r>
      <w:r>
        <w:rPr>
          <w:rFonts w:hint="eastAsia" w:ascii="宋体" w:hAnsi="宋体" w:cs="宋体"/>
          <w:bCs/>
          <w:sz w:val="24"/>
        </w:rPr>
        <w:t>、本招标项目采用的评标方法：综合评分法。</w:t>
      </w:r>
    </w:p>
    <w:p>
      <w:pPr>
        <w:widowControl/>
        <w:spacing w:line="530" w:lineRule="exact"/>
        <w:ind w:firstLine="480" w:firstLineChars="200"/>
        <w:contextualSpacing/>
        <w:jc w:val="left"/>
        <w:rPr>
          <w:rFonts w:ascii="宋体" w:hAnsi="宋体" w:cs="宋体"/>
          <w:bCs/>
          <w:sz w:val="24"/>
        </w:rPr>
      </w:pPr>
      <w:r>
        <w:rPr>
          <w:rFonts w:hint="eastAsia" w:ascii="宋体" w:hAnsi="宋体" w:cs="宋体"/>
          <w:bCs/>
          <w:sz w:val="24"/>
          <w:lang w:val="en-US" w:eastAsia="zh-CN"/>
        </w:rPr>
        <w:t>6</w:t>
      </w:r>
      <w:r>
        <w:rPr>
          <w:rFonts w:hint="eastAsia" w:ascii="宋体" w:hAnsi="宋体" w:cs="宋体"/>
          <w:bCs/>
          <w:sz w:val="24"/>
        </w:rPr>
        <w:t>、本招标项目招标公告发布媒介：盐城政府采购网(http://yccz.yancheng.gov.cn/col/col2383/index.html)、大丰公共资源电子交易平台（网址：</w:t>
      </w:r>
      <w:r>
        <w:fldChar w:fldCharType="begin"/>
      </w:r>
      <w:r>
        <w:instrText xml:space="preserve"> HYPERLINK "http://ggzy.dafeng.gov.cn/dfweb/default.aspx" </w:instrText>
      </w:r>
      <w:r>
        <w:fldChar w:fldCharType="separate"/>
      </w:r>
      <w:r>
        <w:rPr>
          <w:rStyle w:val="37"/>
          <w:rFonts w:hint="eastAsia" w:ascii="宋体" w:hAnsi="宋体" w:cs="宋体"/>
          <w:bCs/>
          <w:color w:val="auto"/>
          <w:sz w:val="24"/>
        </w:rPr>
        <w:t>http://ggzy.dafeng.gov.cn/dfweb/default.aspx</w:t>
      </w:r>
      <w:r>
        <w:rPr>
          <w:rStyle w:val="37"/>
          <w:rFonts w:hint="eastAsia" w:ascii="宋体" w:hAnsi="宋体" w:cs="宋体"/>
          <w:bCs/>
          <w:color w:val="auto"/>
          <w:sz w:val="24"/>
        </w:rPr>
        <w:fldChar w:fldCharType="end"/>
      </w:r>
      <w:r>
        <w:rPr>
          <w:rFonts w:hint="eastAsia" w:ascii="宋体" w:hAnsi="宋体" w:cs="宋体"/>
          <w:bCs/>
          <w:sz w:val="24"/>
        </w:rPr>
        <w:t>）。</w:t>
      </w:r>
    </w:p>
    <w:p>
      <w:pPr>
        <w:widowControl/>
        <w:spacing w:line="530" w:lineRule="exact"/>
        <w:ind w:firstLine="480" w:firstLineChars="200"/>
        <w:contextualSpacing/>
        <w:jc w:val="left"/>
        <w:rPr>
          <w:rFonts w:ascii="宋体" w:hAnsi="宋体" w:cs="宋体"/>
          <w:sz w:val="24"/>
          <w:u w:val="single"/>
        </w:rPr>
      </w:pPr>
      <w:r>
        <w:rPr>
          <w:rFonts w:hint="eastAsia" w:ascii="宋体" w:hAnsi="宋体" w:cs="宋体"/>
          <w:bCs/>
          <w:sz w:val="24"/>
          <w:lang w:val="en-US" w:eastAsia="zh-CN"/>
        </w:rPr>
        <w:t>7</w:t>
      </w:r>
      <w:r>
        <w:rPr>
          <w:rFonts w:hint="eastAsia" w:ascii="宋体" w:hAnsi="宋体" w:cs="宋体"/>
          <w:bCs/>
          <w:sz w:val="24"/>
        </w:rPr>
        <w:t>、</w:t>
      </w:r>
      <w:r>
        <w:rPr>
          <w:rFonts w:hint="eastAsia" w:ascii="宋体" w:hAnsi="宋体" w:cs="宋体"/>
          <w:sz w:val="24"/>
        </w:rPr>
        <w:t>公告的修改或中（终）止：本次招标公告如有修改或中（终）止，将以“补充公告”形式在盐城政府采购网(http://czj.yancheng.gov.cn/col/col2383/index.html)、大丰公共资源交易平台(http://ggzy.dafeng.gov.cn/dfweb/default.aspx)，投标人应在开标前随时上网查阅，否则，其引起的相关后果由投标人自行负责。</w:t>
      </w:r>
    </w:p>
    <w:p>
      <w:pPr>
        <w:widowControl/>
        <w:spacing w:line="530" w:lineRule="exact"/>
        <w:ind w:firstLine="480" w:firstLineChars="200"/>
        <w:contextualSpacing/>
        <w:jc w:val="left"/>
        <w:rPr>
          <w:rFonts w:ascii="宋体" w:hAnsi="宋体" w:cs="宋体"/>
          <w:sz w:val="24"/>
        </w:rPr>
      </w:pPr>
      <w:r>
        <w:rPr>
          <w:rFonts w:hint="eastAsia" w:ascii="宋体" w:hAnsi="宋体" w:cs="宋体"/>
          <w:sz w:val="24"/>
          <w:lang w:val="en-US" w:eastAsia="zh-CN"/>
        </w:rPr>
        <w:t>8</w:t>
      </w:r>
      <w:r>
        <w:rPr>
          <w:rFonts w:hint="eastAsia" w:ascii="宋体" w:hAnsi="宋体" w:cs="宋体"/>
          <w:sz w:val="24"/>
        </w:rPr>
        <w:t>、投标前请关注“大丰公共资源电子交易平台”的“政府采购”——“最高限价”和“答疑补充”栏目。及时了解到项目的“最高限价”和“答疑补充”等情况。</w:t>
      </w:r>
    </w:p>
    <w:p>
      <w:pPr>
        <w:widowControl/>
        <w:spacing w:line="530" w:lineRule="exact"/>
        <w:ind w:firstLine="482" w:firstLineChars="200"/>
        <w:jc w:val="left"/>
        <w:rPr>
          <w:rFonts w:ascii="宋体" w:hAnsi="宋体" w:cs="宋体"/>
          <w:sz w:val="24"/>
        </w:rPr>
      </w:pPr>
      <w:r>
        <w:rPr>
          <w:rFonts w:hint="eastAsia" w:ascii="宋体" w:hAnsi="宋体" w:cs="宋体"/>
          <w:b/>
          <w:sz w:val="24"/>
        </w:rPr>
        <w:t>七</w:t>
      </w:r>
      <w:r>
        <w:rPr>
          <w:rFonts w:hint="eastAsia" w:ascii="宋体" w:hAnsi="宋体" w:cs="宋体"/>
          <w:sz w:val="24"/>
        </w:rPr>
        <w:t>、</w:t>
      </w:r>
      <w:r>
        <w:rPr>
          <w:rFonts w:hint="eastAsia" w:ascii="宋体" w:hAnsi="宋体" w:cs="宋体"/>
          <w:b/>
          <w:bCs/>
          <w:sz w:val="24"/>
        </w:rPr>
        <w:t>对本次招标提出询问，请按以下方式联系。</w:t>
      </w:r>
    </w:p>
    <w:p>
      <w:pPr>
        <w:widowControl/>
        <w:spacing w:line="530" w:lineRule="exact"/>
        <w:ind w:firstLine="480" w:firstLineChars="200"/>
        <w:jc w:val="left"/>
        <w:rPr>
          <w:rFonts w:ascii="宋体" w:hAnsi="宋体" w:cs="宋体"/>
          <w:sz w:val="24"/>
        </w:rPr>
      </w:pPr>
      <w:r>
        <w:rPr>
          <w:rFonts w:hint="eastAsia" w:ascii="宋体" w:hAnsi="宋体" w:cs="宋体"/>
          <w:sz w:val="24"/>
        </w:rPr>
        <w:t>1、采购人信息</w:t>
      </w:r>
    </w:p>
    <w:p>
      <w:pPr>
        <w:widowControl/>
        <w:spacing w:line="530" w:lineRule="exact"/>
        <w:ind w:firstLine="480" w:firstLineChars="200"/>
        <w:jc w:val="left"/>
        <w:rPr>
          <w:rFonts w:ascii="宋体" w:hAnsi="宋体" w:cs="宋体"/>
          <w:sz w:val="24"/>
        </w:rPr>
      </w:pPr>
      <w:r>
        <w:rPr>
          <w:rFonts w:hint="eastAsia" w:ascii="宋体" w:hAnsi="宋体" w:cs="宋体"/>
          <w:kern w:val="0"/>
          <w:sz w:val="24"/>
          <w:lang w:val="zh-CN" w:bidi="ar"/>
        </w:rPr>
        <w:t>名称：</w:t>
      </w:r>
      <w:r>
        <w:rPr>
          <w:rFonts w:hint="eastAsia" w:ascii="宋体" w:hAnsi="宋体" w:cs="宋体"/>
          <w:sz w:val="24"/>
          <w:u w:val="single"/>
        </w:rPr>
        <w:t>盐城市大丰区幸福路小学</w:t>
      </w:r>
    </w:p>
    <w:p>
      <w:pPr>
        <w:widowControl/>
        <w:spacing w:line="530" w:lineRule="exact"/>
        <w:ind w:firstLine="480" w:firstLineChars="200"/>
        <w:jc w:val="left"/>
        <w:rPr>
          <w:rFonts w:ascii="宋体" w:hAnsi="宋体" w:cs="宋体"/>
          <w:sz w:val="24"/>
          <w:u w:val="single"/>
        </w:rPr>
      </w:pPr>
      <w:r>
        <w:rPr>
          <w:rFonts w:hint="eastAsia" w:ascii="宋体" w:hAnsi="宋体" w:cs="宋体"/>
          <w:sz w:val="24"/>
        </w:rPr>
        <w:t>地址：</w:t>
      </w:r>
      <w:r>
        <w:rPr>
          <w:rFonts w:hint="eastAsia" w:ascii="宋体" w:hAnsi="宋体" w:cs="宋体"/>
          <w:sz w:val="24"/>
          <w:u w:val="single"/>
        </w:rPr>
        <w:t>盐城市大丰区幸福东大街</w:t>
      </w:r>
    </w:p>
    <w:p>
      <w:pPr>
        <w:pStyle w:val="27"/>
        <w:spacing w:line="530" w:lineRule="atLeast"/>
        <w:ind w:firstLine="480"/>
        <w:rPr>
          <w:rFonts w:ascii="宋体" w:hAnsi="宋体"/>
          <w:color w:val="auto"/>
          <w:kern w:val="2"/>
          <w:sz w:val="24"/>
          <w:szCs w:val="24"/>
          <w:u w:val="single"/>
        </w:rPr>
      </w:pPr>
      <w:r>
        <w:rPr>
          <w:rFonts w:hint="eastAsia" w:ascii="宋体" w:hAnsi="宋体"/>
          <w:color w:val="auto"/>
          <w:kern w:val="2"/>
          <w:sz w:val="24"/>
          <w:szCs w:val="24"/>
        </w:rPr>
        <w:t>联系人：</w:t>
      </w:r>
      <w:r>
        <w:rPr>
          <w:rFonts w:hint="eastAsia" w:ascii="宋体" w:hAnsi="宋体"/>
          <w:color w:val="auto"/>
          <w:kern w:val="2"/>
          <w:sz w:val="24"/>
          <w:szCs w:val="24"/>
          <w:u w:val="single"/>
        </w:rPr>
        <w:t xml:space="preserve">赵主任 </w:t>
      </w:r>
    </w:p>
    <w:p>
      <w:pPr>
        <w:pStyle w:val="27"/>
        <w:spacing w:line="530" w:lineRule="atLeast"/>
        <w:ind w:firstLine="480"/>
        <w:rPr>
          <w:rFonts w:ascii="宋体" w:hAnsi="宋体"/>
          <w:sz w:val="24"/>
          <w:u w:val="single"/>
        </w:rPr>
      </w:pPr>
      <w:r>
        <w:rPr>
          <w:rFonts w:hint="eastAsia" w:ascii="宋体" w:hAnsi="宋体"/>
          <w:color w:val="auto"/>
          <w:kern w:val="2"/>
          <w:sz w:val="24"/>
          <w:szCs w:val="24"/>
        </w:rPr>
        <w:t>联系方式：</w:t>
      </w:r>
      <w:r>
        <w:rPr>
          <w:rFonts w:hint="eastAsia" w:ascii="宋体" w:hAnsi="宋体"/>
          <w:color w:val="auto"/>
          <w:kern w:val="2"/>
          <w:sz w:val="24"/>
          <w:szCs w:val="24"/>
          <w:u w:val="single"/>
        </w:rPr>
        <w:t>0515-68855434</w:t>
      </w:r>
    </w:p>
    <w:p>
      <w:pPr>
        <w:pStyle w:val="27"/>
        <w:spacing w:line="530" w:lineRule="atLeast"/>
        <w:ind w:firstLine="480"/>
        <w:rPr>
          <w:rFonts w:ascii="宋体" w:hAnsi="宋体"/>
          <w:color w:val="auto"/>
          <w:sz w:val="24"/>
          <w:szCs w:val="24"/>
          <w:lang w:val="zh-CN" w:bidi="ar"/>
        </w:rPr>
      </w:pPr>
      <w:r>
        <w:rPr>
          <w:rFonts w:hint="eastAsia" w:ascii="宋体" w:hAnsi="宋体"/>
          <w:color w:val="auto"/>
          <w:sz w:val="24"/>
          <w:szCs w:val="24"/>
          <w:lang w:val="zh-CN" w:bidi="ar"/>
        </w:rPr>
        <w:t>2、采购代理机构信息</w:t>
      </w:r>
    </w:p>
    <w:p>
      <w:pPr>
        <w:pStyle w:val="27"/>
        <w:spacing w:line="530" w:lineRule="atLeast"/>
        <w:ind w:firstLine="480"/>
        <w:rPr>
          <w:rFonts w:ascii="宋体" w:hAnsi="宋体"/>
          <w:color w:val="auto"/>
          <w:sz w:val="24"/>
          <w:szCs w:val="24"/>
          <w:lang w:val="zh-CN" w:bidi="ar"/>
        </w:rPr>
      </w:pPr>
      <w:r>
        <w:rPr>
          <w:rFonts w:hint="eastAsia" w:ascii="宋体" w:hAnsi="宋体"/>
          <w:color w:val="auto"/>
          <w:sz w:val="24"/>
          <w:szCs w:val="24"/>
          <w:lang w:val="zh-CN" w:bidi="ar"/>
        </w:rPr>
        <w:t>名称：</w:t>
      </w:r>
      <w:r>
        <w:rPr>
          <w:rFonts w:hint="eastAsia" w:ascii="宋体" w:hAnsi="宋体"/>
          <w:color w:val="auto"/>
          <w:sz w:val="24"/>
          <w:szCs w:val="24"/>
          <w:u w:val="single"/>
          <w:lang w:val="zh-CN" w:bidi="ar"/>
        </w:rPr>
        <w:t>江苏中正工程项目管理咨询有限公司</w:t>
      </w:r>
      <w:r>
        <w:rPr>
          <w:rFonts w:hint="eastAsia" w:ascii="宋体" w:hAnsi="宋体"/>
          <w:color w:val="auto"/>
          <w:sz w:val="24"/>
          <w:szCs w:val="24"/>
          <w:lang w:val="zh-CN" w:bidi="ar"/>
        </w:rPr>
        <w:t xml:space="preserve"> </w:t>
      </w:r>
    </w:p>
    <w:p>
      <w:pPr>
        <w:pStyle w:val="27"/>
        <w:spacing w:line="530" w:lineRule="atLeast"/>
        <w:ind w:firstLine="480"/>
        <w:rPr>
          <w:rFonts w:ascii="宋体" w:hAnsi="宋体"/>
          <w:color w:val="auto"/>
          <w:sz w:val="24"/>
          <w:szCs w:val="24"/>
          <w:lang w:val="zh-CN" w:bidi="ar"/>
        </w:rPr>
      </w:pPr>
      <w:r>
        <w:rPr>
          <w:rFonts w:hint="eastAsia" w:ascii="宋体" w:hAnsi="宋体"/>
          <w:color w:val="auto"/>
          <w:sz w:val="24"/>
          <w:szCs w:val="24"/>
          <w:lang w:val="zh-CN" w:bidi="ar"/>
        </w:rPr>
        <w:t>地址：</w:t>
      </w:r>
      <w:r>
        <w:rPr>
          <w:rFonts w:hint="eastAsia" w:ascii="宋体" w:hAnsi="宋体"/>
          <w:color w:val="auto"/>
          <w:sz w:val="24"/>
          <w:szCs w:val="24"/>
          <w:u w:val="single"/>
          <w:lang w:val="zh-CN" w:bidi="ar"/>
        </w:rPr>
        <w:t>大丰区黄海西路龙腾一品佳苑1#楼404室</w:t>
      </w:r>
      <w:r>
        <w:rPr>
          <w:rFonts w:hint="eastAsia" w:ascii="宋体" w:hAnsi="宋体"/>
          <w:color w:val="auto"/>
          <w:sz w:val="24"/>
          <w:szCs w:val="24"/>
          <w:lang w:val="zh-CN" w:bidi="ar"/>
        </w:rPr>
        <w:t xml:space="preserve"> </w:t>
      </w:r>
    </w:p>
    <w:p>
      <w:pPr>
        <w:pStyle w:val="27"/>
        <w:spacing w:line="530" w:lineRule="atLeast"/>
        <w:ind w:firstLine="480"/>
        <w:rPr>
          <w:rFonts w:ascii="宋体" w:hAnsi="宋体"/>
          <w:color w:val="auto"/>
          <w:sz w:val="24"/>
          <w:szCs w:val="24"/>
          <w:lang w:val="zh-CN" w:bidi="ar"/>
        </w:rPr>
      </w:pPr>
      <w:r>
        <w:rPr>
          <w:rFonts w:hint="eastAsia" w:ascii="宋体" w:hAnsi="宋体"/>
          <w:color w:val="auto"/>
          <w:sz w:val="24"/>
          <w:szCs w:val="24"/>
          <w:lang w:val="zh-CN" w:bidi="ar"/>
        </w:rPr>
        <w:t>联系方式：</w:t>
      </w:r>
      <w:r>
        <w:rPr>
          <w:rFonts w:hint="eastAsia" w:ascii="宋体" w:hAnsi="宋体"/>
          <w:color w:val="auto"/>
          <w:sz w:val="24"/>
          <w:szCs w:val="24"/>
          <w:u w:val="single"/>
          <w:lang w:val="zh-CN" w:bidi="ar"/>
        </w:rPr>
        <w:t>0515-83928706</w:t>
      </w:r>
    </w:p>
    <w:p>
      <w:pPr>
        <w:pStyle w:val="27"/>
        <w:spacing w:line="530" w:lineRule="atLeast"/>
        <w:ind w:firstLine="480"/>
        <w:rPr>
          <w:rFonts w:ascii="宋体" w:hAnsi="宋体"/>
          <w:color w:val="auto"/>
          <w:sz w:val="24"/>
          <w:szCs w:val="24"/>
          <w:lang w:val="zh-CN" w:bidi="ar"/>
        </w:rPr>
      </w:pPr>
      <w:r>
        <w:rPr>
          <w:rFonts w:hint="eastAsia" w:ascii="宋体" w:hAnsi="宋体"/>
          <w:color w:val="auto"/>
          <w:sz w:val="24"/>
          <w:szCs w:val="24"/>
          <w:lang w:val="zh-CN" w:bidi="ar"/>
        </w:rPr>
        <w:t>3、项目联系方式</w:t>
      </w:r>
    </w:p>
    <w:p>
      <w:pPr>
        <w:pStyle w:val="27"/>
        <w:spacing w:line="530" w:lineRule="atLeast"/>
        <w:ind w:firstLine="480"/>
        <w:rPr>
          <w:rFonts w:ascii="宋体" w:hAnsi="宋体"/>
          <w:color w:val="auto"/>
          <w:sz w:val="24"/>
          <w:szCs w:val="24"/>
          <w:lang w:val="zh-CN" w:bidi="ar"/>
        </w:rPr>
      </w:pPr>
      <w:r>
        <w:rPr>
          <w:rFonts w:hint="eastAsia" w:ascii="宋体" w:hAnsi="宋体"/>
          <w:color w:val="auto"/>
          <w:sz w:val="24"/>
          <w:szCs w:val="24"/>
          <w:lang w:val="zh-CN" w:bidi="ar"/>
        </w:rPr>
        <w:t>项目联系人：</w:t>
      </w:r>
      <w:r>
        <w:rPr>
          <w:rFonts w:hint="eastAsia" w:ascii="宋体" w:hAnsi="宋体"/>
          <w:color w:val="auto"/>
          <w:sz w:val="24"/>
          <w:szCs w:val="24"/>
          <w:u w:val="single"/>
          <w:lang w:val="zh-CN" w:bidi="ar"/>
        </w:rPr>
        <w:t>朱 敏</w:t>
      </w:r>
    </w:p>
    <w:p>
      <w:pPr>
        <w:pStyle w:val="27"/>
        <w:spacing w:line="530" w:lineRule="atLeast"/>
        <w:ind w:firstLine="480"/>
        <w:rPr>
          <w:rFonts w:ascii="宋体" w:hAnsi="宋体"/>
          <w:sz w:val="24"/>
          <w:u w:val="single"/>
        </w:rPr>
      </w:pPr>
      <w:r>
        <w:rPr>
          <w:rFonts w:hint="eastAsia" w:ascii="宋体" w:hAnsi="宋体"/>
          <w:color w:val="auto"/>
          <w:sz w:val="24"/>
          <w:szCs w:val="24"/>
          <w:lang w:val="zh-CN" w:bidi="ar"/>
        </w:rPr>
        <w:t>电话：</w:t>
      </w:r>
      <w:r>
        <w:rPr>
          <w:rFonts w:hint="eastAsia" w:ascii="宋体" w:hAnsi="宋体"/>
          <w:color w:val="auto"/>
          <w:sz w:val="24"/>
          <w:szCs w:val="24"/>
          <w:u w:val="single"/>
          <w:lang w:val="zh-CN" w:bidi="ar"/>
        </w:rPr>
        <w:t>18961957896</w:t>
      </w:r>
    </w:p>
    <w:p>
      <w:pPr>
        <w:spacing w:line="520" w:lineRule="exact"/>
        <w:jc w:val="center"/>
        <w:rPr>
          <w:rFonts w:ascii="宋体" w:hAnsi="宋体" w:cs="宋体"/>
          <w:b/>
          <w:sz w:val="32"/>
          <w:szCs w:val="32"/>
        </w:rPr>
      </w:pPr>
    </w:p>
    <w:p>
      <w:pPr>
        <w:spacing w:line="520" w:lineRule="exact"/>
        <w:rPr>
          <w:rFonts w:ascii="宋体" w:hAnsi="宋体" w:cs="宋体"/>
          <w:b/>
          <w:sz w:val="32"/>
          <w:szCs w:val="32"/>
        </w:rPr>
      </w:pPr>
    </w:p>
    <w:p>
      <w:pPr>
        <w:spacing w:line="520" w:lineRule="exact"/>
        <w:rPr>
          <w:rFonts w:ascii="宋体" w:hAnsi="宋体" w:cs="宋体"/>
          <w:b/>
          <w:sz w:val="32"/>
          <w:szCs w:val="32"/>
        </w:rPr>
      </w:pPr>
    </w:p>
    <w:p>
      <w:pPr>
        <w:rPr>
          <w:rFonts w:hint="eastAsia" w:ascii="宋体" w:hAnsi="宋体" w:cs="宋体"/>
          <w:b/>
          <w:sz w:val="32"/>
          <w:szCs w:val="32"/>
        </w:rPr>
      </w:pPr>
      <w:r>
        <w:rPr>
          <w:rFonts w:hint="eastAsia" w:ascii="宋体" w:hAnsi="宋体" w:cs="宋体"/>
          <w:b/>
          <w:sz w:val="32"/>
          <w:szCs w:val="32"/>
        </w:rPr>
        <w:br w:type="page"/>
      </w:r>
    </w:p>
    <w:p>
      <w:pPr>
        <w:spacing w:line="520" w:lineRule="exact"/>
        <w:jc w:val="center"/>
        <w:rPr>
          <w:rFonts w:ascii="宋体" w:hAnsi="宋体" w:cs="宋体"/>
          <w:b/>
          <w:sz w:val="30"/>
        </w:rPr>
      </w:pPr>
      <w:r>
        <w:rPr>
          <w:rFonts w:hint="eastAsia" w:ascii="宋体" w:hAnsi="宋体" w:cs="宋体"/>
          <w:b/>
          <w:sz w:val="32"/>
          <w:szCs w:val="32"/>
        </w:rPr>
        <w:t>第二章 投标人须知</w:t>
      </w:r>
      <w:bookmarkStart w:id="5" w:name="_Toc16205"/>
      <w:bookmarkStart w:id="6" w:name="_Toc369077559"/>
      <w:bookmarkStart w:id="7" w:name="_Toc387526178"/>
      <w:bookmarkStart w:id="8" w:name="_Toc397928548"/>
      <w:bookmarkStart w:id="9" w:name="_Toc445046808"/>
      <w:bookmarkStart w:id="10" w:name="_Toc387526374"/>
      <w:bookmarkStart w:id="11" w:name="_Toc387526282"/>
    </w:p>
    <w:p>
      <w:pPr>
        <w:spacing w:line="520" w:lineRule="exact"/>
        <w:jc w:val="center"/>
        <w:rPr>
          <w:rFonts w:ascii="宋体" w:hAnsi="宋体" w:cs="宋体"/>
          <w:b/>
          <w:sz w:val="28"/>
          <w:szCs w:val="28"/>
        </w:rPr>
      </w:pPr>
      <w:r>
        <w:rPr>
          <w:rFonts w:hint="eastAsia" w:ascii="宋体" w:hAnsi="宋体" w:cs="宋体"/>
          <w:b/>
          <w:sz w:val="28"/>
          <w:szCs w:val="28"/>
        </w:rPr>
        <w:t>1.投标人须知前附表</w:t>
      </w:r>
      <w:bookmarkEnd w:id="5"/>
      <w:bookmarkEnd w:id="6"/>
      <w:bookmarkEnd w:id="7"/>
      <w:bookmarkEnd w:id="8"/>
      <w:bookmarkEnd w:id="9"/>
      <w:bookmarkEnd w:id="10"/>
      <w:bookmarkEnd w:id="11"/>
    </w:p>
    <w:tbl>
      <w:tblPr>
        <w:tblStyle w:val="31"/>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2735"/>
        <w:gridCol w:w="5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7" w:type="dxa"/>
            <w:vAlign w:val="center"/>
          </w:tcPr>
          <w:p>
            <w:pPr>
              <w:spacing w:line="560" w:lineRule="exact"/>
              <w:jc w:val="center"/>
              <w:rPr>
                <w:rFonts w:ascii="宋体" w:hAnsi="宋体" w:cs="宋体"/>
                <w:b/>
                <w:sz w:val="24"/>
              </w:rPr>
            </w:pPr>
            <w:r>
              <w:rPr>
                <w:rFonts w:hint="eastAsia" w:ascii="宋体" w:hAnsi="宋体" w:cs="宋体"/>
                <w:b/>
                <w:sz w:val="24"/>
              </w:rPr>
              <w:t>条款号</w:t>
            </w:r>
          </w:p>
        </w:tc>
        <w:tc>
          <w:tcPr>
            <w:tcW w:w="2735" w:type="dxa"/>
            <w:vAlign w:val="center"/>
          </w:tcPr>
          <w:p>
            <w:pPr>
              <w:spacing w:line="560" w:lineRule="exact"/>
              <w:jc w:val="center"/>
              <w:rPr>
                <w:rFonts w:ascii="宋体" w:hAnsi="宋体" w:cs="宋体"/>
                <w:b/>
                <w:sz w:val="24"/>
              </w:rPr>
            </w:pPr>
            <w:r>
              <w:rPr>
                <w:rFonts w:hint="eastAsia" w:ascii="宋体" w:hAnsi="宋体" w:cs="宋体"/>
                <w:b/>
                <w:sz w:val="24"/>
              </w:rPr>
              <w:t>条 款 名 称</w:t>
            </w:r>
          </w:p>
        </w:tc>
        <w:tc>
          <w:tcPr>
            <w:tcW w:w="5909" w:type="dxa"/>
            <w:vAlign w:val="center"/>
          </w:tcPr>
          <w:p>
            <w:pPr>
              <w:spacing w:line="560" w:lineRule="exact"/>
              <w:jc w:val="center"/>
              <w:rPr>
                <w:rFonts w:ascii="宋体" w:hAnsi="宋体" w:cs="宋体"/>
                <w:b/>
                <w:sz w:val="24"/>
              </w:rPr>
            </w:pPr>
            <w:r>
              <w:rPr>
                <w:rFonts w:hint="eastAsia" w:ascii="宋体" w:hAnsi="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1.1.2</w:t>
            </w:r>
          </w:p>
        </w:tc>
        <w:tc>
          <w:tcPr>
            <w:tcW w:w="2735" w:type="dxa"/>
            <w:vAlign w:val="center"/>
          </w:tcPr>
          <w:p>
            <w:pPr>
              <w:spacing w:line="560" w:lineRule="exact"/>
              <w:rPr>
                <w:rFonts w:ascii="宋体" w:hAnsi="宋体" w:cs="宋体"/>
                <w:sz w:val="24"/>
              </w:rPr>
            </w:pPr>
            <w:r>
              <w:rPr>
                <w:rFonts w:hint="eastAsia" w:ascii="宋体" w:hAnsi="宋体" w:cs="宋体"/>
                <w:sz w:val="24"/>
              </w:rPr>
              <w:t>招标人</w:t>
            </w:r>
          </w:p>
        </w:tc>
        <w:tc>
          <w:tcPr>
            <w:tcW w:w="5909" w:type="dxa"/>
            <w:vAlign w:val="center"/>
          </w:tcPr>
          <w:p>
            <w:pPr>
              <w:spacing w:line="560" w:lineRule="exact"/>
              <w:rPr>
                <w:rFonts w:ascii="宋体" w:hAnsi="宋体" w:cs="宋体"/>
                <w:sz w:val="24"/>
              </w:rPr>
            </w:pPr>
            <w:r>
              <w:rPr>
                <w:rFonts w:hint="eastAsia" w:ascii="宋体" w:hAnsi="宋体" w:cs="宋体"/>
                <w:sz w:val="24"/>
              </w:rPr>
              <w:t>名称：盐城市大丰区幸福路小学</w:t>
            </w:r>
          </w:p>
          <w:p>
            <w:pPr>
              <w:spacing w:line="560" w:lineRule="exact"/>
              <w:rPr>
                <w:rFonts w:ascii="宋体" w:hAnsi="宋体" w:cs="宋体"/>
                <w:sz w:val="24"/>
              </w:rPr>
            </w:pPr>
            <w:r>
              <w:rPr>
                <w:rFonts w:hint="eastAsia" w:ascii="宋体" w:hAnsi="宋体" w:cs="宋体"/>
                <w:sz w:val="24"/>
              </w:rPr>
              <w:t>联系人：赵晋</w:t>
            </w:r>
          </w:p>
          <w:p>
            <w:pPr>
              <w:spacing w:line="560" w:lineRule="exact"/>
              <w:rPr>
                <w:rFonts w:ascii="宋体" w:hAnsi="宋体" w:cs="宋体"/>
                <w:sz w:val="24"/>
                <w:u w:val="single"/>
              </w:rPr>
            </w:pPr>
            <w:r>
              <w:rPr>
                <w:rFonts w:hint="eastAsia" w:ascii="宋体" w:hAnsi="宋体" w:cs="宋体"/>
                <w:sz w:val="24"/>
              </w:rPr>
              <w:t>联系电话：</w:t>
            </w:r>
            <w:r>
              <w:rPr>
                <w:rFonts w:hint="eastAsia" w:ascii="宋体" w:hAnsi="宋体" w:cs="宋体"/>
                <w:kern w:val="0"/>
                <w:sz w:val="24"/>
              </w:rPr>
              <w:t>13815567842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1.1.3</w:t>
            </w:r>
          </w:p>
        </w:tc>
        <w:tc>
          <w:tcPr>
            <w:tcW w:w="2735" w:type="dxa"/>
            <w:vAlign w:val="center"/>
          </w:tcPr>
          <w:p>
            <w:pPr>
              <w:spacing w:line="560" w:lineRule="exact"/>
              <w:rPr>
                <w:rFonts w:ascii="宋体" w:hAnsi="宋体" w:cs="宋体"/>
                <w:sz w:val="24"/>
              </w:rPr>
            </w:pPr>
            <w:r>
              <w:rPr>
                <w:rFonts w:hint="eastAsia" w:ascii="宋体" w:hAnsi="宋体" w:cs="宋体"/>
                <w:sz w:val="24"/>
              </w:rPr>
              <w:t>招标代理机构</w:t>
            </w:r>
          </w:p>
        </w:tc>
        <w:tc>
          <w:tcPr>
            <w:tcW w:w="5909" w:type="dxa"/>
            <w:vAlign w:val="center"/>
          </w:tcPr>
          <w:p>
            <w:pPr>
              <w:spacing w:line="520" w:lineRule="exact"/>
              <w:contextualSpacing/>
              <w:rPr>
                <w:rFonts w:ascii="宋体" w:hAnsi="宋体" w:cs="宋体"/>
                <w:sz w:val="24"/>
              </w:rPr>
            </w:pPr>
            <w:r>
              <w:rPr>
                <w:rFonts w:hint="eastAsia" w:ascii="宋体" w:hAnsi="宋体" w:cs="宋体"/>
                <w:sz w:val="24"/>
              </w:rPr>
              <w:t>名称：江苏中正工程项目管理咨询有限公司</w:t>
            </w:r>
          </w:p>
          <w:p>
            <w:pPr>
              <w:spacing w:line="520" w:lineRule="exact"/>
              <w:contextualSpacing/>
              <w:rPr>
                <w:rFonts w:ascii="宋体" w:hAnsi="宋体" w:cs="宋体"/>
                <w:sz w:val="24"/>
              </w:rPr>
            </w:pPr>
            <w:r>
              <w:rPr>
                <w:rFonts w:hint="eastAsia" w:ascii="宋体" w:hAnsi="宋体" w:cs="宋体"/>
                <w:sz w:val="24"/>
              </w:rPr>
              <w:t>联系人：朱敏</w:t>
            </w:r>
          </w:p>
          <w:p>
            <w:pPr>
              <w:spacing w:line="560" w:lineRule="exact"/>
              <w:rPr>
                <w:rFonts w:ascii="宋体" w:hAnsi="宋体" w:cs="宋体"/>
                <w:sz w:val="24"/>
              </w:rPr>
            </w:pPr>
            <w:r>
              <w:rPr>
                <w:rFonts w:hint="eastAsia" w:ascii="宋体" w:hAnsi="宋体" w:cs="宋体"/>
                <w:sz w:val="24"/>
              </w:rPr>
              <w:t>电话：0515-83928706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1.1.4</w:t>
            </w:r>
          </w:p>
        </w:tc>
        <w:tc>
          <w:tcPr>
            <w:tcW w:w="2735" w:type="dxa"/>
            <w:vAlign w:val="center"/>
          </w:tcPr>
          <w:p>
            <w:pPr>
              <w:spacing w:line="560" w:lineRule="exact"/>
              <w:rPr>
                <w:rFonts w:ascii="宋体" w:hAnsi="宋体" w:cs="宋体"/>
                <w:sz w:val="24"/>
              </w:rPr>
            </w:pPr>
            <w:r>
              <w:rPr>
                <w:rFonts w:hint="eastAsia" w:ascii="宋体" w:hAnsi="宋体" w:cs="宋体"/>
                <w:sz w:val="24"/>
              </w:rPr>
              <w:t>项目名称</w:t>
            </w:r>
          </w:p>
        </w:tc>
        <w:tc>
          <w:tcPr>
            <w:tcW w:w="5909" w:type="dxa"/>
            <w:vAlign w:val="center"/>
          </w:tcPr>
          <w:p>
            <w:pPr>
              <w:spacing w:line="560" w:lineRule="exact"/>
              <w:rPr>
                <w:rFonts w:ascii="宋体" w:hAnsi="宋体" w:cs="宋体"/>
                <w:sz w:val="24"/>
                <w:lang w:val="zh-CN"/>
              </w:rPr>
            </w:pPr>
            <w:r>
              <w:rPr>
                <w:rFonts w:hint="eastAsia" w:ascii="宋体" w:hAnsi="宋体" w:cs="宋体"/>
                <w:sz w:val="24"/>
                <w:lang w:val="zh-CN"/>
              </w:rPr>
              <w:t>项目名称：大丰区幸福路小学LED全彩显示屏及灯光采购、安装及伴随服务项目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1.2.1</w:t>
            </w:r>
          </w:p>
        </w:tc>
        <w:tc>
          <w:tcPr>
            <w:tcW w:w="2735" w:type="dxa"/>
            <w:vAlign w:val="center"/>
          </w:tcPr>
          <w:p>
            <w:pPr>
              <w:spacing w:line="560" w:lineRule="exact"/>
              <w:rPr>
                <w:rFonts w:ascii="宋体" w:hAnsi="宋体" w:cs="宋体"/>
                <w:sz w:val="24"/>
              </w:rPr>
            </w:pPr>
            <w:r>
              <w:rPr>
                <w:rFonts w:hint="eastAsia" w:ascii="宋体" w:hAnsi="宋体" w:cs="宋体"/>
                <w:sz w:val="24"/>
              </w:rPr>
              <w:t>资金来源</w:t>
            </w:r>
          </w:p>
        </w:tc>
        <w:tc>
          <w:tcPr>
            <w:tcW w:w="5909" w:type="dxa"/>
            <w:vAlign w:val="center"/>
          </w:tcPr>
          <w:p>
            <w:pPr>
              <w:spacing w:line="560" w:lineRule="exact"/>
              <w:rPr>
                <w:rFonts w:ascii="宋体" w:hAnsi="宋体" w:cs="宋体"/>
                <w:sz w:val="24"/>
              </w:rPr>
            </w:pPr>
            <w:r>
              <w:rPr>
                <w:rFonts w:hint="eastAsia" w:ascii="宋体" w:hAnsi="宋体" w:cs="宋体"/>
                <w:sz w:val="24"/>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1.2.2</w:t>
            </w:r>
          </w:p>
        </w:tc>
        <w:tc>
          <w:tcPr>
            <w:tcW w:w="2735" w:type="dxa"/>
            <w:vAlign w:val="center"/>
          </w:tcPr>
          <w:p>
            <w:pPr>
              <w:spacing w:line="560" w:lineRule="exact"/>
              <w:rPr>
                <w:rFonts w:ascii="宋体" w:hAnsi="宋体" w:cs="宋体"/>
                <w:sz w:val="24"/>
              </w:rPr>
            </w:pPr>
            <w:r>
              <w:rPr>
                <w:rFonts w:hint="eastAsia" w:ascii="宋体" w:hAnsi="宋体" w:cs="宋体"/>
                <w:sz w:val="24"/>
              </w:rPr>
              <w:t>出资比例</w:t>
            </w:r>
          </w:p>
        </w:tc>
        <w:tc>
          <w:tcPr>
            <w:tcW w:w="5909" w:type="dxa"/>
            <w:vAlign w:val="center"/>
          </w:tcPr>
          <w:p>
            <w:pPr>
              <w:spacing w:line="560" w:lineRule="exact"/>
              <w:rPr>
                <w:rFonts w:ascii="宋体" w:hAnsi="宋体" w:cs="宋体"/>
                <w:sz w:val="24"/>
              </w:rPr>
            </w:pPr>
            <w:r>
              <w:rPr>
                <w:rFonts w:hint="eastAsia"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1.2.3</w:t>
            </w:r>
          </w:p>
        </w:tc>
        <w:tc>
          <w:tcPr>
            <w:tcW w:w="2735" w:type="dxa"/>
            <w:vAlign w:val="center"/>
          </w:tcPr>
          <w:p>
            <w:pPr>
              <w:spacing w:line="560" w:lineRule="exact"/>
              <w:rPr>
                <w:rFonts w:ascii="宋体" w:hAnsi="宋体" w:cs="宋体"/>
                <w:sz w:val="24"/>
              </w:rPr>
            </w:pPr>
            <w:r>
              <w:rPr>
                <w:rFonts w:hint="eastAsia" w:ascii="宋体" w:hAnsi="宋体" w:cs="宋体"/>
                <w:sz w:val="24"/>
              </w:rPr>
              <w:t>资金落实情况</w:t>
            </w:r>
          </w:p>
        </w:tc>
        <w:tc>
          <w:tcPr>
            <w:tcW w:w="5909" w:type="dxa"/>
            <w:vAlign w:val="center"/>
          </w:tcPr>
          <w:p>
            <w:pPr>
              <w:spacing w:line="560" w:lineRule="exact"/>
              <w:rPr>
                <w:rFonts w:ascii="宋体" w:hAnsi="宋体" w:cs="宋体"/>
                <w:sz w:val="24"/>
              </w:rPr>
            </w:pPr>
            <w:r>
              <w:rPr>
                <w:rFonts w:hint="eastAsia" w:ascii="宋体" w:hAnsi="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1.3.1</w:t>
            </w:r>
          </w:p>
        </w:tc>
        <w:tc>
          <w:tcPr>
            <w:tcW w:w="2735" w:type="dxa"/>
            <w:vAlign w:val="center"/>
          </w:tcPr>
          <w:p>
            <w:pPr>
              <w:spacing w:line="560" w:lineRule="exact"/>
              <w:rPr>
                <w:rFonts w:ascii="宋体" w:hAnsi="宋体" w:cs="宋体"/>
                <w:sz w:val="24"/>
              </w:rPr>
            </w:pPr>
            <w:r>
              <w:rPr>
                <w:rFonts w:hint="eastAsia" w:ascii="宋体" w:hAnsi="宋体" w:cs="宋体"/>
                <w:sz w:val="24"/>
              </w:rPr>
              <w:t>招标内容</w:t>
            </w:r>
          </w:p>
        </w:tc>
        <w:tc>
          <w:tcPr>
            <w:tcW w:w="5909" w:type="dxa"/>
            <w:vAlign w:val="center"/>
          </w:tcPr>
          <w:p>
            <w:pPr>
              <w:spacing w:line="560" w:lineRule="exact"/>
              <w:rPr>
                <w:rFonts w:ascii="宋体" w:hAnsi="宋体" w:cs="宋体"/>
                <w:sz w:val="24"/>
              </w:rPr>
            </w:pPr>
            <w:r>
              <w:rPr>
                <w:rFonts w:hint="eastAsia" w:ascii="宋体" w:hAnsi="宋体" w:cs="宋体"/>
                <w:sz w:val="24"/>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1.3.2</w:t>
            </w:r>
          </w:p>
        </w:tc>
        <w:tc>
          <w:tcPr>
            <w:tcW w:w="2735" w:type="dxa"/>
            <w:vAlign w:val="center"/>
          </w:tcPr>
          <w:p>
            <w:pPr>
              <w:spacing w:line="560" w:lineRule="exact"/>
              <w:rPr>
                <w:rFonts w:ascii="宋体" w:hAnsi="宋体" w:cs="宋体"/>
                <w:sz w:val="24"/>
              </w:rPr>
            </w:pPr>
            <w:r>
              <w:rPr>
                <w:rFonts w:hint="eastAsia" w:ascii="宋体" w:hAnsi="宋体" w:cs="宋体"/>
                <w:sz w:val="24"/>
              </w:rPr>
              <w:t>供货期</w:t>
            </w:r>
          </w:p>
        </w:tc>
        <w:tc>
          <w:tcPr>
            <w:tcW w:w="5909" w:type="dxa"/>
            <w:vAlign w:val="center"/>
          </w:tcPr>
          <w:p>
            <w:pPr>
              <w:spacing w:line="560" w:lineRule="exact"/>
              <w:rPr>
                <w:rFonts w:ascii="宋体" w:hAnsi="宋体" w:cs="宋体"/>
                <w:sz w:val="24"/>
              </w:rPr>
            </w:pPr>
            <w:r>
              <w:rPr>
                <w:rFonts w:hint="eastAsia" w:ascii="宋体" w:hAnsi="宋体" w:cs="宋体"/>
                <w:sz w:val="24"/>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1.3.3</w:t>
            </w:r>
          </w:p>
        </w:tc>
        <w:tc>
          <w:tcPr>
            <w:tcW w:w="2735" w:type="dxa"/>
            <w:vAlign w:val="center"/>
          </w:tcPr>
          <w:p>
            <w:pPr>
              <w:spacing w:line="560" w:lineRule="exact"/>
              <w:rPr>
                <w:rFonts w:ascii="宋体" w:hAnsi="宋体" w:cs="宋体"/>
                <w:bCs/>
                <w:sz w:val="24"/>
              </w:rPr>
            </w:pPr>
            <w:r>
              <w:rPr>
                <w:rFonts w:hint="eastAsia" w:ascii="宋体" w:hAnsi="宋体" w:cs="宋体"/>
                <w:bCs/>
                <w:sz w:val="24"/>
              </w:rPr>
              <w:t>供货地点</w:t>
            </w:r>
          </w:p>
        </w:tc>
        <w:tc>
          <w:tcPr>
            <w:tcW w:w="5909" w:type="dxa"/>
            <w:vAlign w:val="center"/>
          </w:tcPr>
          <w:p>
            <w:pPr>
              <w:spacing w:line="560" w:lineRule="exact"/>
              <w:rPr>
                <w:rFonts w:ascii="宋体" w:hAnsi="宋体" w:cs="宋体"/>
                <w:sz w:val="24"/>
              </w:rPr>
            </w:pPr>
            <w:r>
              <w:rPr>
                <w:rFonts w:hint="eastAsia" w:ascii="宋体" w:hAnsi="宋体" w:cs="宋体"/>
                <w:sz w:val="24"/>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1.3.4</w:t>
            </w:r>
          </w:p>
        </w:tc>
        <w:tc>
          <w:tcPr>
            <w:tcW w:w="2735" w:type="dxa"/>
            <w:vAlign w:val="center"/>
          </w:tcPr>
          <w:p>
            <w:pPr>
              <w:spacing w:line="560" w:lineRule="exact"/>
              <w:rPr>
                <w:rFonts w:ascii="宋体" w:hAnsi="宋体" w:cs="宋体"/>
                <w:sz w:val="24"/>
              </w:rPr>
            </w:pPr>
            <w:r>
              <w:rPr>
                <w:rFonts w:hint="eastAsia" w:ascii="宋体" w:hAnsi="宋体" w:cs="宋体"/>
                <w:sz w:val="24"/>
              </w:rPr>
              <w:t>质量要求及验收标准</w:t>
            </w:r>
          </w:p>
        </w:tc>
        <w:tc>
          <w:tcPr>
            <w:tcW w:w="5909" w:type="dxa"/>
            <w:vAlign w:val="center"/>
          </w:tcPr>
          <w:p>
            <w:pPr>
              <w:spacing w:line="560" w:lineRule="exact"/>
              <w:rPr>
                <w:rFonts w:ascii="宋体" w:hAnsi="宋体" w:cs="宋体"/>
                <w:sz w:val="24"/>
              </w:rPr>
            </w:pPr>
            <w:r>
              <w:rPr>
                <w:rFonts w:hint="eastAsia" w:ascii="宋体" w:hAnsi="宋体" w:cs="宋体"/>
                <w:bCs/>
                <w:sz w:val="24"/>
              </w:rPr>
              <w:t>相关质量验收规范合格标准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1.4.1</w:t>
            </w:r>
          </w:p>
        </w:tc>
        <w:tc>
          <w:tcPr>
            <w:tcW w:w="2735" w:type="dxa"/>
            <w:vAlign w:val="center"/>
          </w:tcPr>
          <w:p>
            <w:pPr>
              <w:spacing w:line="560" w:lineRule="exact"/>
              <w:rPr>
                <w:rFonts w:ascii="宋体" w:hAnsi="宋体" w:cs="宋体"/>
                <w:sz w:val="24"/>
              </w:rPr>
            </w:pPr>
            <w:r>
              <w:rPr>
                <w:rFonts w:hint="eastAsia" w:ascii="宋体" w:hAnsi="宋体" w:cs="宋体"/>
                <w:sz w:val="24"/>
              </w:rPr>
              <w:t>投标人资格要求</w:t>
            </w:r>
          </w:p>
        </w:tc>
        <w:tc>
          <w:tcPr>
            <w:tcW w:w="5909" w:type="dxa"/>
            <w:vAlign w:val="center"/>
          </w:tcPr>
          <w:p>
            <w:pPr>
              <w:spacing w:line="560" w:lineRule="exact"/>
              <w:rPr>
                <w:rFonts w:ascii="宋体" w:hAnsi="宋体" w:cs="宋体"/>
                <w:sz w:val="24"/>
              </w:rPr>
            </w:pPr>
            <w:r>
              <w:rPr>
                <w:rFonts w:hint="eastAsia" w:ascii="宋体" w:hAnsi="宋体" w:cs="宋体"/>
                <w:sz w:val="24"/>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1.4.2</w:t>
            </w:r>
          </w:p>
        </w:tc>
        <w:tc>
          <w:tcPr>
            <w:tcW w:w="2735" w:type="dxa"/>
            <w:vAlign w:val="center"/>
          </w:tcPr>
          <w:p>
            <w:pPr>
              <w:spacing w:line="560" w:lineRule="exact"/>
              <w:rPr>
                <w:rFonts w:ascii="宋体" w:hAnsi="宋体" w:cs="宋体"/>
                <w:sz w:val="24"/>
              </w:rPr>
            </w:pPr>
            <w:r>
              <w:rPr>
                <w:rFonts w:hint="eastAsia" w:ascii="宋体" w:hAnsi="宋体" w:cs="宋体"/>
                <w:sz w:val="24"/>
              </w:rPr>
              <w:t>是否接受联合体投标</w:t>
            </w:r>
          </w:p>
        </w:tc>
        <w:tc>
          <w:tcPr>
            <w:tcW w:w="5909" w:type="dxa"/>
            <w:vAlign w:val="center"/>
          </w:tcPr>
          <w:p>
            <w:pPr>
              <w:spacing w:line="560" w:lineRule="exact"/>
              <w:rPr>
                <w:rFonts w:ascii="宋体" w:hAnsi="宋体" w:cs="宋体"/>
                <w:kern w:val="0"/>
                <w:sz w:val="24"/>
              </w:rPr>
            </w:pPr>
            <w:r>
              <w:rPr>
                <w:rFonts w:hint="eastAsia" w:ascii="宋体" w:hAnsi="宋体" w:cs="宋体"/>
                <w:sz w:val="24"/>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57" w:type="dxa"/>
            <w:vAlign w:val="center"/>
          </w:tcPr>
          <w:p>
            <w:pPr>
              <w:spacing w:line="560" w:lineRule="exact"/>
              <w:jc w:val="center"/>
              <w:rPr>
                <w:rFonts w:ascii="宋体" w:hAnsi="宋体" w:cs="宋体"/>
                <w:b/>
                <w:sz w:val="24"/>
              </w:rPr>
            </w:pPr>
            <w:r>
              <w:rPr>
                <w:rFonts w:hint="eastAsia" w:ascii="宋体" w:hAnsi="宋体" w:cs="宋体"/>
                <w:sz w:val="24"/>
              </w:rPr>
              <w:t>1.9.1</w:t>
            </w:r>
          </w:p>
        </w:tc>
        <w:tc>
          <w:tcPr>
            <w:tcW w:w="2735" w:type="dxa"/>
            <w:vAlign w:val="center"/>
          </w:tcPr>
          <w:p>
            <w:pPr>
              <w:spacing w:line="560" w:lineRule="exact"/>
              <w:rPr>
                <w:rFonts w:ascii="宋体" w:hAnsi="宋体" w:cs="宋体"/>
                <w:b/>
                <w:sz w:val="24"/>
              </w:rPr>
            </w:pPr>
            <w:r>
              <w:rPr>
                <w:rFonts w:hint="eastAsia" w:ascii="宋体" w:hAnsi="宋体" w:cs="宋体"/>
                <w:kern w:val="0"/>
                <w:sz w:val="24"/>
              </w:rPr>
              <w:t>踏勘现场</w:t>
            </w:r>
          </w:p>
        </w:tc>
        <w:tc>
          <w:tcPr>
            <w:tcW w:w="5909" w:type="dxa"/>
            <w:vAlign w:val="center"/>
          </w:tcPr>
          <w:p>
            <w:pPr>
              <w:spacing w:line="560" w:lineRule="exact"/>
              <w:rPr>
                <w:rFonts w:ascii="宋体" w:hAnsi="宋体" w:cs="宋体"/>
                <w:b/>
                <w:sz w:val="24"/>
                <w:u w:val="single"/>
              </w:rPr>
            </w:pPr>
            <w:r>
              <w:rPr>
                <w:rFonts w:hint="eastAsia" w:ascii="宋体" w:hAnsi="宋体" w:cs="宋体"/>
                <w:sz w:val="24"/>
              </w:rPr>
              <w:t>投标人自行踏勘现场，招标人不组织集中踏勘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1.10</w:t>
            </w:r>
          </w:p>
        </w:tc>
        <w:tc>
          <w:tcPr>
            <w:tcW w:w="2735" w:type="dxa"/>
            <w:vAlign w:val="center"/>
          </w:tcPr>
          <w:p>
            <w:pPr>
              <w:spacing w:line="560" w:lineRule="exact"/>
              <w:rPr>
                <w:rFonts w:ascii="宋体" w:hAnsi="宋体" w:cs="宋体"/>
                <w:sz w:val="24"/>
              </w:rPr>
            </w:pPr>
            <w:r>
              <w:rPr>
                <w:rFonts w:hint="eastAsia" w:ascii="宋体" w:hAnsi="宋体" w:cs="宋体"/>
                <w:sz w:val="24"/>
              </w:rPr>
              <w:t>投标预备会</w:t>
            </w:r>
          </w:p>
        </w:tc>
        <w:tc>
          <w:tcPr>
            <w:tcW w:w="5909" w:type="dxa"/>
            <w:vAlign w:val="center"/>
          </w:tcPr>
          <w:p>
            <w:pPr>
              <w:spacing w:line="560" w:lineRule="exact"/>
              <w:rPr>
                <w:rFonts w:ascii="宋体" w:hAnsi="宋体" w:cs="宋体"/>
                <w:sz w:val="24"/>
              </w:rPr>
            </w:pPr>
            <w:r>
              <w:rPr>
                <w:rFonts w:hint="eastAsia" w:ascii="宋体" w:hAnsi="宋体" w:cs="宋体"/>
                <w:kern w:val="0"/>
                <w:sz w:val="24"/>
              </w:rPr>
              <w:fldChar w:fldCharType="begin"/>
            </w:r>
            <w:r>
              <w:rPr>
                <w:rFonts w:hint="eastAsia" w:ascii="宋体" w:hAnsi="宋体" w:cs="宋体"/>
                <w:kern w:val="0"/>
                <w:sz w:val="24"/>
              </w:rPr>
              <w:instrText xml:space="preserve"> eq \o\ac(□,</w:instrText>
            </w:r>
            <w:r>
              <w:rPr>
                <w:rFonts w:hint="eastAsia" w:ascii="宋体" w:hAnsi="宋体" w:cs="宋体"/>
                <w:kern w:val="0"/>
                <w:position w:val="2"/>
                <w:sz w:val="24"/>
              </w:rPr>
              <w:instrText xml:space="preserve">√</w:instrText>
            </w:r>
            <w:r>
              <w:rPr>
                <w:rFonts w:hint="eastAsia" w:ascii="宋体" w:hAnsi="宋体" w:cs="宋体"/>
                <w:kern w:val="0"/>
                <w:sz w:val="24"/>
              </w:rPr>
              <w:instrText xml:space="preserve">)</w:instrText>
            </w:r>
            <w:r>
              <w:rPr>
                <w:rFonts w:hint="eastAsia" w:ascii="宋体" w:hAnsi="宋体" w:cs="宋体"/>
                <w:kern w:val="0"/>
                <w:sz w:val="24"/>
              </w:rPr>
              <w:fldChar w:fldCharType="end"/>
            </w:r>
            <w:r>
              <w:rPr>
                <w:rFonts w:hint="eastAsia" w:ascii="宋体" w:hAnsi="宋体" w:cs="宋体"/>
                <w:sz w:val="24"/>
              </w:rPr>
              <w:t>不召开</w:t>
            </w:r>
          </w:p>
          <w:p>
            <w:pPr>
              <w:spacing w:line="560" w:lineRule="exact"/>
              <w:rPr>
                <w:rFonts w:ascii="宋体" w:hAnsi="宋体" w:cs="宋体"/>
                <w:sz w:val="24"/>
              </w:rPr>
            </w:pPr>
            <w:r>
              <w:rPr>
                <w:rFonts w:hint="eastAsia" w:ascii="宋体" w:hAnsi="宋体" w:cs="宋体"/>
                <w:kern w:val="0"/>
                <w:sz w:val="24"/>
              </w:rPr>
              <w:t>□</w:t>
            </w:r>
            <w:r>
              <w:rPr>
                <w:rFonts w:hint="eastAsia" w:ascii="宋体" w:hAnsi="宋体" w:cs="宋体"/>
                <w:sz w:val="24"/>
              </w:rPr>
              <w:t>召开，召开时间：</w:t>
            </w:r>
          </w:p>
          <w:p>
            <w:pPr>
              <w:spacing w:line="560" w:lineRule="exact"/>
              <w:ind w:firstLine="960" w:firstLineChars="400"/>
              <w:rPr>
                <w:rFonts w:ascii="宋体" w:hAnsi="宋体" w:cs="宋体"/>
                <w:sz w:val="24"/>
              </w:rPr>
            </w:pPr>
            <w:r>
              <w:rPr>
                <w:rFonts w:hint="eastAsia" w:ascii="宋体" w:hAnsi="宋体" w:cs="宋体"/>
                <w:sz w:val="24"/>
              </w:rPr>
              <w:t>召开地点：</w:t>
            </w:r>
          </w:p>
          <w:p>
            <w:pPr>
              <w:spacing w:line="560" w:lineRule="exact"/>
              <w:ind w:firstLine="960" w:firstLineChars="400"/>
              <w:rPr>
                <w:rFonts w:ascii="宋体" w:hAnsi="宋体" w:cs="宋体"/>
                <w:sz w:val="24"/>
              </w:rPr>
            </w:pPr>
            <w:r>
              <w:rPr>
                <w:rFonts w:hint="eastAsia" w:ascii="宋体" w:hAnsi="宋体" w:cs="宋体"/>
                <w:sz w:val="24"/>
              </w:rPr>
              <w:t>投标人提出问题的截止时间：</w:t>
            </w:r>
          </w:p>
          <w:p>
            <w:pPr>
              <w:spacing w:line="560" w:lineRule="exact"/>
              <w:ind w:firstLine="960" w:firstLineChars="400"/>
              <w:rPr>
                <w:rFonts w:ascii="宋体" w:hAnsi="宋体" w:cs="宋体"/>
                <w:sz w:val="24"/>
              </w:rPr>
            </w:pPr>
            <w:r>
              <w:rPr>
                <w:rFonts w:hint="eastAsia" w:ascii="宋体" w:hAnsi="宋体" w:cs="宋体"/>
                <w:sz w:val="24"/>
              </w:rPr>
              <w:t>招标人澄清的截止时间：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1.11</w:t>
            </w:r>
          </w:p>
        </w:tc>
        <w:tc>
          <w:tcPr>
            <w:tcW w:w="2735" w:type="dxa"/>
            <w:vAlign w:val="center"/>
          </w:tcPr>
          <w:p>
            <w:pPr>
              <w:spacing w:line="560" w:lineRule="exact"/>
              <w:rPr>
                <w:rFonts w:ascii="宋体" w:hAnsi="宋体" w:cs="宋体"/>
                <w:sz w:val="24"/>
              </w:rPr>
            </w:pPr>
            <w:r>
              <w:rPr>
                <w:rFonts w:hint="eastAsia" w:ascii="宋体" w:hAnsi="宋体" w:cs="宋体"/>
                <w:sz w:val="24"/>
              </w:rPr>
              <w:t>偏离</w:t>
            </w:r>
          </w:p>
        </w:tc>
        <w:tc>
          <w:tcPr>
            <w:tcW w:w="5909" w:type="dxa"/>
            <w:vAlign w:val="center"/>
          </w:tcPr>
          <w:p>
            <w:pPr>
              <w:spacing w:line="560" w:lineRule="exact"/>
              <w:rPr>
                <w:rFonts w:ascii="宋体" w:hAnsi="宋体" w:cs="宋体"/>
                <w:sz w:val="24"/>
              </w:rPr>
            </w:pPr>
            <w:r>
              <w:rPr>
                <w:rFonts w:hint="eastAsia" w:ascii="宋体" w:hAnsi="宋体" w:cs="宋体"/>
                <w:kern w:val="0"/>
                <w:sz w:val="24"/>
              </w:rPr>
              <w:fldChar w:fldCharType="begin"/>
            </w:r>
            <w:r>
              <w:rPr>
                <w:rFonts w:hint="eastAsia" w:ascii="宋体" w:hAnsi="宋体" w:cs="宋体"/>
                <w:kern w:val="0"/>
                <w:sz w:val="24"/>
              </w:rPr>
              <w:instrText xml:space="preserve"> eq \o\ac(□,</w:instrText>
            </w:r>
            <w:r>
              <w:rPr>
                <w:rFonts w:hint="eastAsia" w:ascii="宋体" w:hAnsi="宋体" w:cs="宋体"/>
                <w:kern w:val="0"/>
                <w:position w:val="2"/>
                <w:sz w:val="24"/>
              </w:rPr>
              <w:instrText xml:space="preserve">√</w:instrText>
            </w:r>
            <w:r>
              <w:rPr>
                <w:rFonts w:hint="eastAsia" w:ascii="宋体" w:hAnsi="宋体" w:cs="宋体"/>
                <w:kern w:val="0"/>
                <w:sz w:val="24"/>
              </w:rPr>
              <w:instrText xml:space="preserve">)</w:instrText>
            </w:r>
            <w:r>
              <w:rPr>
                <w:rFonts w:hint="eastAsia" w:ascii="宋体" w:hAnsi="宋体" w:cs="宋体"/>
                <w:kern w:val="0"/>
                <w:sz w:val="24"/>
              </w:rPr>
              <w:fldChar w:fldCharType="end"/>
            </w:r>
            <w:r>
              <w:rPr>
                <w:rFonts w:hint="eastAsia" w:ascii="宋体" w:hAnsi="宋体" w:cs="宋体"/>
                <w:sz w:val="24"/>
              </w:rPr>
              <w:t>允许，允许偏离范围：</w:t>
            </w:r>
          </w:p>
          <w:p>
            <w:pPr>
              <w:spacing w:line="560" w:lineRule="exact"/>
              <w:ind w:firstLine="960" w:firstLineChars="400"/>
              <w:rPr>
                <w:rFonts w:ascii="宋体" w:hAnsi="宋体" w:cs="宋体"/>
                <w:sz w:val="24"/>
              </w:rPr>
            </w:pPr>
            <w:r>
              <w:rPr>
                <w:rFonts w:hint="eastAsia" w:ascii="宋体" w:hAnsi="宋体" w:cs="宋体"/>
                <w:sz w:val="24"/>
              </w:rPr>
              <w:t>允许偏离幅度：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2.1.1</w:t>
            </w:r>
          </w:p>
        </w:tc>
        <w:tc>
          <w:tcPr>
            <w:tcW w:w="2735" w:type="dxa"/>
            <w:vAlign w:val="center"/>
          </w:tcPr>
          <w:p>
            <w:pPr>
              <w:spacing w:line="560" w:lineRule="exact"/>
              <w:rPr>
                <w:rFonts w:ascii="宋体" w:hAnsi="宋体" w:cs="宋体"/>
                <w:kern w:val="0"/>
                <w:sz w:val="24"/>
              </w:rPr>
            </w:pPr>
            <w:r>
              <w:rPr>
                <w:rFonts w:hint="eastAsia" w:ascii="宋体" w:hAnsi="宋体" w:cs="宋体"/>
                <w:kern w:val="0"/>
                <w:sz w:val="24"/>
              </w:rPr>
              <w:t>构成招标文件的其它材料</w:t>
            </w:r>
          </w:p>
        </w:tc>
        <w:tc>
          <w:tcPr>
            <w:tcW w:w="5909" w:type="dxa"/>
            <w:vAlign w:val="center"/>
          </w:tcPr>
          <w:p>
            <w:pPr>
              <w:spacing w:line="560" w:lineRule="exact"/>
              <w:rPr>
                <w:rFonts w:ascii="宋体" w:hAnsi="宋体" w:cs="宋体"/>
                <w:kern w:val="0"/>
                <w:sz w:val="24"/>
              </w:rPr>
            </w:pP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2.2.1</w:t>
            </w:r>
          </w:p>
        </w:tc>
        <w:tc>
          <w:tcPr>
            <w:tcW w:w="2735" w:type="dxa"/>
            <w:vAlign w:val="center"/>
          </w:tcPr>
          <w:p>
            <w:pPr>
              <w:spacing w:line="560" w:lineRule="exact"/>
              <w:rPr>
                <w:rFonts w:ascii="宋体" w:hAnsi="宋体" w:cs="宋体"/>
                <w:sz w:val="24"/>
              </w:rPr>
            </w:pPr>
            <w:r>
              <w:rPr>
                <w:rFonts w:hint="eastAsia" w:ascii="宋体" w:hAnsi="宋体" w:cs="宋体"/>
                <w:sz w:val="24"/>
              </w:rPr>
              <w:t>要求招标人澄清招标文件截至时间</w:t>
            </w:r>
          </w:p>
        </w:tc>
        <w:tc>
          <w:tcPr>
            <w:tcW w:w="5909" w:type="dxa"/>
            <w:vAlign w:val="center"/>
          </w:tcPr>
          <w:p>
            <w:pPr>
              <w:spacing w:line="560" w:lineRule="exact"/>
              <w:rPr>
                <w:rFonts w:ascii="宋体" w:hAnsi="宋体" w:cs="宋体"/>
                <w:sz w:val="24"/>
              </w:rPr>
            </w:pPr>
            <w:r>
              <w:rPr>
                <w:rFonts w:hint="eastAsia" w:ascii="宋体" w:hAnsi="宋体" w:cs="宋体"/>
                <w:sz w:val="24"/>
                <w:u w:val="single"/>
              </w:rPr>
              <w:t>202</w:t>
            </w:r>
            <w:r>
              <w:rPr>
                <w:rFonts w:hint="eastAsia" w:ascii="宋体" w:hAnsi="宋体" w:cs="宋体"/>
                <w:sz w:val="24"/>
                <w:u w:val="single"/>
                <w:lang w:val="en-US" w:eastAsia="zh-CN"/>
              </w:rPr>
              <w:t>1</w:t>
            </w:r>
            <w:r>
              <w:rPr>
                <w:rFonts w:hint="eastAsia" w:ascii="宋体" w:hAnsi="宋体" w:cs="宋体"/>
                <w:sz w:val="24"/>
              </w:rPr>
              <w:t>年</w:t>
            </w:r>
            <w:r>
              <w:rPr>
                <w:rFonts w:hint="eastAsia" w:ascii="宋体" w:hAnsi="宋体" w:cs="宋体"/>
                <w:sz w:val="24"/>
                <w:u w:val="single"/>
              </w:rPr>
              <w:t>1</w:t>
            </w:r>
            <w:r>
              <w:rPr>
                <w:rFonts w:hint="eastAsia" w:ascii="宋体" w:hAnsi="宋体" w:cs="宋体"/>
                <w:sz w:val="24"/>
              </w:rPr>
              <w:t>月</w:t>
            </w:r>
            <w:r>
              <w:rPr>
                <w:rFonts w:hint="eastAsia" w:ascii="宋体" w:hAnsi="宋体" w:cs="宋体"/>
                <w:sz w:val="24"/>
                <w:u w:val="single"/>
                <w:lang w:val="en-US" w:eastAsia="zh-CN"/>
              </w:rPr>
              <w:t>14</w:t>
            </w:r>
            <w:r>
              <w:rPr>
                <w:rFonts w:hint="eastAsia" w:ascii="宋体" w:hAnsi="宋体" w:cs="宋体"/>
                <w:sz w:val="24"/>
              </w:rPr>
              <w:t>日</w:t>
            </w:r>
            <w:r>
              <w:rPr>
                <w:rFonts w:hint="eastAsia" w:ascii="宋体" w:hAnsi="宋体" w:cs="宋体"/>
                <w:sz w:val="24"/>
                <w:u w:val="single"/>
              </w:rPr>
              <w:t xml:space="preserve"> 18</w:t>
            </w:r>
            <w:r>
              <w:rPr>
                <w:rFonts w:hint="eastAsia" w:ascii="宋体" w:hAnsi="宋体" w:cs="宋体"/>
                <w:sz w:val="24"/>
              </w:rPr>
              <w:t>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2.2.3</w:t>
            </w:r>
          </w:p>
        </w:tc>
        <w:tc>
          <w:tcPr>
            <w:tcW w:w="2735" w:type="dxa"/>
            <w:vAlign w:val="center"/>
          </w:tcPr>
          <w:p>
            <w:pPr>
              <w:spacing w:line="560" w:lineRule="exact"/>
              <w:rPr>
                <w:rFonts w:ascii="宋体" w:hAnsi="宋体" w:cs="宋体"/>
                <w:sz w:val="24"/>
              </w:rPr>
            </w:pPr>
            <w:r>
              <w:rPr>
                <w:rFonts w:hint="eastAsia" w:ascii="宋体" w:hAnsi="宋体" w:cs="宋体"/>
                <w:sz w:val="24"/>
              </w:rPr>
              <w:t>投标人确认收到招标文件澄清时间</w:t>
            </w:r>
          </w:p>
        </w:tc>
        <w:tc>
          <w:tcPr>
            <w:tcW w:w="5909" w:type="dxa"/>
            <w:vAlign w:val="center"/>
          </w:tcPr>
          <w:p>
            <w:pPr>
              <w:spacing w:line="560" w:lineRule="exact"/>
              <w:rPr>
                <w:rFonts w:ascii="宋体" w:hAnsi="宋体" w:cs="宋体"/>
                <w:sz w:val="24"/>
                <w:u w:val="single"/>
              </w:rPr>
            </w:pPr>
            <w:r>
              <w:rPr>
                <w:rFonts w:hint="eastAsia" w:ascii="宋体" w:hAnsi="宋体" w:cs="宋体"/>
                <w:sz w:val="24"/>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2.3.2</w:t>
            </w:r>
          </w:p>
        </w:tc>
        <w:tc>
          <w:tcPr>
            <w:tcW w:w="2735" w:type="dxa"/>
            <w:vAlign w:val="center"/>
          </w:tcPr>
          <w:p>
            <w:pPr>
              <w:spacing w:line="560" w:lineRule="exact"/>
              <w:rPr>
                <w:rFonts w:ascii="宋体" w:hAnsi="宋体" w:cs="宋体"/>
                <w:sz w:val="24"/>
              </w:rPr>
            </w:pPr>
            <w:r>
              <w:rPr>
                <w:rFonts w:hint="eastAsia" w:ascii="宋体" w:hAnsi="宋体" w:cs="宋体"/>
                <w:sz w:val="24"/>
              </w:rPr>
              <w:t>投标人确认收到招标文件修改时间</w:t>
            </w:r>
          </w:p>
        </w:tc>
        <w:tc>
          <w:tcPr>
            <w:tcW w:w="5909" w:type="dxa"/>
            <w:vAlign w:val="center"/>
          </w:tcPr>
          <w:p>
            <w:pPr>
              <w:spacing w:line="560" w:lineRule="exact"/>
              <w:rPr>
                <w:rFonts w:ascii="宋体" w:hAnsi="宋体" w:cs="宋体"/>
                <w:sz w:val="24"/>
              </w:rPr>
            </w:pPr>
            <w:r>
              <w:rPr>
                <w:rFonts w:hint="eastAsia" w:ascii="宋体" w:hAnsi="宋体" w:cs="宋体"/>
                <w:sz w:val="24"/>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3.1.1</w:t>
            </w:r>
          </w:p>
        </w:tc>
        <w:tc>
          <w:tcPr>
            <w:tcW w:w="2735" w:type="dxa"/>
            <w:vAlign w:val="center"/>
          </w:tcPr>
          <w:p>
            <w:pPr>
              <w:spacing w:line="560" w:lineRule="exact"/>
              <w:rPr>
                <w:rFonts w:ascii="宋体" w:hAnsi="宋体" w:cs="宋体"/>
                <w:sz w:val="24"/>
              </w:rPr>
            </w:pPr>
            <w:r>
              <w:rPr>
                <w:rFonts w:hint="eastAsia" w:ascii="宋体" w:hAnsi="宋体" w:cs="宋体"/>
                <w:sz w:val="24"/>
              </w:rPr>
              <w:t>投标文件的组成</w:t>
            </w:r>
          </w:p>
        </w:tc>
        <w:tc>
          <w:tcPr>
            <w:tcW w:w="5909" w:type="dxa"/>
            <w:vAlign w:val="center"/>
          </w:tcPr>
          <w:p>
            <w:pPr>
              <w:spacing w:line="560" w:lineRule="exact"/>
              <w:rPr>
                <w:rFonts w:ascii="宋体" w:hAnsi="宋体" w:cs="宋体"/>
                <w:sz w:val="24"/>
              </w:rPr>
            </w:pPr>
            <w:r>
              <w:rPr>
                <w:rFonts w:hint="eastAsia" w:ascii="宋体" w:hAnsi="宋体" w:cs="宋体"/>
                <w:sz w:val="24"/>
              </w:rPr>
              <w:t>投标文件一般包括开标一览表、资质文件、商务文件、技术文件等，详见投标人须知3.1投标文件的组成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3.1.3</w:t>
            </w:r>
          </w:p>
        </w:tc>
        <w:tc>
          <w:tcPr>
            <w:tcW w:w="2735" w:type="dxa"/>
            <w:vAlign w:val="center"/>
          </w:tcPr>
          <w:p>
            <w:pPr>
              <w:spacing w:line="560" w:lineRule="exact"/>
              <w:rPr>
                <w:rFonts w:ascii="宋体" w:hAnsi="宋体" w:cs="宋体"/>
                <w:sz w:val="24"/>
              </w:rPr>
            </w:pPr>
            <w:r>
              <w:rPr>
                <w:rFonts w:hint="eastAsia" w:ascii="宋体" w:hAnsi="宋体" w:cs="宋体"/>
                <w:sz w:val="24"/>
              </w:rPr>
              <w:t>须提交核验的原件材料</w:t>
            </w:r>
          </w:p>
        </w:tc>
        <w:tc>
          <w:tcPr>
            <w:tcW w:w="5909" w:type="dxa"/>
            <w:vAlign w:val="center"/>
          </w:tcPr>
          <w:p>
            <w:pPr>
              <w:spacing w:line="560" w:lineRule="exact"/>
              <w:rPr>
                <w:rFonts w:ascii="宋体" w:hAnsi="宋体" w:cs="宋体"/>
                <w:sz w:val="24"/>
                <w:u w:val="single"/>
              </w:rPr>
            </w:pPr>
            <w:r>
              <w:rPr>
                <w:rFonts w:hint="eastAsia" w:ascii="宋体" w:hAnsi="宋体" w:cs="宋体"/>
                <w:sz w:val="24"/>
              </w:rPr>
              <w:t>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3.2.2</w:t>
            </w:r>
          </w:p>
        </w:tc>
        <w:tc>
          <w:tcPr>
            <w:tcW w:w="2735" w:type="dxa"/>
            <w:vAlign w:val="center"/>
          </w:tcPr>
          <w:p>
            <w:pPr>
              <w:spacing w:line="560" w:lineRule="exact"/>
              <w:rPr>
                <w:rFonts w:ascii="宋体" w:hAnsi="宋体" w:cs="宋体"/>
                <w:sz w:val="24"/>
              </w:rPr>
            </w:pPr>
            <w:r>
              <w:rPr>
                <w:rFonts w:hint="eastAsia" w:ascii="宋体" w:hAnsi="宋体" w:cs="宋体"/>
                <w:sz w:val="24"/>
              </w:rPr>
              <w:t>投标报价要求</w:t>
            </w:r>
          </w:p>
        </w:tc>
        <w:tc>
          <w:tcPr>
            <w:tcW w:w="5909" w:type="dxa"/>
            <w:vAlign w:val="center"/>
          </w:tcPr>
          <w:p>
            <w:pPr>
              <w:spacing w:line="560" w:lineRule="exact"/>
              <w:rPr>
                <w:rFonts w:ascii="宋体" w:hAnsi="宋体" w:cs="宋体"/>
                <w:sz w:val="24"/>
              </w:rPr>
            </w:pPr>
            <w:r>
              <w:rPr>
                <w:rFonts w:hint="eastAsia" w:ascii="宋体" w:hAnsi="宋体" w:cs="宋体"/>
                <w:sz w:val="24"/>
              </w:rPr>
              <w:t>投标报价是履行合同的最终价格（如采购需求发生变化，采购数量按实计算，中标全费用综合单价不变），投标所报单价为全费用综合单价,须包括货物价款、途中运输费、装卸费、损耗费、加工费、安装费、测试费、技术资料费、保险费、税费、招标代理费及合同中明示或暗示的所有一般风险、责任和政策性文件规定以及不可竞争费等所需的全部费用，投标报价中若有漏项、缺项、少算部分，视同分摊至其余综合单价中，结算时不予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3.2.3</w:t>
            </w:r>
          </w:p>
        </w:tc>
        <w:tc>
          <w:tcPr>
            <w:tcW w:w="2735" w:type="dxa"/>
            <w:vAlign w:val="center"/>
          </w:tcPr>
          <w:p>
            <w:pPr>
              <w:spacing w:line="560" w:lineRule="exact"/>
              <w:rPr>
                <w:rFonts w:ascii="宋体" w:hAnsi="宋体" w:cs="宋体"/>
                <w:sz w:val="24"/>
              </w:rPr>
            </w:pPr>
            <w:r>
              <w:rPr>
                <w:rFonts w:hint="eastAsia" w:ascii="宋体" w:hAnsi="宋体" w:cs="宋体"/>
                <w:sz w:val="24"/>
              </w:rPr>
              <w:t>招标控制价</w:t>
            </w:r>
          </w:p>
        </w:tc>
        <w:tc>
          <w:tcPr>
            <w:tcW w:w="5909" w:type="dxa"/>
            <w:vAlign w:val="center"/>
          </w:tcPr>
          <w:p>
            <w:pPr>
              <w:spacing w:line="560" w:lineRule="exact"/>
              <w:rPr>
                <w:rFonts w:ascii="宋体" w:hAnsi="宋体" w:cs="宋体"/>
                <w:sz w:val="24"/>
              </w:rPr>
            </w:pPr>
            <w:r>
              <w:rPr>
                <w:rFonts w:hint="eastAsia" w:ascii="宋体" w:hAnsi="宋体" w:cs="宋体"/>
                <w:sz w:val="24"/>
                <w:u w:val="single"/>
              </w:rPr>
              <w:t>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3.3.1</w:t>
            </w:r>
          </w:p>
        </w:tc>
        <w:tc>
          <w:tcPr>
            <w:tcW w:w="2735" w:type="dxa"/>
            <w:vAlign w:val="center"/>
          </w:tcPr>
          <w:p>
            <w:pPr>
              <w:spacing w:line="560" w:lineRule="exact"/>
              <w:rPr>
                <w:rFonts w:ascii="宋体" w:hAnsi="宋体" w:cs="宋体"/>
                <w:sz w:val="24"/>
              </w:rPr>
            </w:pPr>
            <w:r>
              <w:rPr>
                <w:rFonts w:hint="eastAsia" w:ascii="宋体" w:hAnsi="宋体" w:cs="宋体"/>
                <w:sz w:val="24"/>
              </w:rPr>
              <w:t>投标有效期</w:t>
            </w:r>
          </w:p>
        </w:tc>
        <w:tc>
          <w:tcPr>
            <w:tcW w:w="5909" w:type="dxa"/>
            <w:vAlign w:val="center"/>
          </w:tcPr>
          <w:p>
            <w:pPr>
              <w:spacing w:line="560" w:lineRule="exact"/>
              <w:rPr>
                <w:rFonts w:ascii="宋体" w:hAnsi="宋体" w:cs="宋体"/>
                <w:sz w:val="24"/>
              </w:rPr>
            </w:pPr>
            <w:r>
              <w:rPr>
                <w:rFonts w:hint="eastAsia" w:ascii="宋体" w:hAnsi="宋体" w:cs="宋体"/>
                <w:sz w:val="24"/>
                <w:u w:val="single"/>
                <w:lang w:val="zh-CN"/>
              </w:rPr>
              <w:t xml:space="preserve"> 60 </w:t>
            </w:r>
            <w:r>
              <w:rPr>
                <w:rFonts w:hint="eastAsia" w:ascii="宋体" w:hAnsi="宋体" w:cs="宋体"/>
                <w:sz w:val="24"/>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3.6</w:t>
            </w:r>
          </w:p>
        </w:tc>
        <w:tc>
          <w:tcPr>
            <w:tcW w:w="2735" w:type="dxa"/>
            <w:vAlign w:val="center"/>
          </w:tcPr>
          <w:p>
            <w:pPr>
              <w:spacing w:line="560" w:lineRule="exact"/>
              <w:rPr>
                <w:rFonts w:ascii="宋体" w:hAnsi="宋体" w:cs="宋体"/>
                <w:sz w:val="24"/>
              </w:rPr>
            </w:pPr>
            <w:r>
              <w:rPr>
                <w:rFonts w:hint="eastAsia" w:ascii="宋体" w:hAnsi="宋体" w:cs="宋体"/>
                <w:sz w:val="24"/>
              </w:rPr>
              <w:t>是否允许递交备选投标方案</w:t>
            </w:r>
          </w:p>
        </w:tc>
        <w:tc>
          <w:tcPr>
            <w:tcW w:w="5909" w:type="dxa"/>
            <w:vAlign w:val="center"/>
          </w:tcPr>
          <w:p>
            <w:pPr>
              <w:spacing w:line="560" w:lineRule="exact"/>
              <w:rPr>
                <w:rFonts w:ascii="宋体" w:hAnsi="宋体" w:cs="宋体"/>
                <w:sz w:val="24"/>
              </w:rPr>
            </w:pPr>
            <w:r>
              <w:rPr>
                <w:rFonts w:hint="eastAsia" w:ascii="宋体" w:hAnsi="宋体" w:cs="宋体"/>
                <w:kern w:val="0"/>
                <w:sz w:val="24"/>
              </w:rPr>
              <w:fldChar w:fldCharType="begin"/>
            </w:r>
            <w:r>
              <w:rPr>
                <w:rFonts w:hint="eastAsia" w:ascii="宋体" w:hAnsi="宋体" w:cs="宋体"/>
                <w:kern w:val="0"/>
                <w:sz w:val="24"/>
              </w:rPr>
              <w:instrText xml:space="preserve"> eq \o\ac(□,</w:instrText>
            </w:r>
            <w:r>
              <w:rPr>
                <w:rFonts w:hint="eastAsia" w:ascii="宋体" w:hAnsi="宋体" w:cs="宋体"/>
                <w:kern w:val="0"/>
                <w:position w:val="2"/>
                <w:sz w:val="24"/>
              </w:rPr>
              <w:instrText xml:space="preserve">√</w:instrText>
            </w:r>
            <w:r>
              <w:rPr>
                <w:rFonts w:hint="eastAsia" w:ascii="宋体" w:hAnsi="宋体" w:cs="宋体"/>
                <w:kern w:val="0"/>
                <w:sz w:val="24"/>
              </w:rPr>
              <w:instrText xml:space="preserve">)</w:instrText>
            </w:r>
            <w:r>
              <w:rPr>
                <w:rFonts w:hint="eastAsia" w:ascii="宋体" w:hAnsi="宋体" w:cs="宋体"/>
                <w:kern w:val="0"/>
                <w:sz w:val="24"/>
              </w:rPr>
              <w:fldChar w:fldCharType="end"/>
            </w:r>
            <w:r>
              <w:rPr>
                <w:rFonts w:hint="eastAsia" w:ascii="宋体" w:hAnsi="宋体" w:cs="宋体"/>
                <w:sz w:val="24"/>
              </w:rPr>
              <w:t>不允许</w:t>
            </w:r>
          </w:p>
          <w:p>
            <w:pPr>
              <w:spacing w:line="560" w:lineRule="exact"/>
              <w:rPr>
                <w:rFonts w:ascii="宋体" w:hAnsi="宋体" w:cs="宋体"/>
                <w:sz w:val="24"/>
              </w:rPr>
            </w:pPr>
            <w:r>
              <w:rPr>
                <w:rFonts w:hint="eastAsia" w:ascii="宋体" w:hAnsi="宋体" w:cs="宋体"/>
                <w:kern w:val="0"/>
                <w:sz w:val="24"/>
              </w:rPr>
              <w:t>□</w:t>
            </w:r>
            <w:r>
              <w:rPr>
                <w:rFonts w:hint="eastAsia" w:ascii="宋体" w:hAnsi="宋体" w:cs="宋体"/>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3.7.4</w:t>
            </w:r>
          </w:p>
        </w:tc>
        <w:tc>
          <w:tcPr>
            <w:tcW w:w="2735" w:type="dxa"/>
            <w:vAlign w:val="center"/>
          </w:tcPr>
          <w:p>
            <w:pPr>
              <w:spacing w:line="560" w:lineRule="exact"/>
              <w:jc w:val="left"/>
              <w:rPr>
                <w:rFonts w:ascii="宋体" w:hAnsi="宋体" w:cs="宋体"/>
                <w:sz w:val="24"/>
              </w:rPr>
            </w:pPr>
            <w:r>
              <w:rPr>
                <w:rFonts w:hint="eastAsia" w:ascii="宋体" w:hAnsi="宋体" w:cs="宋体"/>
                <w:sz w:val="24"/>
              </w:rPr>
              <w:t>投标文件数量</w:t>
            </w:r>
          </w:p>
        </w:tc>
        <w:tc>
          <w:tcPr>
            <w:tcW w:w="5909" w:type="dxa"/>
            <w:vAlign w:val="center"/>
          </w:tcPr>
          <w:p>
            <w:pPr>
              <w:spacing w:line="560" w:lineRule="exact"/>
              <w:rPr>
                <w:rFonts w:ascii="宋体" w:hAnsi="宋体" w:cs="宋体"/>
                <w:kern w:val="0"/>
                <w:sz w:val="24"/>
              </w:rPr>
            </w:pPr>
            <w:r>
              <w:rPr>
                <w:rFonts w:hint="eastAsia" w:ascii="宋体" w:hAnsi="宋体" w:cs="宋体"/>
                <w:kern w:val="0"/>
                <w:sz w:val="24"/>
              </w:rPr>
              <w:t>开标一览表</w:t>
            </w:r>
            <w:r>
              <w:rPr>
                <w:rFonts w:hint="eastAsia" w:ascii="宋体" w:hAnsi="宋体" w:cs="宋体"/>
                <w:kern w:val="0"/>
                <w:sz w:val="24"/>
                <w:u w:val="single"/>
              </w:rPr>
              <w:t xml:space="preserve"> 1 </w:t>
            </w:r>
            <w:r>
              <w:rPr>
                <w:rFonts w:hint="eastAsia" w:ascii="宋体" w:hAnsi="宋体" w:cs="宋体"/>
                <w:kern w:val="0"/>
                <w:sz w:val="24"/>
              </w:rPr>
              <w:t>份；投标文件正本</w:t>
            </w:r>
            <w:r>
              <w:rPr>
                <w:rFonts w:hint="eastAsia" w:ascii="宋体" w:hAnsi="宋体" w:cs="宋体"/>
                <w:kern w:val="0"/>
                <w:sz w:val="24"/>
                <w:u w:val="single"/>
              </w:rPr>
              <w:t xml:space="preserve"> 1 </w:t>
            </w:r>
            <w:r>
              <w:rPr>
                <w:rFonts w:hint="eastAsia" w:ascii="宋体" w:hAnsi="宋体" w:cs="宋体"/>
                <w:kern w:val="0"/>
                <w:sz w:val="24"/>
              </w:rPr>
              <w:t>份；副本</w:t>
            </w:r>
            <w:r>
              <w:rPr>
                <w:rFonts w:hint="eastAsia" w:ascii="宋体" w:hAnsi="宋体" w:cs="宋体"/>
                <w:kern w:val="0"/>
                <w:sz w:val="24"/>
                <w:u w:val="single"/>
              </w:rPr>
              <w:t xml:space="preserve"> 4 份</w:t>
            </w:r>
            <w:r>
              <w:rPr>
                <w:rFonts w:hint="eastAsia" w:ascii="宋体" w:hAnsi="宋体" w:cs="宋体"/>
                <w:sz w:val="24"/>
                <w:lang w:eastAsia="zh-CN"/>
              </w:rPr>
              <w:t>。</w:t>
            </w:r>
            <w:r>
              <w:rPr>
                <w:rFonts w:hint="eastAsia" w:ascii="宋体" w:hAnsi="宋体" w:cs="宋体"/>
                <w:sz w:val="24"/>
              </w:rPr>
              <w:t>（</w:t>
            </w:r>
            <w:r>
              <w:rPr>
                <w:rFonts w:hint="eastAsia" w:ascii="宋体" w:hAnsi="宋体" w:cs="宋体"/>
                <w:sz w:val="24"/>
                <w:lang w:eastAsia="zh-CN"/>
              </w:rPr>
              <w:t>投标文件电子文档，</w:t>
            </w:r>
            <w:r>
              <w:rPr>
                <w:rFonts w:hint="eastAsia" w:ascii="宋体" w:hAnsi="宋体" w:cs="宋体"/>
                <w:sz w:val="24"/>
              </w:rPr>
              <w:t>载体用U盘）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3.7.5</w:t>
            </w:r>
          </w:p>
        </w:tc>
        <w:tc>
          <w:tcPr>
            <w:tcW w:w="2735" w:type="dxa"/>
            <w:vAlign w:val="center"/>
          </w:tcPr>
          <w:p>
            <w:pPr>
              <w:spacing w:line="560" w:lineRule="exact"/>
              <w:jc w:val="left"/>
              <w:rPr>
                <w:rFonts w:ascii="宋体" w:hAnsi="宋体" w:cs="宋体"/>
                <w:sz w:val="24"/>
              </w:rPr>
            </w:pPr>
            <w:r>
              <w:rPr>
                <w:rFonts w:hint="eastAsia" w:ascii="宋体" w:hAnsi="宋体" w:cs="宋体"/>
                <w:sz w:val="24"/>
              </w:rPr>
              <w:t>投标文件装订要求</w:t>
            </w:r>
          </w:p>
        </w:tc>
        <w:tc>
          <w:tcPr>
            <w:tcW w:w="5909" w:type="dxa"/>
            <w:vAlign w:val="center"/>
          </w:tcPr>
          <w:p>
            <w:pPr>
              <w:spacing w:line="560" w:lineRule="exact"/>
              <w:rPr>
                <w:rFonts w:ascii="宋体" w:hAnsi="宋体" w:cs="宋体"/>
                <w:kern w:val="0"/>
                <w:sz w:val="24"/>
              </w:rPr>
            </w:pPr>
            <w:r>
              <w:rPr>
                <w:rFonts w:hint="eastAsia" w:ascii="宋体" w:hAnsi="宋体" w:cs="宋体"/>
                <w:kern w:val="0"/>
                <w:sz w:val="24"/>
              </w:rPr>
              <w:t>1、投标人应按本招标文件规定的格式和顺序编制、装订投标文件并标注页码。</w:t>
            </w:r>
          </w:p>
          <w:p>
            <w:pPr>
              <w:spacing w:line="560" w:lineRule="exact"/>
              <w:rPr>
                <w:rFonts w:ascii="宋体" w:hAnsi="宋体" w:cs="宋体"/>
                <w:kern w:val="0"/>
                <w:sz w:val="24"/>
              </w:rPr>
            </w:pPr>
            <w:r>
              <w:rPr>
                <w:rFonts w:hint="eastAsia" w:ascii="宋体" w:hAnsi="宋体" w:cs="宋体"/>
                <w:kern w:val="0"/>
                <w:sz w:val="24"/>
              </w:rPr>
              <w:t>2、开标一览表1份，投标文件正本1份，副本各4份。</w:t>
            </w:r>
          </w:p>
          <w:p>
            <w:pPr>
              <w:spacing w:line="560" w:lineRule="exact"/>
              <w:rPr>
                <w:rFonts w:ascii="宋体" w:hAnsi="宋体" w:cs="宋体"/>
                <w:kern w:val="0"/>
                <w:sz w:val="24"/>
              </w:rPr>
            </w:pPr>
            <w:r>
              <w:rPr>
                <w:rFonts w:hint="eastAsia" w:ascii="宋体" w:hAnsi="宋体" w:cs="宋体"/>
                <w:kern w:val="0"/>
                <w:sz w:val="24"/>
              </w:rPr>
              <w:t>3、投标文件的封面应注明“正本”、“副本”字样。</w:t>
            </w:r>
          </w:p>
          <w:p>
            <w:pPr>
              <w:spacing w:line="560" w:lineRule="exact"/>
              <w:rPr>
                <w:rFonts w:ascii="宋体" w:hAnsi="宋体" w:cs="宋体"/>
                <w:kern w:val="0"/>
                <w:sz w:val="24"/>
              </w:rPr>
            </w:pPr>
            <w:r>
              <w:rPr>
                <w:rFonts w:hint="eastAsia" w:ascii="宋体" w:hAnsi="宋体" w:cs="宋体"/>
                <w:kern w:val="0"/>
                <w:sz w:val="24"/>
              </w:rPr>
              <w:t>4、投标文件须采用胶装、热熔装订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4.2.1</w:t>
            </w:r>
          </w:p>
        </w:tc>
        <w:tc>
          <w:tcPr>
            <w:tcW w:w="2735" w:type="dxa"/>
            <w:vAlign w:val="center"/>
          </w:tcPr>
          <w:p>
            <w:pPr>
              <w:spacing w:line="560" w:lineRule="exact"/>
              <w:rPr>
                <w:rFonts w:ascii="宋体" w:hAnsi="宋体" w:cs="宋体"/>
                <w:sz w:val="24"/>
              </w:rPr>
            </w:pPr>
            <w:r>
              <w:rPr>
                <w:rFonts w:hint="eastAsia" w:ascii="宋体" w:hAnsi="宋体" w:cs="宋体"/>
                <w:sz w:val="24"/>
              </w:rPr>
              <w:t>投标文件递交截止时间和地点</w:t>
            </w:r>
          </w:p>
        </w:tc>
        <w:tc>
          <w:tcPr>
            <w:tcW w:w="5909" w:type="dxa"/>
            <w:vAlign w:val="center"/>
          </w:tcPr>
          <w:p>
            <w:pPr>
              <w:spacing w:line="560" w:lineRule="exact"/>
              <w:rPr>
                <w:rFonts w:ascii="宋体" w:hAnsi="宋体" w:cs="宋体"/>
                <w:kern w:val="0"/>
                <w:sz w:val="24"/>
              </w:rPr>
            </w:pPr>
            <w:r>
              <w:rPr>
                <w:rFonts w:hint="eastAsia" w:ascii="宋体" w:hAnsi="宋体" w:cs="宋体"/>
                <w:kern w:val="0"/>
                <w:sz w:val="24"/>
              </w:rPr>
              <w:t>时间：详见招标公告</w:t>
            </w:r>
          </w:p>
          <w:p>
            <w:pPr>
              <w:spacing w:line="560" w:lineRule="exact"/>
              <w:rPr>
                <w:rFonts w:ascii="宋体" w:hAnsi="宋体" w:cs="宋体"/>
                <w:kern w:val="0"/>
                <w:sz w:val="24"/>
              </w:rPr>
            </w:pPr>
            <w:r>
              <w:rPr>
                <w:rFonts w:hint="eastAsia" w:ascii="宋体" w:hAnsi="宋体" w:cs="宋体"/>
                <w:kern w:val="0"/>
                <w:sz w:val="24"/>
              </w:rPr>
              <w:t>地点：详见招标公告；逾期送达或者未送达指定地点的投标文件，招标人不予受理。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4.2.3</w:t>
            </w:r>
          </w:p>
        </w:tc>
        <w:tc>
          <w:tcPr>
            <w:tcW w:w="2735" w:type="dxa"/>
            <w:vAlign w:val="center"/>
          </w:tcPr>
          <w:p>
            <w:pPr>
              <w:spacing w:line="560" w:lineRule="exact"/>
              <w:rPr>
                <w:rFonts w:ascii="宋体" w:hAnsi="宋体" w:cs="宋体"/>
                <w:sz w:val="24"/>
              </w:rPr>
            </w:pPr>
            <w:r>
              <w:rPr>
                <w:rFonts w:hint="eastAsia" w:ascii="宋体" w:hAnsi="宋体" w:cs="宋体"/>
                <w:sz w:val="24"/>
              </w:rPr>
              <w:t>是否退还投标文件</w:t>
            </w:r>
          </w:p>
        </w:tc>
        <w:tc>
          <w:tcPr>
            <w:tcW w:w="5909" w:type="dxa"/>
            <w:vAlign w:val="center"/>
          </w:tcPr>
          <w:p>
            <w:pPr>
              <w:spacing w:line="560" w:lineRule="exact"/>
              <w:rPr>
                <w:rFonts w:ascii="宋体" w:hAnsi="宋体" w:cs="宋体"/>
                <w:sz w:val="24"/>
              </w:rPr>
            </w:pPr>
            <w:r>
              <w:rPr>
                <w:rFonts w:hint="eastAsia" w:ascii="宋体" w:hAnsi="宋体" w:cs="宋体"/>
                <w:kern w:val="0"/>
                <w:sz w:val="24"/>
              </w:rPr>
              <w:fldChar w:fldCharType="begin"/>
            </w:r>
            <w:r>
              <w:rPr>
                <w:rFonts w:hint="eastAsia" w:ascii="宋体" w:hAnsi="宋体" w:cs="宋体"/>
                <w:kern w:val="0"/>
                <w:sz w:val="24"/>
              </w:rPr>
              <w:instrText xml:space="preserve"> eq \o\ac(□,</w:instrText>
            </w:r>
            <w:r>
              <w:rPr>
                <w:rFonts w:hint="eastAsia" w:ascii="宋体" w:hAnsi="宋体" w:cs="宋体"/>
                <w:kern w:val="0"/>
                <w:position w:val="1"/>
                <w:sz w:val="24"/>
              </w:rPr>
              <w:instrText xml:space="preserve">√</w:instrText>
            </w:r>
            <w:r>
              <w:rPr>
                <w:rFonts w:hint="eastAsia" w:ascii="宋体" w:hAnsi="宋体" w:cs="宋体"/>
                <w:kern w:val="0"/>
                <w:sz w:val="24"/>
              </w:rPr>
              <w:instrText xml:space="preserve">)</w:instrText>
            </w:r>
            <w:r>
              <w:rPr>
                <w:rFonts w:hint="eastAsia" w:ascii="宋体" w:hAnsi="宋体" w:cs="宋体"/>
                <w:kern w:val="0"/>
                <w:sz w:val="24"/>
              </w:rPr>
              <w:fldChar w:fldCharType="end"/>
            </w:r>
            <w:r>
              <w:rPr>
                <w:rFonts w:hint="eastAsia" w:ascii="宋体" w:hAnsi="宋体" w:cs="宋体"/>
                <w:sz w:val="24"/>
              </w:rPr>
              <w:t>否</w:t>
            </w:r>
          </w:p>
          <w:p>
            <w:pPr>
              <w:spacing w:line="560" w:lineRule="exact"/>
              <w:rPr>
                <w:rFonts w:ascii="宋体" w:hAnsi="宋体" w:cs="宋体"/>
                <w:sz w:val="24"/>
                <w:u w:val="single"/>
              </w:rPr>
            </w:pPr>
            <w:r>
              <w:rPr>
                <w:rFonts w:hint="eastAsia" w:ascii="宋体" w:hAnsi="宋体" w:cs="宋体"/>
                <w:kern w:val="0"/>
                <w:sz w:val="24"/>
              </w:rPr>
              <w:t>□</w:t>
            </w:r>
            <w:r>
              <w:rPr>
                <w:rFonts w:hint="eastAsia" w:ascii="宋体" w:hAnsi="宋体" w:cs="宋体"/>
                <w:sz w:val="24"/>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5.1</w:t>
            </w:r>
          </w:p>
        </w:tc>
        <w:tc>
          <w:tcPr>
            <w:tcW w:w="2735" w:type="dxa"/>
            <w:vAlign w:val="center"/>
          </w:tcPr>
          <w:p>
            <w:pPr>
              <w:spacing w:line="560" w:lineRule="exact"/>
              <w:rPr>
                <w:rFonts w:ascii="宋体" w:hAnsi="宋体" w:cs="宋体"/>
                <w:sz w:val="24"/>
              </w:rPr>
            </w:pPr>
            <w:r>
              <w:rPr>
                <w:rFonts w:hint="eastAsia" w:ascii="宋体" w:hAnsi="宋体" w:cs="宋体"/>
                <w:sz w:val="24"/>
              </w:rPr>
              <w:t>开标时间和地点</w:t>
            </w:r>
          </w:p>
        </w:tc>
        <w:tc>
          <w:tcPr>
            <w:tcW w:w="5909" w:type="dxa"/>
            <w:vAlign w:val="center"/>
          </w:tcPr>
          <w:p>
            <w:pPr>
              <w:spacing w:line="560" w:lineRule="exact"/>
              <w:rPr>
                <w:rFonts w:ascii="宋体" w:hAnsi="宋体" w:cs="宋体"/>
                <w:sz w:val="24"/>
              </w:rPr>
            </w:pPr>
            <w:r>
              <w:rPr>
                <w:rFonts w:hint="eastAsia" w:ascii="宋体" w:hAnsi="宋体" w:cs="宋体"/>
                <w:sz w:val="24"/>
              </w:rPr>
              <w:t>开标时间：同投标截止时间</w:t>
            </w:r>
          </w:p>
          <w:p>
            <w:pPr>
              <w:spacing w:line="560" w:lineRule="exact"/>
              <w:rPr>
                <w:rFonts w:ascii="宋体" w:hAnsi="宋体" w:cs="宋体"/>
                <w:sz w:val="24"/>
                <w:u w:val="single"/>
              </w:rPr>
            </w:pPr>
            <w:r>
              <w:rPr>
                <w:rFonts w:hint="eastAsia" w:ascii="宋体" w:hAnsi="宋体" w:cs="宋体"/>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8.1</w:t>
            </w:r>
          </w:p>
        </w:tc>
        <w:tc>
          <w:tcPr>
            <w:tcW w:w="2735" w:type="dxa"/>
            <w:vAlign w:val="center"/>
          </w:tcPr>
          <w:p>
            <w:pPr>
              <w:spacing w:line="560" w:lineRule="exact"/>
              <w:rPr>
                <w:rFonts w:ascii="宋体" w:hAnsi="宋体" w:cs="宋体"/>
                <w:sz w:val="24"/>
              </w:rPr>
            </w:pPr>
            <w:r>
              <w:rPr>
                <w:rFonts w:hint="eastAsia" w:ascii="宋体" w:hAnsi="宋体" w:cs="宋体"/>
                <w:sz w:val="24"/>
              </w:rPr>
              <w:t>是否授权评标委员会确定中标人</w:t>
            </w:r>
          </w:p>
        </w:tc>
        <w:tc>
          <w:tcPr>
            <w:tcW w:w="5909" w:type="dxa"/>
            <w:vAlign w:val="center"/>
          </w:tcPr>
          <w:p>
            <w:pPr>
              <w:spacing w:line="560" w:lineRule="exact"/>
              <w:rPr>
                <w:rFonts w:ascii="宋体" w:hAnsi="宋体" w:cs="宋体"/>
                <w:sz w:val="24"/>
              </w:rPr>
            </w:pPr>
            <w:r>
              <w:rPr>
                <w:rFonts w:hint="eastAsia" w:ascii="宋体" w:hAnsi="宋体" w:cs="宋体"/>
                <w:kern w:val="0"/>
                <w:sz w:val="24"/>
              </w:rPr>
              <w:fldChar w:fldCharType="begin"/>
            </w:r>
            <w:r>
              <w:rPr>
                <w:rFonts w:hint="eastAsia" w:ascii="宋体" w:hAnsi="宋体" w:cs="宋体"/>
                <w:kern w:val="0"/>
                <w:sz w:val="24"/>
              </w:rPr>
              <w:instrText xml:space="preserve"> eq \o\ac(□,</w:instrText>
            </w:r>
            <w:r>
              <w:rPr>
                <w:rFonts w:hint="eastAsia" w:ascii="宋体" w:hAnsi="宋体" w:cs="宋体"/>
                <w:kern w:val="0"/>
                <w:position w:val="1"/>
                <w:sz w:val="24"/>
              </w:rPr>
              <w:instrText xml:space="preserve">√</w:instrText>
            </w:r>
            <w:r>
              <w:rPr>
                <w:rFonts w:hint="eastAsia" w:ascii="宋体" w:hAnsi="宋体" w:cs="宋体"/>
                <w:kern w:val="0"/>
                <w:sz w:val="24"/>
              </w:rPr>
              <w:instrText xml:space="preserve">)</w:instrText>
            </w:r>
            <w:r>
              <w:rPr>
                <w:rFonts w:hint="eastAsia" w:ascii="宋体" w:hAnsi="宋体" w:cs="宋体"/>
                <w:kern w:val="0"/>
                <w:sz w:val="24"/>
              </w:rPr>
              <w:fldChar w:fldCharType="end"/>
            </w:r>
            <w:r>
              <w:rPr>
                <w:rFonts w:hint="eastAsia" w:ascii="宋体" w:hAnsi="宋体" w:cs="宋体"/>
                <w:sz w:val="24"/>
              </w:rPr>
              <w:t>是</w:t>
            </w:r>
          </w:p>
          <w:p>
            <w:pPr>
              <w:spacing w:line="560" w:lineRule="exact"/>
              <w:rPr>
                <w:rFonts w:ascii="宋体" w:hAnsi="宋体" w:cs="宋体"/>
                <w:sz w:val="24"/>
                <w:u w:val="single"/>
              </w:rPr>
            </w:pPr>
            <w:r>
              <w:rPr>
                <w:rFonts w:hint="eastAsia" w:ascii="宋体" w:hAnsi="宋体" w:cs="宋体"/>
                <w:kern w:val="0"/>
                <w:sz w:val="24"/>
              </w:rPr>
              <w:t>□</w:t>
            </w:r>
            <w:r>
              <w:rPr>
                <w:rFonts w:hint="eastAsia" w:ascii="宋体" w:hAnsi="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8.3</w:t>
            </w:r>
          </w:p>
        </w:tc>
        <w:tc>
          <w:tcPr>
            <w:tcW w:w="2735" w:type="dxa"/>
            <w:vAlign w:val="center"/>
          </w:tcPr>
          <w:p>
            <w:pPr>
              <w:spacing w:line="560" w:lineRule="exact"/>
              <w:rPr>
                <w:rFonts w:ascii="宋体" w:hAnsi="宋体" w:cs="宋体"/>
                <w:sz w:val="24"/>
              </w:rPr>
            </w:pPr>
            <w:r>
              <w:rPr>
                <w:rFonts w:hint="eastAsia" w:ascii="宋体" w:hAnsi="宋体" w:cs="宋体"/>
                <w:sz w:val="24"/>
              </w:rPr>
              <w:t>履约担保</w:t>
            </w:r>
          </w:p>
        </w:tc>
        <w:tc>
          <w:tcPr>
            <w:tcW w:w="5909" w:type="dxa"/>
            <w:vAlign w:val="center"/>
          </w:tcPr>
          <w:p>
            <w:pPr>
              <w:spacing w:line="560" w:lineRule="exact"/>
              <w:rPr>
                <w:rFonts w:ascii="宋体" w:hAnsi="宋体" w:cs="宋体"/>
                <w:bCs/>
                <w:sz w:val="24"/>
              </w:rPr>
            </w:pPr>
            <w:r>
              <w:rPr>
                <w:rFonts w:hint="eastAsia" w:ascii="宋体" w:hAnsi="宋体" w:cs="宋体"/>
                <w:bCs/>
                <w:sz w:val="24"/>
              </w:rPr>
              <w:t>履约保证金的形式： 银行转账、电汇、履约保函等。</w:t>
            </w:r>
          </w:p>
          <w:p>
            <w:pPr>
              <w:spacing w:line="560" w:lineRule="exact"/>
              <w:rPr>
                <w:rFonts w:ascii="宋体" w:hAnsi="宋体" w:cs="宋体"/>
                <w:bCs/>
                <w:sz w:val="24"/>
              </w:rPr>
            </w:pPr>
            <w:r>
              <w:rPr>
                <w:rFonts w:hint="eastAsia" w:ascii="宋体" w:hAnsi="宋体" w:cs="宋体"/>
                <w:bCs/>
                <w:sz w:val="24"/>
              </w:rPr>
              <w:t>履约保证金的金额：中标价的 10% 由中标人在中标后签订合同前一次性缴纳。</w:t>
            </w:r>
          </w:p>
          <w:p>
            <w:pPr>
              <w:spacing w:line="560" w:lineRule="exact"/>
              <w:rPr>
                <w:rFonts w:ascii="宋体" w:hAnsi="宋体" w:cs="宋体"/>
                <w:bCs/>
                <w:sz w:val="24"/>
              </w:rPr>
            </w:pPr>
            <w:r>
              <w:rPr>
                <w:rFonts w:hint="eastAsia" w:ascii="宋体" w:hAnsi="宋体" w:cs="宋体"/>
                <w:bCs/>
                <w:sz w:val="24"/>
              </w:rPr>
              <w:t>履约保证金退还：合同履行完毕后 5 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10.1</w:t>
            </w:r>
          </w:p>
        </w:tc>
        <w:tc>
          <w:tcPr>
            <w:tcW w:w="2735" w:type="dxa"/>
            <w:vAlign w:val="center"/>
          </w:tcPr>
          <w:p>
            <w:pPr>
              <w:spacing w:line="560" w:lineRule="exact"/>
              <w:rPr>
                <w:rFonts w:ascii="宋体" w:hAnsi="宋体" w:cs="宋体"/>
                <w:sz w:val="24"/>
              </w:rPr>
            </w:pPr>
            <w:r>
              <w:rPr>
                <w:rFonts w:hint="eastAsia" w:ascii="宋体" w:hAnsi="宋体" w:cs="宋体"/>
                <w:sz w:val="24"/>
              </w:rPr>
              <w:t>收费标准</w:t>
            </w:r>
          </w:p>
        </w:tc>
        <w:tc>
          <w:tcPr>
            <w:tcW w:w="5909" w:type="dxa"/>
            <w:vAlign w:val="center"/>
          </w:tcPr>
          <w:p>
            <w:pPr>
              <w:spacing w:line="560" w:lineRule="exact"/>
              <w:rPr>
                <w:rFonts w:ascii="宋体" w:hAnsi="宋体" w:cs="宋体"/>
                <w:sz w:val="24"/>
              </w:rPr>
            </w:pPr>
            <w:r>
              <w:rPr>
                <w:rFonts w:hint="eastAsia" w:ascii="宋体" w:hAnsi="宋体" w:cs="宋体"/>
                <w:bCs/>
                <w:sz w:val="24"/>
              </w:rPr>
              <w:t>本项目招标代理费向中标单位收取，招标代理费按国家计委计价格[2002]1980号文件（货物类）的100%计取；请投标人考虑在投标报价中，不得单列。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57" w:type="dxa"/>
            <w:vAlign w:val="center"/>
          </w:tcPr>
          <w:p>
            <w:pPr>
              <w:spacing w:line="560" w:lineRule="exact"/>
              <w:jc w:val="center"/>
              <w:rPr>
                <w:rFonts w:ascii="宋体" w:hAnsi="宋体" w:cs="宋体"/>
                <w:sz w:val="24"/>
              </w:rPr>
            </w:pPr>
            <w:r>
              <w:rPr>
                <w:rFonts w:hint="eastAsia" w:ascii="宋体" w:hAnsi="宋体" w:cs="宋体"/>
                <w:sz w:val="24"/>
              </w:rPr>
              <w:t>11</w:t>
            </w:r>
          </w:p>
        </w:tc>
        <w:tc>
          <w:tcPr>
            <w:tcW w:w="2735" w:type="dxa"/>
            <w:vAlign w:val="center"/>
          </w:tcPr>
          <w:p>
            <w:pPr>
              <w:spacing w:line="560" w:lineRule="exact"/>
              <w:rPr>
                <w:rFonts w:ascii="宋体" w:hAnsi="宋体" w:cs="宋体"/>
                <w:sz w:val="24"/>
              </w:rPr>
            </w:pPr>
            <w:r>
              <w:rPr>
                <w:rFonts w:hint="eastAsia" w:ascii="宋体" w:hAnsi="宋体" w:cs="宋体"/>
                <w:sz w:val="24"/>
              </w:rPr>
              <w:t>付款方式</w:t>
            </w:r>
          </w:p>
        </w:tc>
        <w:tc>
          <w:tcPr>
            <w:tcW w:w="5909" w:type="dxa"/>
            <w:vAlign w:val="center"/>
          </w:tcPr>
          <w:p>
            <w:pPr>
              <w:autoSpaceDE w:val="0"/>
              <w:autoSpaceDN w:val="0"/>
              <w:spacing w:line="560" w:lineRule="exact"/>
              <w:rPr>
                <w:rFonts w:ascii="宋体" w:hAnsi="宋体" w:cs="宋体"/>
                <w:bCs/>
                <w:sz w:val="24"/>
              </w:rPr>
            </w:pPr>
            <w:bookmarkStart w:id="12" w:name="_Hlk55316070"/>
            <w:bookmarkStart w:id="13" w:name="_Hlk56092737"/>
            <w:r>
              <w:rPr>
                <w:rFonts w:hint="eastAsia" w:ascii="宋体" w:hAnsi="宋体" w:cs="宋体"/>
                <w:bCs/>
                <w:sz w:val="24"/>
                <w:highlight w:val="none"/>
              </w:rPr>
              <w:t>本项目预付款为合同价款的30%，供货安装完毕且验收合格后付至合同价款的9</w:t>
            </w:r>
            <w:r>
              <w:rPr>
                <w:rFonts w:hint="eastAsia" w:ascii="宋体" w:hAnsi="宋体" w:cs="宋体"/>
                <w:bCs/>
                <w:sz w:val="24"/>
                <w:highlight w:val="none"/>
                <w:lang w:val="en-US" w:eastAsia="zh-CN"/>
              </w:rPr>
              <w:t>0</w:t>
            </w:r>
            <w:r>
              <w:rPr>
                <w:rFonts w:hint="eastAsia" w:ascii="宋体" w:hAnsi="宋体" w:cs="宋体"/>
                <w:bCs/>
                <w:sz w:val="24"/>
                <w:highlight w:val="none"/>
              </w:rPr>
              <w:t>%，余款作为质保金，质保期满无任何质量问题后付清余款</w:t>
            </w:r>
            <w:bookmarkEnd w:id="12"/>
            <w:r>
              <w:rPr>
                <w:rFonts w:hint="eastAsia" w:ascii="宋体" w:hAnsi="宋体" w:cs="宋体"/>
                <w:bCs/>
                <w:sz w:val="24"/>
                <w:highlight w:val="none"/>
              </w:rPr>
              <w:t>，无任何利息补偿。</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1" w:hRule="atLeast"/>
          <w:jc w:val="center"/>
        </w:trPr>
        <w:tc>
          <w:tcPr>
            <w:tcW w:w="9701" w:type="dxa"/>
            <w:gridSpan w:val="3"/>
            <w:vAlign w:val="center"/>
          </w:tcPr>
          <w:p>
            <w:pPr>
              <w:autoSpaceDE w:val="0"/>
              <w:autoSpaceDN w:val="0"/>
              <w:spacing w:line="560" w:lineRule="exact"/>
              <w:rPr>
                <w:rFonts w:ascii="宋体" w:hAnsi="宋体" w:cs="宋体"/>
                <w:bCs/>
                <w:sz w:val="24"/>
              </w:rPr>
            </w:pPr>
            <w:r>
              <w:rPr>
                <w:rFonts w:hint="eastAsia" w:ascii="宋体" w:hAnsi="宋体" w:cs="宋体"/>
                <w:bCs/>
                <w:sz w:val="24"/>
              </w:rPr>
              <w:t>解释权：构成本招标文件的各个组成文件应互为解释，互为说明。当发现的不明确或不一致，在招标文件中有明确规定的，评标委员会应按已明确的规定评标；当发现的不明确或不一致，在招标文件中没有明确规定时：</w:t>
            </w:r>
          </w:p>
          <w:p>
            <w:pPr>
              <w:autoSpaceDE w:val="0"/>
              <w:autoSpaceDN w:val="0"/>
              <w:spacing w:line="560" w:lineRule="exact"/>
              <w:rPr>
                <w:rFonts w:ascii="宋体" w:hAnsi="宋体" w:cs="宋体"/>
                <w:bCs/>
                <w:sz w:val="24"/>
              </w:rPr>
            </w:pPr>
            <w:r>
              <w:rPr>
                <w:rFonts w:hint="eastAsia" w:ascii="宋体" w:hAnsi="宋体" w:cs="宋体"/>
                <w:bCs/>
                <w:sz w:val="24"/>
              </w:rPr>
              <w:t>⑴凡是构成合同文件组成内容的不明确或不一致，以合同文件约定内容为准，且以专用合同条款约定的合同文件优先顺序解释；</w:t>
            </w:r>
          </w:p>
          <w:p>
            <w:pPr>
              <w:autoSpaceDE w:val="0"/>
              <w:autoSpaceDN w:val="0"/>
              <w:spacing w:line="560" w:lineRule="exact"/>
              <w:rPr>
                <w:rFonts w:ascii="宋体" w:hAnsi="宋体" w:cs="宋体"/>
                <w:bCs/>
                <w:sz w:val="24"/>
              </w:rPr>
            </w:pPr>
            <w:r>
              <w:rPr>
                <w:rFonts w:hint="eastAsia" w:ascii="宋体" w:hAnsi="宋体" w:cs="宋体"/>
                <w:bCs/>
                <w:sz w:val="24"/>
              </w:rPr>
              <w:t>⑵凡不是构成合同文件组成内容的不明确或不一致，除招标文件中有特别规定外，仅适用于招标投标阶段的规定，按招标公告（投标邀请书）、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autoSpaceDE w:val="0"/>
              <w:autoSpaceDN w:val="0"/>
              <w:spacing w:line="560" w:lineRule="exact"/>
              <w:rPr>
                <w:rFonts w:ascii="宋体" w:hAnsi="宋体" w:cs="宋体"/>
                <w:bCs/>
                <w:sz w:val="24"/>
              </w:rPr>
            </w:pPr>
            <w:r>
              <w:rPr>
                <w:rFonts w:hint="eastAsia" w:ascii="宋体" w:hAnsi="宋体" w:cs="宋体"/>
                <w:bCs/>
                <w:sz w:val="24"/>
              </w:rPr>
              <w:t>⑶按本款前述规定仍不能形成结论的，由招标人负责解释。</w:t>
            </w:r>
          </w:p>
        </w:tc>
      </w:tr>
    </w:tbl>
    <w:p>
      <w:pPr>
        <w:spacing w:line="560" w:lineRule="exact"/>
        <w:ind w:firstLine="482" w:firstLineChars="200"/>
        <w:contextualSpacing/>
        <w:rPr>
          <w:rFonts w:ascii="宋体" w:hAnsi="宋体" w:cs="宋体"/>
          <w:b/>
          <w:sz w:val="24"/>
          <w:u w:val="single"/>
        </w:rPr>
      </w:pPr>
      <w:r>
        <w:rPr>
          <w:rFonts w:hint="eastAsia" w:ascii="宋体" w:hAnsi="宋体" w:cs="宋体"/>
          <w:b/>
          <w:sz w:val="24"/>
        </w:rPr>
        <w:t>特别提醒：1、</w:t>
      </w:r>
      <w:r>
        <w:rPr>
          <w:rFonts w:hint="eastAsia" w:ascii="宋体" w:hAnsi="宋体" w:cs="宋体"/>
          <w:b/>
          <w:sz w:val="24"/>
          <w:u w:val="single"/>
        </w:rPr>
        <w:t>招标人会根据招标需要，可能会不定期在大丰公共资源电子交易平台上发布该项目补充答疑等澄清修改文件，请各投标人自行网上查寻，未能及时查阅响应而影响投标的，结果由投标人负责。</w:t>
      </w:r>
    </w:p>
    <w:p>
      <w:pPr>
        <w:spacing w:line="360" w:lineRule="auto"/>
        <w:rPr>
          <w:rFonts w:ascii="宋体" w:hAnsi="宋体" w:cs="宋体"/>
          <w:b/>
          <w:sz w:val="32"/>
          <w:szCs w:val="32"/>
        </w:rPr>
      </w:pPr>
    </w:p>
    <w:p>
      <w:pPr>
        <w:spacing w:line="360" w:lineRule="auto"/>
        <w:rPr>
          <w:rFonts w:ascii="宋体" w:hAnsi="宋体" w:cs="宋体"/>
          <w:b/>
          <w:sz w:val="32"/>
          <w:szCs w:val="32"/>
        </w:rPr>
      </w:pPr>
    </w:p>
    <w:p>
      <w:pPr>
        <w:rPr>
          <w:rFonts w:ascii="宋体" w:hAnsi="宋体" w:cs="宋体"/>
          <w:b/>
          <w:sz w:val="24"/>
        </w:rPr>
      </w:pPr>
      <w:r>
        <w:rPr>
          <w:rFonts w:hint="eastAsia" w:ascii="宋体" w:hAnsi="宋体" w:cs="宋体"/>
          <w:b/>
          <w:sz w:val="24"/>
        </w:rPr>
        <w:br w:type="page"/>
      </w:r>
    </w:p>
    <w:p>
      <w:pPr>
        <w:spacing w:line="560" w:lineRule="exact"/>
        <w:ind w:firstLine="482" w:firstLineChars="200"/>
        <w:rPr>
          <w:rFonts w:ascii="宋体" w:hAnsi="宋体" w:cs="宋体"/>
          <w:b/>
          <w:sz w:val="24"/>
        </w:rPr>
      </w:pPr>
      <w:r>
        <w:rPr>
          <w:rFonts w:hint="eastAsia" w:ascii="宋体" w:hAnsi="宋体" w:cs="宋体"/>
          <w:b/>
          <w:sz w:val="24"/>
        </w:rPr>
        <w:t>1.总则</w:t>
      </w:r>
    </w:p>
    <w:p>
      <w:pPr>
        <w:pStyle w:val="5"/>
        <w:spacing w:beforeLines="0" w:line="560" w:lineRule="exact"/>
        <w:ind w:firstLine="480" w:firstLineChars="200"/>
        <w:jc w:val="left"/>
        <w:rPr>
          <w:rFonts w:ascii="宋体" w:hAnsi="宋体" w:eastAsia="宋体" w:cs="宋体"/>
          <w:sz w:val="24"/>
        </w:rPr>
      </w:pPr>
      <w:bookmarkStart w:id="14" w:name="_Toc387526284"/>
      <w:bookmarkStart w:id="15" w:name="_Toc5365"/>
      <w:bookmarkStart w:id="16" w:name="_Toc387526180"/>
      <w:bookmarkStart w:id="17" w:name="_Toc445046809"/>
      <w:bookmarkStart w:id="18" w:name="_Toc397928550"/>
      <w:bookmarkStart w:id="19" w:name="_Toc387526376"/>
      <w:r>
        <w:rPr>
          <w:rFonts w:hint="eastAsia" w:ascii="宋体" w:hAnsi="宋体" w:eastAsia="宋体" w:cs="宋体"/>
          <w:sz w:val="24"/>
        </w:rPr>
        <w:t>1.1 项目概况</w:t>
      </w:r>
      <w:bookmarkEnd w:id="14"/>
      <w:bookmarkEnd w:id="15"/>
      <w:bookmarkEnd w:id="16"/>
      <w:bookmarkEnd w:id="17"/>
      <w:bookmarkEnd w:id="18"/>
      <w:bookmarkEnd w:id="19"/>
    </w:p>
    <w:p>
      <w:pPr>
        <w:spacing w:line="560" w:lineRule="exact"/>
        <w:ind w:firstLine="480" w:firstLineChars="200"/>
        <w:jc w:val="left"/>
        <w:rPr>
          <w:rFonts w:ascii="宋体" w:hAnsi="宋体" w:cs="宋体"/>
          <w:sz w:val="24"/>
        </w:rPr>
      </w:pPr>
      <w:r>
        <w:rPr>
          <w:rFonts w:hint="eastAsia" w:ascii="宋体" w:hAnsi="宋体" w:cs="宋体"/>
          <w:sz w:val="24"/>
        </w:rPr>
        <w:t>1.1.1根据有关法律、法规和规章的规定，本招标项目已具备招标条件，现对本项目货物进行招标。</w:t>
      </w:r>
    </w:p>
    <w:p>
      <w:pPr>
        <w:spacing w:line="560" w:lineRule="exact"/>
        <w:ind w:firstLine="480" w:firstLineChars="200"/>
        <w:jc w:val="left"/>
        <w:rPr>
          <w:rFonts w:ascii="宋体" w:hAnsi="宋体" w:cs="宋体"/>
          <w:sz w:val="24"/>
        </w:rPr>
      </w:pPr>
      <w:r>
        <w:rPr>
          <w:rFonts w:hint="eastAsia" w:ascii="宋体" w:hAnsi="宋体" w:cs="宋体"/>
          <w:sz w:val="24"/>
        </w:rPr>
        <w:t>1.1.2本招标项目招标人：见投标人须知前附表。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1.1.3本招标项目招标代理机构：见投标人须知前附表。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1.1.4本招标项目名称：见投标人须知前附表。</w:t>
      </w:r>
    </w:p>
    <w:p>
      <w:pPr>
        <w:pStyle w:val="5"/>
        <w:spacing w:beforeLines="0" w:line="560" w:lineRule="exact"/>
        <w:ind w:firstLine="480" w:firstLineChars="200"/>
        <w:jc w:val="left"/>
        <w:rPr>
          <w:rFonts w:ascii="宋体" w:hAnsi="宋体" w:eastAsia="宋体" w:cs="宋体"/>
          <w:sz w:val="24"/>
        </w:rPr>
      </w:pPr>
      <w:bookmarkStart w:id="20" w:name="_Toc11796"/>
      <w:bookmarkStart w:id="21" w:name="_Toc387526377"/>
      <w:bookmarkStart w:id="22" w:name="_Toc397928551"/>
      <w:bookmarkStart w:id="23" w:name="_Toc387526285"/>
      <w:bookmarkStart w:id="24" w:name="_Toc445046810"/>
      <w:bookmarkStart w:id="25" w:name="_Toc387526181"/>
      <w:r>
        <w:rPr>
          <w:rFonts w:hint="eastAsia" w:ascii="宋体" w:hAnsi="宋体" w:eastAsia="宋体" w:cs="宋体"/>
          <w:sz w:val="24"/>
        </w:rPr>
        <w:t>1.2 资金来源和落实情况</w:t>
      </w:r>
      <w:bookmarkEnd w:id="20"/>
      <w:bookmarkEnd w:id="21"/>
      <w:bookmarkEnd w:id="22"/>
      <w:bookmarkEnd w:id="23"/>
      <w:bookmarkEnd w:id="24"/>
      <w:bookmarkEnd w:id="25"/>
    </w:p>
    <w:p>
      <w:pPr>
        <w:spacing w:line="560" w:lineRule="exact"/>
        <w:ind w:firstLine="480" w:firstLineChars="200"/>
        <w:jc w:val="left"/>
        <w:rPr>
          <w:rFonts w:ascii="宋体" w:hAnsi="宋体" w:cs="宋体"/>
          <w:sz w:val="24"/>
        </w:rPr>
      </w:pPr>
      <w:r>
        <w:rPr>
          <w:rFonts w:hint="eastAsia" w:ascii="宋体" w:hAnsi="宋体" w:cs="宋体"/>
          <w:sz w:val="24"/>
        </w:rPr>
        <w:t>1.2.1本招标项目的资金来源：见投标人须知前附表。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1.2.2本招标项目的出资比例：见投标人须知前附表。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1.2.3本招标项目的资金落实情况：见投标人须知前附表。</w:t>
      </w:r>
    </w:p>
    <w:p>
      <w:pPr>
        <w:pStyle w:val="5"/>
        <w:spacing w:beforeLines="0" w:line="560" w:lineRule="exact"/>
        <w:ind w:firstLine="480" w:firstLineChars="200"/>
        <w:jc w:val="left"/>
        <w:rPr>
          <w:rFonts w:ascii="宋体" w:hAnsi="宋体" w:eastAsia="宋体" w:cs="宋体"/>
          <w:sz w:val="24"/>
        </w:rPr>
      </w:pPr>
      <w:bookmarkStart w:id="26" w:name="_Toc397928552"/>
      <w:bookmarkStart w:id="27" w:name="_Toc387526182"/>
      <w:bookmarkStart w:id="28" w:name="_Toc445046811"/>
      <w:bookmarkStart w:id="29" w:name="_Toc853"/>
      <w:bookmarkStart w:id="30" w:name="_Toc387526286"/>
      <w:bookmarkStart w:id="31" w:name="_Toc387526378"/>
      <w:r>
        <w:rPr>
          <w:rFonts w:hint="eastAsia" w:ascii="宋体" w:hAnsi="宋体" w:eastAsia="宋体" w:cs="宋体"/>
          <w:sz w:val="24"/>
        </w:rPr>
        <w:t>1.3 招标范围、交货期或工期和质量要求</w:t>
      </w:r>
      <w:bookmarkEnd w:id="26"/>
      <w:bookmarkEnd w:id="27"/>
      <w:bookmarkEnd w:id="28"/>
      <w:bookmarkEnd w:id="29"/>
      <w:bookmarkEnd w:id="30"/>
      <w:bookmarkEnd w:id="31"/>
    </w:p>
    <w:p>
      <w:pPr>
        <w:spacing w:line="560" w:lineRule="exact"/>
        <w:ind w:firstLine="480" w:firstLineChars="200"/>
        <w:jc w:val="left"/>
        <w:rPr>
          <w:rFonts w:ascii="宋体" w:hAnsi="宋体" w:cs="宋体"/>
          <w:sz w:val="24"/>
        </w:rPr>
      </w:pPr>
      <w:r>
        <w:rPr>
          <w:rFonts w:hint="eastAsia" w:ascii="宋体" w:hAnsi="宋体" w:cs="宋体"/>
          <w:sz w:val="24"/>
        </w:rPr>
        <w:t>1.3.1本次招标范围：见投标人须知前附表。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1.3.2本招标标段的交货期或工期：见投标人须知前附表。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1.3.3本招标标段的交货或服务地点：见投标人须知前附表。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1.3.4本招标项目的质量要求及验收标准：见投标人须知前附表。</w:t>
      </w:r>
    </w:p>
    <w:p>
      <w:pPr>
        <w:pStyle w:val="5"/>
        <w:spacing w:beforeLines="0" w:line="560" w:lineRule="exact"/>
        <w:ind w:firstLine="480" w:firstLineChars="200"/>
        <w:jc w:val="left"/>
        <w:rPr>
          <w:rFonts w:ascii="宋体" w:hAnsi="宋体" w:eastAsia="宋体" w:cs="宋体"/>
          <w:sz w:val="24"/>
        </w:rPr>
      </w:pPr>
      <w:bookmarkStart w:id="32" w:name="_Toc445046812"/>
      <w:bookmarkStart w:id="33" w:name="_Toc387526379"/>
      <w:bookmarkStart w:id="34" w:name="_Toc387526287"/>
      <w:bookmarkStart w:id="35" w:name="_Toc387526183"/>
      <w:bookmarkStart w:id="36" w:name="_Toc397928553"/>
      <w:bookmarkStart w:id="37" w:name="_Toc13930"/>
      <w:r>
        <w:rPr>
          <w:rFonts w:hint="eastAsia" w:ascii="宋体" w:hAnsi="宋体" w:eastAsia="宋体" w:cs="宋体"/>
          <w:sz w:val="24"/>
        </w:rPr>
        <w:t>1.4 投标人资格要求</w:t>
      </w:r>
      <w:bookmarkEnd w:id="32"/>
      <w:bookmarkEnd w:id="33"/>
      <w:bookmarkEnd w:id="34"/>
      <w:bookmarkEnd w:id="35"/>
      <w:bookmarkEnd w:id="36"/>
      <w:bookmarkEnd w:id="37"/>
    </w:p>
    <w:p>
      <w:pPr>
        <w:autoSpaceDE w:val="0"/>
        <w:autoSpaceDN w:val="0"/>
        <w:spacing w:line="560" w:lineRule="exact"/>
        <w:ind w:firstLine="480" w:firstLineChars="200"/>
        <w:jc w:val="left"/>
        <w:rPr>
          <w:rFonts w:ascii="宋体" w:hAnsi="宋体" w:cs="宋体"/>
          <w:sz w:val="24"/>
        </w:rPr>
      </w:pPr>
      <w:r>
        <w:rPr>
          <w:rFonts w:hint="eastAsia" w:ascii="宋体" w:hAnsi="宋体" w:cs="宋体"/>
          <w:sz w:val="24"/>
        </w:rPr>
        <w:t>1.4.1 投标人应具备的资格要求见投标人须知前附表。</w:t>
      </w:r>
    </w:p>
    <w:p>
      <w:pPr>
        <w:autoSpaceDE w:val="0"/>
        <w:autoSpaceDN w:val="0"/>
        <w:spacing w:line="560" w:lineRule="exact"/>
        <w:ind w:firstLine="480" w:firstLineChars="200"/>
        <w:jc w:val="left"/>
        <w:rPr>
          <w:rFonts w:ascii="宋体" w:hAnsi="宋体" w:cs="宋体"/>
          <w:sz w:val="24"/>
        </w:rPr>
      </w:pPr>
      <w:r>
        <w:rPr>
          <w:rFonts w:hint="eastAsia" w:ascii="宋体" w:hAnsi="宋体" w:cs="宋体"/>
          <w:sz w:val="24"/>
        </w:rPr>
        <w:t>1.4.2 投标人须知前附表规定接受联合体投标的，除应符合本章第1.4.1项和投标人须知前附表的要求外，还应遵守以下规定：</w:t>
      </w:r>
    </w:p>
    <w:p>
      <w:pPr>
        <w:autoSpaceDE w:val="0"/>
        <w:autoSpaceDN w:val="0"/>
        <w:spacing w:line="560" w:lineRule="exact"/>
        <w:ind w:firstLine="480" w:firstLineChars="200"/>
        <w:jc w:val="left"/>
        <w:rPr>
          <w:rFonts w:ascii="宋体" w:hAnsi="宋体" w:cs="宋体"/>
          <w:sz w:val="24"/>
        </w:rPr>
      </w:pPr>
      <w:r>
        <w:rPr>
          <w:rFonts w:hint="eastAsia" w:ascii="宋体" w:hAnsi="宋体" w:cs="宋体"/>
          <w:sz w:val="24"/>
        </w:rPr>
        <w:t>（1）联合体各方应按招标文件提供的格式签订联合体协议书，明确联合体牵头人和各方的权利义务；</w:t>
      </w:r>
    </w:p>
    <w:p>
      <w:pPr>
        <w:autoSpaceDE w:val="0"/>
        <w:autoSpaceDN w:val="0"/>
        <w:spacing w:line="560" w:lineRule="exact"/>
        <w:ind w:firstLine="480" w:firstLineChars="200"/>
        <w:jc w:val="left"/>
        <w:rPr>
          <w:rFonts w:ascii="宋体" w:hAnsi="宋体" w:cs="宋体"/>
          <w:sz w:val="24"/>
        </w:rPr>
      </w:pPr>
      <w:r>
        <w:rPr>
          <w:rFonts w:hint="eastAsia" w:ascii="宋体" w:hAnsi="宋体" w:cs="宋体"/>
          <w:sz w:val="24"/>
        </w:rPr>
        <w:t>（2）由同一专业的单位组成的联合体，按照资质等级较低的单位确定资质等级；</w:t>
      </w:r>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sz w:val="24"/>
        </w:rPr>
        <w:t>（3）联合体各方不得再以自己名义单独或加入其他联合体在同一标段中参加投标</w:t>
      </w:r>
      <w:r>
        <w:rPr>
          <w:rFonts w:hint="eastAsia" w:ascii="宋体" w:hAnsi="宋体" w:cs="宋体"/>
          <w:kern w:val="0"/>
          <w:sz w:val="24"/>
        </w:rPr>
        <w:t>。</w:t>
      </w:r>
    </w:p>
    <w:p>
      <w:pPr>
        <w:spacing w:line="560" w:lineRule="exact"/>
        <w:ind w:firstLine="480" w:firstLineChars="200"/>
        <w:jc w:val="left"/>
        <w:rPr>
          <w:rFonts w:ascii="宋体" w:hAnsi="宋体" w:cs="宋体"/>
          <w:sz w:val="24"/>
        </w:rPr>
      </w:pPr>
      <w:r>
        <w:rPr>
          <w:rFonts w:hint="eastAsia" w:ascii="宋体" w:hAnsi="宋体" w:cs="宋体"/>
          <w:sz w:val="24"/>
        </w:rPr>
        <w:t xml:space="preserve">1.4.3 投标人不得存在下列情形之一： </w:t>
      </w:r>
    </w:p>
    <w:p>
      <w:pPr>
        <w:spacing w:line="560" w:lineRule="exact"/>
        <w:ind w:firstLine="480" w:firstLineChars="200"/>
        <w:jc w:val="left"/>
        <w:rPr>
          <w:rFonts w:ascii="宋体" w:hAnsi="宋体" w:cs="宋体"/>
          <w:sz w:val="24"/>
        </w:rPr>
      </w:pPr>
      <w:bookmarkStart w:id="38" w:name="_Toc387526288"/>
      <w:bookmarkStart w:id="39" w:name="_Toc1684"/>
      <w:bookmarkStart w:id="40" w:name="_Toc387526380"/>
      <w:bookmarkStart w:id="41" w:name="_Toc387526184"/>
      <w:r>
        <w:rPr>
          <w:rFonts w:hint="eastAsia" w:ascii="宋体" w:hAnsi="宋体" w:cs="宋体"/>
          <w:sz w:val="24"/>
        </w:rPr>
        <w:t xml:space="preserve">（1）为招标人的附属机构（单位）； </w:t>
      </w:r>
    </w:p>
    <w:p>
      <w:pPr>
        <w:spacing w:line="560" w:lineRule="exact"/>
        <w:ind w:firstLine="480" w:firstLineChars="200"/>
        <w:jc w:val="left"/>
        <w:rPr>
          <w:rFonts w:ascii="宋体" w:hAnsi="宋体" w:cs="宋体"/>
          <w:sz w:val="24"/>
        </w:rPr>
      </w:pPr>
      <w:r>
        <w:rPr>
          <w:rFonts w:hint="eastAsia" w:ascii="宋体" w:hAnsi="宋体" w:cs="宋体"/>
          <w:sz w:val="24"/>
        </w:rPr>
        <w:t>（2）为本标段的监理人；</w:t>
      </w:r>
    </w:p>
    <w:p>
      <w:pPr>
        <w:spacing w:line="560" w:lineRule="exact"/>
        <w:ind w:firstLine="480" w:firstLineChars="200"/>
        <w:jc w:val="left"/>
        <w:rPr>
          <w:rFonts w:ascii="宋体" w:hAnsi="宋体" w:cs="宋体"/>
          <w:sz w:val="24"/>
        </w:rPr>
      </w:pPr>
      <w:r>
        <w:rPr>
          <w:rFonts w:hint="eastAsia" w:ascii="宋体" w:hAnsi="宋体" w:cs="宋体"/>
          <w:sz w:val="24"/>
        </w:rPr>
        <w:t>（3）为本标段的代建人；</w:t>
      </w:r>
    </w:p>
    <w:p>
      <w:pPr>
        <w:spacing w:line="560" w:lineRule="exact"/>
        <w:ind w:firstLine="480" w:firstLineChars="200"/>
        <w:jc w:val="left"/>
        <w:rPr>
          <w:rFonts w:ascii="宋体" w:hAnsi="宋体" w:cs="宋体"/>
          <w:sz w:val="24"/>
        </w:rPr>
      </w:pPr>
      <w:r>
        <w:rPr>
          <w:rFonts w:hint="eastAsia" w:ascii="宋体" w:hAnsi="宋体" w:cs="宋体"/>
          <w:sz w:val="24"/>
        </w:rPr>
        <w:t>（4）为本标段提供招标代理服务的；</w:t>
      </w:r>
    </w:p>
    <w:p>
      <w:pPr>
        <w:spacing w:line="560" w:lineRule="exact"/>
        <w:ind w:firstLine="480" w:firstLineChars="200"/>
        <w:jc w:val="left"/>
        <w:rPr>
          <w:rFonts w:ascii="宋体" w:hAnsi="宋体" w:cs="宋体"/>
          <w:sz w:val="24"/>
        </w:rPr>
      </w:pPr>
      <w:r>
        <w:rPr>
          <w:rFonts w:hint="eastAsia" w:ascii="宋体" w:hAnsi="宋体" w:cs="宋体"/>
          <w:sz w:val="24"/>
        </w:rPr>
        <w:t xml:space="preserve">（5）与本标段的监理人或代建人或招标代理机构的单位负责人为同一个人的； </w:t>
      </w:r>
    </w:p>
    <w:p>
      <w:pPr>
        <w:spacing w:line="560" w:lineRule="exact"/>
        <w:ind w:firstLine="480" w:firstLineChars="200"/>
        <w:jc w:val="left"/>
        <w:rPr>
          <w:rFonts w:ascii="宋体" w:hAnsi="宋体" w:cs="宋体"/>
          <w:sz w:val="24"/>
        </w:rPr>
      </w:pPr>
      <w:r>
        <w:rPr>
          <w:rFonts w:hint="eastAsia" w:ascii="宋体" w:hAnsi="宋体" w:cs="宋体"/>
          <w:sz w:val="24"/>
        </w:rPr>
        <w:t>（6）与本标段的监理人或代建人或招标代理机构相互控股或参股的；</w:t>
      </w:r>
    </w:p>
    <w:p>
      <w:pPr>
        <w:spacing w:line="560" w:lineRule="exact"/>
        <w:ind w:firstLine="480" w:firstLineChars="200"/>
        <w:jc w:val="left"/>
        <w:rPr>
          <w:rFonts w:ascii="宋体" w:hAnsi="宋体" w:cs="宋体"/>
          <w:sz w:val="24"/>
        </w:rPr>
      </w:pPr>
      <w:r>
        <w:rPr>
          <w:rFonts w:hint="eastAsia" w:ascii="宋体" w:hAnsi="宋体" w:cs="宋体"/>
          <w:sz w:val="24"/>
        </w:rPr>
        <w:t>（7）与本标段的其他申请人的单位负责人为同一个人的；</w:t>
      </w:r>
    </w:p>
    <w:p>
      <w:pPr>
        <w:spacing w:line="560" w:lineRule="exact"/>
        <w:ind w:firstLine="480" w:firstLineChars="200"/>
        <w:jc w:val="left"/>
        <w:rPr>
          <w:rFonts w:ascii="宋体" w:hAnsi="宋体" w:cs="宋体"/>
          <w:sz w:val="24"/>
        </w:rPr>
      </w:pPr>
      <w:r>
        <w:rPr>
          <w:rFonts w:hint="eastAsia" w:ascii="宋体" w:hAnsi="宋体" w:cs="宋体"/>
          <w:sz w:val="24"/>
        </w:rPr>
        <w:t>（8）与本标段的其他申请人之间存在控股、管理关系或母公司、全资子公司关系的；</w:t>
      </w:r>
    </w:p>
    <w:p>
      <w:pPr>
        <w:spacing w:line="560" w:lineRule="exact"/>
        <w:ind w:firstLine="480" w:firstLineChars="200"/>
        <w:jc w:val="left"/>
        <w:rPr>
          <w:rFonts w:ascii="宋体" w:hAnsi="宋体" w:cs="宋体"/>
          <w:sz w:val="24"/>
        </w:rPr>
      </w:pPr>
      <w:r>
        <w:rPr>
          <w:rFonts w:hint="eastAsia" w:ascii="宋体" w:hAnsi="宋体" w:cs="宋体"/>
          <w:sz w:val="24"/>
        </w:rPr>
        <w:t>（9）法律法规规定的其他情形。</w:t>
      </w:r>
    </w:p>
    <w:p>
      <w:pPr>
        <w:pStyle w:val="5"/>
        <w:spacing w:beforeLines="0" w:line="560" w:lineRule="exact"/>
        <w:ind w:firstLine="480" w:firstLineChars="200"/>
        <w:jc w:val="left"/>
        <w:rPr>
          <w:rFonts w:ascii="宋体" w:hAnsi="宋体" w:eastAsia="宋体" w:cs="宋体"/>
          <w:sz w:val="24"/>
        </w:rPr>
      </w:pPr>
      <w:bookmarkStart w:id="42" w:name="_Toc397928554"/>
      <w:bookmarkStart w:id="43" w:name="_Toc445046813"/>
      <w:r>
        <w:rPr>
          <w:rFonts w:hint="eastAsia" w:ascii="宋体" w:hAnsi="宋体" w:eastAsia="宋体" w:cs="宋体"/>
          <w:sz w:val="24"/>
        </w:rPr>
        <w:t>1.5 费用承担</w:t>
      </w:r>
      <w:bookmarkEnd w:id="38"/>
      <w:bookmarkEnd w:id="39"/>
      <w:bookmarkEnd w:id="40"/>
      <w:bookmarkEnd w:id="41"/>
      <w:bookmarkEnd w:id="42"/>
      <w:bookmarkEnd w:id="43"/>
    </w:p>
    <w:p>
      <w:pPr>
        <w:autoSpaceDE w:val="0"/>
        <w:autoSpaceDN w:val="0"/>
        <w:spacing w:line="560" w:lineRule="exact"/>
        <w:ind w:firstLine="480" w:firstLineChars="200"/>
        <w:jc w:val="left"/>
        <w:rPr>
          <w:rFonts w:ascii="宋体" w:hAnsi="宋体" w:cs="宋体"/>
          <w:b/>
          <w:sz w:val="24"/>
        </w:rPr>
      </w:pPr>
      <w:r>
        <w:rPr>
          <w:rFonts w:hint="eastAsia" w:ascii="宋体" w:hAnsi="宋体" w:cs="宋体"/>
          <w:kern w:val="0"/>
          <w:sz w:val="24"/>
        </w:rPr>
        <w:t>投标人准备和参加投标活动发生的费用自理。</w:t>
      </w:r>
    </w:p>
    <w:p>
      <w:pPr>
        <w:pStyle w:val="5"/>
        <w:spacing w:beforeLines="0" w:line="560" w:lineRule="exact"/>
        <w:ind w:firstLine="480" w:firstLineChars="200"/>
        <w:jc w:val="left"/>
        <w:rPr>
          <w:rFonts w:ascii="宋体" w:hAnsi="宋体" w:eastAsia="宋体" w:cs="宋体"/>
          <w:sz w:val="24"/>
        </w:rPr>
      </w:pPr>
      <w:bookmarkStart w:id="44" w:name="_Toc397928555"/>
      <w:bookmarkStart w:id="45" w:name="_Toc5130"/>
      <w:bookmarkStart w:id="46" w:name="_Toc387526289"/>
      <w:bookmarkStart w:id="47" w:name="_Toc387526381"/>
      <w:bookmarkStart w:id="48" w:name="_Toc445046814"/>
      <w:bookmarkStart w:id="49" w:name="_Toc387526185"/>
      <w:r>
        <w:rPr>
          <w:rFonts w:hint="eastAsia" w:ascii="宋体" w:hAnsi="宋体" w:eastAsia="宋体" w:cs="宋体"/>
          <w:sz w:val="24"/>
        </w:rPr>
        <w:t>1.6 保密</w:t>
      </w:r>
      <w:bookmarkEnd w:id="44"/>
      <w:bookmarkEnd w:id="45"/>
      <w:bookmarkEnd w:id="46"/>
      <w:bookmarkEnd w:id="47"/>
      <w:bookmarkEnd w:id="48"/>
      <w:bookmarkEnd w:id="49"/>
    </w:p>
    <w:p>
      <w:pPr>
        <w:spacing w:line="560" w:lineRule="exact"/>
        <w:ind w:firstLine="480" w:firstLineChars="200"/>
        <w:jc w:val="left"/>
        <w:rPr>
          <w:rFonts w:ascii="宋体" w:hAnsi="宋体" w:cs="宋体"/>
          <w:sz w:val="24"/>
        </w:rPr>
      </w:pPr>
      <w:r>
        <w:rPr>
          <w:rFonts w:hint="eastAsia" w:ascii="宋体" w:hAnsi="宋体" w:cs="宋体"/>
          <w:sz w:val="24"/>
        </w:rPr>
        <w:t>参与招标投标活动的各方应对招标文件和投标文件中的商业和技术等秘密保密，违者应对由此造成的后果承担法律责任。</w:t>
      </w:r>
    </w:p>
    <w:p>
      <w:pPr>
        <w:pStyle w:val="5"/>
        <w:spacing w:beforeLines="0" w:line="560" w:lineRule="exact"/>
        <w:ind w:firstLine="480" w:firstLineChars="200"/>
        <w:jc w:val="left"/>
        <w:rPr>
          <w:rFonts w:ascii="宋体" w:hAnsi="宋体" w:eastAsia="宋体" w:cs="宋体"/>
          <w:sz w:val="24"/>
        </w:rPr>
      </w:pPr>
      <w:bookmarkStart w:id="50" w:name="_Toc387526290"/>
      <w:bookmarkStart w:id="51" w:name="_Toc822"/>
      <w:bookmarkStart w:id="52" w:name="_Toc387526382"/>
      <w:bookmarkStart w:id="53" w:name="_Toc387526186"/>
      <w:bookmarkStart w:id="54" w:name="_Toc397928556"/>
      <w:bookmarkStart w:id="55" w:name="_Toc445046815"/>
      <w:r>
        <w:rPr>
          <w:rFonts w:hint="eastAsia" w:ascii="宋体" w:hAnsi="宋体" w:eastAsia="宋体" w:cs="宋体"/>
          <w:sz w:val="24"/>
        </w:rPr>
        <w:t>1.7 语言文字</w:t>
      </w:r>
      <w:bookmarkEnd w:id="50"/>
      <w:bookmarkEnd w:id="51"/>
      <w:bookmarkEnd w:id="52"/>
      <w:bookmarkEnd w:id="53"/>
      <w:bookmarkEnd w:id="54"/>
      <w:bookmarkEnd w:id="55"/>
    </w:p>
    <w:p>
      <w:pPr>
        <w:spacing w:line="560" w:lineRule="exact"/>
        <w:ind w:firstLine="480" w:firstLineChars="200"/>
        <w:jc w:val="left"/>
        <w:rPr>
          <w:rFonts w:ascii="宋体" w:hAnsi="宋体" w:cs="宋体"/>
          <w:sz w:val="24"/>
        </w:rPr>
      </w:pPr>
      <w:r>
        <w:rPr>
          <w:rFonts w:hint="eastAsia" w:ascii="宋体" w:hAnsi="宋体" w:cs="宋体"/>
          <w:sz w:val="24"/>
        </w:rPr>
        <w:t>除专用术语外，与招标投标有关的语言均使用中文。必要时专用术语应附有中文注释。</w:t>
      </w:r>
    </w:p>
    <w:p>
      <w:pPr>
        <w:pStyle w:val="5"/>
        <w:spacing w:beforeLines="0" w:line="560" w:lineRule="exact"/>
        <w:ind w:firstLine="480" w:firstLineChars="200"/>
        <w:jc w:val="left"/>
        <w:rPr>
          <w:rFonts w:ascii="宋体" w:hAnsi="宋体" w:eastAsia="宋体" w:cs="宋体"/>
          <w:sz w:val="24"/>
        </w:rPr>
      </w:pPr>
      <w:bookmarkStart w:id="56" w:name="_Toc387526187"/>
      <w:bookmarkStart w:id="57" w:name="_Toc445046816"/>
      <w:bookmarkStart w:id="58" w:name="_Toc397928557"/>
      <w:bookmarkStart w:id="59" w:name="_Toc387526291"/>
      <w:bookmarkStart w:id="60" w:name="_Toc31413"/>
      <w:bookmarkStart w:id="61" w:name="_Toc387526383"/>
      <w:r>
        <w:rPr>
          <w:rFonts w:hint="eastAsia" w:ascii="宋体" w:hAnsi="宋体" w:eastAsia="宋体" w:cs="宋体"/>
          <w:sz w:val="24"/>
        </w:rPr>
        <w:t>1.8 计量单位</w:t>
      </w:r>
      <w:bookmarkEnd w:id="56"/>
      <w:bookmarkEnd w:id="57"/>
      <w:bookmarkEnd w:id="58"/>
      <w:bookmarkEnd w:id="59"/>
      <w:bookmarkEnd w:id="60"/>
      <w:bookmarkEnd w:id="61"/>
    </w:p>
    <w:p>
      <w:pPr>
        <w:spacing w:line="560" w:lineRule="exact"/>
        <w:ind w:firstLine="480" w:firstLineChars="200"/>
        <w:jc w:val="left"/>
        <w:rPr>
          <w:rFonts w:ascii="宋体" w:hAnsi="宋体" w:cs="宋体"/>
          <w:sz w:val="24"/>
        </w:rPr>
      </w:pPr>
      <w:r>
        <w:rPr>
          <w:rFonts w:hint="eastAsia" w:ascii="宋体" w:hAnsi="宋体" w:cs="宋体"/>
          <w:sz w:val="24"/>
        </w:rPr>
        <w:t>所有计量均采用中华人民共和国法定计量单位。</w:t>
      </w:r>
    </w:p>
    <w:p>
      <w:pPr>
        <w:pStyle w:val="5"/>
        <w:spacing w:beforeLines="0" w:line="560" w:lineRule="exact"/>
        <w:ind w:firstLine="480" w:firstLineChars="200"/>
        <w:jc w:val="left"/>
        <w:rPr>
          <w:rFonts w:ascii="宋体" w:hAnsi="宋体" w:eastAsia="宋体" w:cs="宋体"/>
          <w:sz w:val="24"/>
        </w:rPr>
      </w:pPr>
      <w:bookmarkStart w:id="62" w:name="_Toc387526384"/>
      <w:bookmarkStart w:id="63" w:name="_Toc387526292"/>
      <w:bookmarkStart w:id="64" w:name="_Toc25122"/>
      <w:bookmarkStart w:id="65" w:name="_Toc397928558"/>
      <w:bookmarkStart w:id="66" w:name="_Toc445046817"/>
      <w:bookmarkStart w:id="67" w:name="_Toc387526188"/>
      <w:r>
        <w:rPr>
          <w:rFonts w:hint="eastAsia" w:ascii="宋体" w:hAnsi="宋体" w:eastAsia="宋体" w:cs="宋体"/>
          <w:sz w:val="24"/>
        </w:rPr>
        <w:t>1.9 踏勘现场</w:t>
      </w:r>
      <w:bookmarkEnd w:id="62"/>
      <w:bookmarkEnd w:id="63"/>
      <w:bookmarkEnd w:id="64"/>
      <w:bookmarkEnd w:id="65"/>
      <w:bookmarkEnd w:id="66"/>
      <w:bookmarkEnd w:id="67"/>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1.9.1招标人不组织投标人踏勘现场，投标人可以自行对项目现场和周围环境进行勘察，以获取编制投标文件和签署合同所需的所有资料。</w:t>
      </w:r>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1.9.2 投标人踏勘现场发生的费用自理。</w:t>
      </w:r>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1.9.3 除招标人的原因外，投标人自行负责在踏勘现场中所发生的人员伤亡和财产损失。</w:t>
      </w:r>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1.9.4 招标人向投标人提供的有关项目现场的资料和数据是招标人现有的能使投标人利用的资料。招标人对投标人由此而做出的推论、理解和结论概不负责。</w:t>
      </w:r>
    </w:p>
    <w:p>
      <w:pPr>
        <w:pStyle w:val="5"/>
        <w:spacing w:beforeLines="0" w:line="560" w:lineRule="exact"/>
        <w:ind w:firstLine="480" w:firstLineChars="200"/>
        <w:jc w:val="left"/>
        <w:rPr>
          <w:rFonts w:ascii="宋体" w:hAnsi="宋体" w:eastAsia="宋体" w:cs="宋体"/>
          <w:sz w:val="24"/>
        </w:rPr>
      </w:pPr>
      <w:bookmarkStart w:id="68" w:name="_Toc387526293"/>
      <w:bookmarkStart w:id="69" w:name="_Toc11088"/>
      <w:bookmarkStart w:id="70" w:name="_Toc387526189"/>
      <w:bookmarkStart w:id="71" w:name="_Toc387526385"/>
      <w:bookmarkStart w:id="72" w:name="_Toc397928559"/>
      <w:bookmarkStart w:id="73" w:name="_Toc445046818"/>
      <w:r>
        <w:rPr>
          <w:rFonts w:hint="eastAsia" w:ascii="宋体" w:hAnsi="宋体" w:eastAsia="宋体" w:cs="宋体"/>
          <w:sz w:val="24"/>
        </w:rPr>
        <w:t>1.10 投标预备会</w:t>
      </w:r>
      <w:bookmarkEnd w:id="68"/>
      <w:bookmarkEnd w:id="69"/>
      <w:bookmarkEnd w:id="70"/>
      <w:bookmarkEnd w:id="71"/>
      <w:bookmarkEnd w:id="72"/>
      <w:bookmarkEnd w:id="73"/>
    </w:p>
    <w:p>
      <w:pPr>
        <w:spacing w:line="560" w:lineRule="exact"/>
        <w:ind w:firstLine="480" w:firstLineChars="200"/>
        <w:jc w:val="left"/>
        <w:rPr>
          <w:rFonts w:ascii="宋体" w:hAnsi="宋体" w:cs="宋体"/>
          <w:sz w:val="24"/>
        </w:rPr>
      </w:pPr>
      <w:r>
        <w:rPr>
          <w:rFonts w:hint="eastAsia" w:ascii="宋体" w:hAnsi="宋体" w:cs="宋体"/>
          <w:sz w:val="24"/>
        </w:rPr>
        <w:t>1.10.1 投标人须知前附表规定召开投标预备会的，招标人按投标人须知前附表规定的时间和地点召开投标预备会，澄清投标人提出的问题。</w:t>
      </w:r>
    </w:p>
    <w:p>
      <w:pPr>
        <w:spacing w:line="560" w:lineRule="exact"/>
        <w:ind w:firstLine="480" w:firstLineChars="200"/>
        <w:jc w:val="left"/>
        <w:rPr>
          <w:rFonts w:ascii="宋体" w:hAnsi="宋体" w:cs="宋体"/>
          <w:sz w:val="24"/>
        </w:rPr>
      </w:pPr>
      <w:r>
        <w:rPr>
          <w:rFonts w:hint="eastAsia" w:ascii="宋体" w:hAnsi="宋体" w:cs="宋体"/>
          <w:sz w:val="24"/>
        </w:rPr>
        <w:t>1.10.2 投标人应在投标人须知前附表规定的时间前，以书面形式将提出的问题送达招标人，以便招标人在会议期间澄清。</w:t>
      </w:r>
    </w:p>
    <w:p>
      <w:pPr>
        <w:spacing w:line="560" w:lineRule="exact"/>
        <w:ind w:firstLine="480" w:firstLineChars="200"/>
        <w:jc w:val="left"/>
        <w:rPr>
          <w:rFonts w:ascii="宋体" w:hAnsi="宋体" w:cs="宋体"/>
          <w:sz w:val="24"/>
        </w:rPr>
      </w:pPr>
      <w:r>
        <w:rPr>
          <w:rFonts w:hint="eastAsia" w:ascii="宋体" w:hAnsi="宋体" w:cs="宋体"/>
          <w:sz w:val="24"/>
        </w:rPr>
        <w:t>1.10.3 投标预备会后，招标人在投标人须知前附表规定的时间内，将对投标人所提问颗的澄清，以书面方式通知所有购买招标文件的投标人。该澄清内容为招标文件的组成部分。</w:t>
      </w:r>
    </w:p>
    <w:p>
      <w:pPr>
        <w:pStyle w:val="5"/>
        <w:spacing w:beforeLines="0" w:line="560" w:lineRule="exact"/>
        <w:ind w:firstLine="480" w:firstLineChars="200"/>
        <w:jc w:val="left"/>
        <w:rPr>
          <w:rFonts w:ascii="宋体" w:hAnsi="宋体" w:eastAsia="宋体" w:cs="宋体"/>
          <w:sz w:val="24"/>
        </w:rPr>
      </w:pPr>
      <w:bookmarkStart w:id="74" w:name="_Toc445046819"/>
      <w:bookmarkStart w:id="75" w:name="_Toc397928560"/>
      <w:bookmarkStart w:id="76" w:name="_Toc387526386"/>
      <w:bookmarkStart w:id="77" w:name="_Toc21970"/>
      <w:bookmarkStart w:id="78" w:name="_Toc366679673"/>
      <w:bookmarkStart w:id="79" w:name="_Toc387526294"/>
      <w:bookmarkStart w:id="80" w:name="_Toc387526190"/>
      <w:bookmarkStart w:id="81" w:name="_Toc363329371"/>
      <w:bookmarkStart w:id="82" w:name="_Toc367894799"/>
      <w:r>
        <w:rPr>
          <w:rFonts w:hint="eastAsia" w:ascii="宋体" w:hAnsi="宋体" w:eastAsia="宋体" w:cs="宋体"/>
          <w:sz w:val="24"/>
        </w:rPr>
        <w:t>1.11 偏离</w:t>
      </w:r>
      <w:bookmarkEnd w:id="74"/>
      <w:bookmarkEnd w:id="75"/>
      <w:bookmarkEnd w:id="76"/>
      <w:bookmarkEnd w:id="77"/>
      <w:bookmarkEnd w:id="78"/>
      <w:bookmarkEnd w:id="79"/>
      <w:bookmarkEnd w:id="80"/>
    </w:p>
    <w:p>
      <w:pPr>
        <w:spacing w:line="560" w:lineRule="exact"/>
        <w:ind w:firstLine="480" w:firstLineChars="200"/>
        <w:jc w:val="left"/>
        <w:rPr>
          <w:rFonts w:ascii="宋体" w:hAnsi="宋体" w:cs="宋体"/>
          <w:sz w:val="24"/>
        </w:rPr>
      </w:pPr>
      <w:r>
        <w:rPr>
          <w:rFonts w:hint="eastAsia" w:ascii="宋体" w:hAnsi="宋体" w:cs="宋体"/>
          <w:sz w:val="24"/>
        </w:rPr>
        <w:t>投标人须知前附表允许投标文件偏离招标文件某些要求的，偏离应当符合招标文件规定的偏离范围和幅度。</w:t>
      </w:r>
    </w:p>
    <w:p>
      <w:pPr>
        <w:pStyle w:val="46"/>
        <w:spacing w:before="0" w:after="0" w:line="560" w:lineRule="exact"/>
        <w:ind w:firstLine="482" w:firstLineChars="200"/>
        <w:jc w:val="left"/>
        <w:rPr>
          <w:rFonts w:ascii="宋体" w:hAnsi="宋体"/>
          <w:color w:val="auto"/>
          <w:sz w:val="24"/>
          <w:szCs w:val="24"/>
        </w:rPr>
      </w:pPr>
      <w:bookmarkStart w:id="83" w:name="_Toc30422"/>
      <w:bookmarkStart w:id="84" w:name="_Toc397928561"/>
      <w:bookmarkStart w:id="85" w:name="_Toc387526387"/>
      <w:bookmarkStart w:id="86" w:name="_Toc368760428"/>
      <w:bookmarkStart w:id="87" w:name="_Toc445046820"/>
      <w:bookmarkStart w:id="88" w:name="_Toc387526191"/>
      <w:bookmarkStart w:id="89" w:name="_Toc387526295"/>
      <w:bookmarkStart w:id="90" w:name="_Toc369077562"/>
      <w:bookmarkStart w:id="91" w:name="_Toc368759376"/>
      <w:r>
        <w:rPr>
          <w:rFonts w:hint="eastAsia" w:ascii="宋体" w:hAnsi="宋体"/>
          <w:color w:val="auto"/>
          <w:sz w:val="24"/>
          <w:szCs w:val="24"/>
        </w:rPr>
        <w:t>2.招标文件</w:t>
      </w:r>
      <w:bookmarkEnd w:id="81"/>
      <w:bookmarkEnd w:id="82"/>
      <w:bookmarkEnd w:id="83"/>
      <w:bookmarkEnd w:id="84"/>
      <w:bookmarkEnd w:id="85"/>
      <w:bookmarkEnd w:id="86"/>
      <w:bookmarkEnd w:id="87"/>
      <w:bookmarkEnd w:id="88"/>
      <w:bookmarkEnd w:id="89"/>
      <w:bookmarkEnd w:id="90"/>
      <w:bookmarkEnd w:id="91"/>
    </w:p>
    <w:p>
      <w:pPr>
        <w:pStyle w:val="5"/>
        <w:spacing w:beforeLines="0" w:line="560" w:lineRule="exact"/>
        <w:ind w:firstLine="480" w:firstLineChars="200"/>
        <w:jc w:val="left"/>
        <w:rPr>
          <w:rFonts w:ascii="宋体" w:hAnsi="宋体" w:eastAsia="宋体" w:cs="宋体"/>
          <w:sz w:val="24"/>
        </w:rPr>
      </w:pPr>
      <w:bookmarkStart w:id="92" w:name="_Toc387526192"/>
      <w:bookmarkStart w:id="93" w:name="_Toc397928562"/>
      <w:bookmarkStart w:id="94" w:name="_Toc387526388"/>
      <w:bookmarkStart w:id="95" w:name="_Toc445046821"/>
      <w:bookmarkStart w:id="96" w:name="_Toc23070"/>
      <w:bookmarkStart w:id="97" w:name="_Toc387526296"/>
      <w:r>
        <w:rPr>
          <w:rFonts w:hint="eastAsia" w:ascii="宋体" w:hAnsi="宋体" w:eastAsia="宋体" w:cs="宋体"/>
          <w:sz w:val="24"/>
        </w:rPr>
        <w:t>2.1 招标文件组成</w:t>
      </w:r>
      <w:bookmarkEnd w:id="92"/>
      <w:bookmarkEnd w:id="93"/>
      <w:bookmarkEnd w:id="94"/>
      <w:bookmarkEnd w:id="95"/>
      <w:bookmarkEnd w:id="96"/>
      <w:bookmarkEnd w:id="97"/>
    </w:p>
    <w:p>
      <w:pPr>
        <w:shd w:val="clear" w:color="auto" w:fill="FFFFFF"/>
        <w:autoSpaceDE w:val="0"/>
        <w:autoSpaceDN w:val="0"/>
        <w:spacing w:line="560" w:lineRule="exact"/>
        <w:ind w:firstLine="480" w:firstLineChars="200"/>
        <w:jc w:val="left"/>
        <w:rPr>
          <w:rFonts w:ascii="宋体" w:hAnsi="宋体" w:cs="宋体"/>
          <w:sz w:val="24"/>
        </w:rPr>
      </w:pPr>
      <w:r>
        <w:rPr>
          <w:rFonts w:hint="eastAsia" w:ascii="宋体" w:hAnsi="宋体" w:cs="宋体"/>
          <w:sz w:val="24"/>
        </w:rPr>
        <w:t>2.1.1 本招标文件包括：</w:t>
      </w:r>
    </w:p>
    <w:p>
      <w:pPr>
        <w:spacing w:line="560" w:lineRule="exact"/>
        <w:ind w:firstLine="480" w:firstLineChars="200"/>
        <w:jc w:val="left"/>
        <w:rPr>
          <w:rFonts w:ascii="宋体" w:hAnsi="宋体" w:cs="宋体"/>
          <w:sz w:val="24"/>
        </w:rPr>
      </w:pPr>
      <w:r>
        <w:rPr>
          <w:rFonts w:hint="eastAsia" w:ascii="宋体" w:hAnsi="宋体" w:cs="宋体"/>
          <w:sz w:val="24"/>
        </w:rPr>
        <w:t>（1）招标公告；</w:t>
      </w:r>
    </w:p>
    <w:p>
      <w:pPr>
        <w:spacing w:line="560" w:lineRule="exact"/>
        <w:ind w:firstLine="480" w:firstLineChars="200"/>
        <w:jc w:val="left"/>
        <w:rPr>
          <w:rFonts w:ascii="宋体" w:hAnsi="宋体" w:cs="宋体"/>
          <w:sz w:val="24"/>
        </w:rPr>
      </w:pPr>
      <w:r>
        <w:rPr>
          <w:rFonts w:hint="eastAsia" w:ascii="宋体" w:hAnsi="宋体" w:cs="宋体"/>
          <w:sz w:val="24"/>
        </w:rPr>
        <w:t>（2）投标人须知；</w:t>
      </w:r>
    </w:p>
    <w:p>
      <w:pPr>
        <w:spacing w:line="560" w:lineRule="exact"/>
        <w:ind w:firstLine="480" w:firstLineChars="200"/>
        <w:jc w:val="left"/>
        <w:rPr>
          <w:rFonts w:ascii="宋体" w:hAnsi="宋体" w:cs="宋体"/>
          <w:sz w:val="24"/>
        </w:rPr>
      </w:pPr>
      <w:r>
        <w:rPr>
          <w:rFonts w:hint="eastAsia" w:ascii="宋体" w:hAnsi="宋体" w:cs="宋体"/>
          <w:sz w:val="24"/>
        </w:rPr>
        <w:t>（3）评标办法；</w:t>
      </w:r>
    </w:p>
    <w:p>
      <w:pPr>
        <w:spacing w:line="560" w:lineRule="exact"/>
        <w:ind w:firstLine="480" w:firstLineChars="200"/>
        <w:jc w:val="left"/>
        <w:rPr>
          <w:rFonts w:ascii="宋体" w:hAnsi="宋体" w:cs="宋体"/>
          <w:sz w:val="24"/>
        </w:rPr>
      </w:pPr>
      <w:r>
        <w:rPr>
          <w:rFonts w:hint="eastAsia" w:ascii="宋体" w:hAnsi="宋体" w:cs="宋体"/>
          <w:sz w:val="24"/>
        </w:rPr>
        <w:t>（4）合同条款及格式；</w:t>
      </w:r>
    </w:p>
    <w:p>
      <w:pPr>
        <w:spacing w:line="560" w:lineRule="exact"/>
        <w:ind w:firstLine="480" w:firstLineChars="200"/>
        <w:jc w:val="left"/>
        <w:rPr>
          <w:rFonts w:ascii="宋体" w:hAnsi="宋体" w:cs="宋体"/>
          <w:sz w:val="24"/>
        </w:rPr>
      </w:pPr>
      <w:r>
        <w:rPr>
          <w:rFonts w:hint="eastAsia" w:ascii="宋体" w:hAnsi="宋体" w:cs="宋体"/>
          <w:sz w:val="24"/>
        </w:rPr>
        <w:t>（5）招标需求；</w:t>
      </w:r>
    </w:p>
    <w:p>
      <w:pPr>
        <w:spacing w:line="560" w:lineRule="exact"/>
        <w:ind w:firstLine="480" w:firstLineChars="200"/>
        <w:jc w:val="left"/>
        <w:rPr>
          <w:rFonts w:ascii="宋体" w:hAnsi="宋体" w:cs="宋体"/>
          <w:sz w:val="24"/>
        </w:rPr>
      </w:pPr>
      <w:r>
        <w:rPr>
          <w:rFonts w:hint="eastAsia" w:ascii="宋体" w:hAnsi="宋体" w:cs="宋体"/>
          <w:sz w:val="24"/>
        </w:rPr>
        <w:t>（6）投标文件格式；</w:t>
      </w:r>
    </w:p>
    <w:p>
      <w:pPr>
        <w:spacing w:line="560" w:lineRule="exact"/>
        <w:ind w:firstLine="480" w:firstLineChars="200"/>
        <w:jc w:val="left"/>
        <w:rPr>
          <w:rFonts w:ascii="宋体" w:hAnsi="宋体" w:cs="宋体"/>
          <w:sz w:val="24"/>
        </w:rPr>
      </w:pPr>
      <w:r>
        <w:rPr>
          <w:rFonts w:hint="eastAsia" w:ascii="宋体" w:hAnsi="宋体" w:cs="宋体"/>
          <w:sz w:val="24"/>
        </w:rPr>
        <w:t>（7）投标人须知前附表规定的其他材料。</w:t>
      </w:r>
    </w:p>
    <w:p>
      <w:pPr>
        <w:spacing w:line="560" w:lineRule="exact"/>
        <w:ind w:firstLine="480" w:firstLineChars="200"/>
        <w:jc w:val="left"/>
        <w:rPr>
          <w:rFonts w:ascii="宋体" w:hAnsi="宋体" w:cs="宋体"/>
          <w:sz w:val="24"/>
        </w:rPr>
      </w:pPr>
      <w:r>
        <w:rPr>
          <w:rFonts w:hint="eastAsia" w:ascii="宋体" w:hAnsi="宋体" w:cs="宋体"/>
          <w:sz w:val="24"/>
        </w:rPr>
        <w:t>2.1.2根据本章第1.10款、第2.2款和第2.3款对招标文件所作的澄清、修改，构成招标文件的组成部分。当招标文件相互之间发生矛盾时，以后发出的文件为准。</w:t>
      </w:r>
    </w:p>
    <w:p>
      <w:pPr>
        <w:pStyle w:val="5"/>
        <w:spacing w:beforeLines="0" w:line="560" w:lineRule="exact"/>
        <w:ind w:firstLine="480" w:firstLineChars="200"/>
        <w:jc w:val="left"/>
        <w:rPr>
          <w:rFonts w:ascii="宋体" w:hAnsi="宋体" w:eastAsia="宋体" w:cs="宋体"/>
          <w:sz w:val="24"/>
        </w:rPr>
      </w:pPr>
      <w:bookmarkStart w:id="98" w:name="_Toc247085703"/>
      <w:bookmarkStart w:id="99" w:name="_Toc152045544"/>
      <w:bookmarkStart w:id="100" w:name="_Toc445046822"/>
      <w:bookmarkStart w:id="101" w:name="_Toc397928563"/>
      <w:bookmarkStart w:id="102" w:name="_Toc387526193"/>
      <w:bookmarkStart w:id="103" w:name="_Toc246996189"/>
      <w:bookmarkStart w:id="104" w:name="_Toc9593"/>
      <w:bookmarkStart w:id="105" w:name="_Toc144974512"/>
      <w:bookmarkStart w:id="106" w:name="_Toc387526389"/>
      <w:bookmarkStart w:id="107" w:name="_Toc152042320"/>
      <w:bookmarkStart w:id="108" w:name="_Toc179632562"/>
      <w:bookmarkStart w:id="109" w:name="_Toc366679676"/>
      <w:bookmarkStart w:id="110" w:name="_Toc246996932"/>
      <w:bookmarkStart w:id="111" w:name="_Toc387526297"/>
      <w:r>
        <w:rPr>
          <w:rFonts w:hint="eastAsia" w:ascii="宋体" w:hAnsi="宋体" w:eastAsia="宋体" w:cs="宋体"/>
          <w:sz w:val="24"/>
        </w:rPr>
        <w:t>2.2 招标文件的澄清</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shd w:val="clear" w:color="auto" w:fill="FFFFFF"/>
        <w:autoSpaceDE w:val="0"/>
        <w:autoSpaceDN w:val="0"/>
        <w:spacing w:line="560" w:lineRule="exact"/>
        <w:ind w:firstLine="480" w:firstLineChars="200"/>
        <w:jc w:val="left"/>
        <w:rPr>
          <w:rFonts w:ascii="宋体" w:hAnsi="宋体" w:cs="宋体"/>
          <w:sz w:val="24"/>
        </w:rPr>
      </w:pPr>
      <w:r>
        <w:rPr>
          <w:rFonts w:hint="eastAsia" w:ascii="宋体" w:hAnsi="宋体" w:cs="宋体"/>
          <w:sz w:val="24"/>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应当在3个工作日内对供应商依法提出的询问作出答复。</w:t>
      </w:r>
    </w:p>
    <w:p>
      <w:pPr>
        <w:shd w:val="clear" w:color="auto" w:fill="FFFFFF"/>
        <w:autoSpaceDE w:val="0"/>
        <w:autoSpaceDN w:val="0"/>
        <w:spacing w:line="560" w:lineRule="exact"/>
        <w:ind w:firstLine="480" w:firstLineChars="200"/>
        <w:jc w:val="left"/>
        <w:rPr>
          <w:rFonts w:ascii="宋体" w:hAnsi="宋体" w:cs="宋体"/>
          <w:sz w:val="24"/>
        </w:rPr>
      </w:pPr>
      <w:r>
        <w:rPr>
          <w:rFonts w:hint="eastAsia" w:ascii="宋体" w:hAnsi="宋体" w:cs="宋体"/>
          <w:sz w:val="24"/>
        </w:rPr>
        <w:t>2.2.2 招标文件的澄清将在投标人须知前附表规定的投标截止时间15天前以“补充答疑”的形式在</w:t>
      </w:r>
      <w:r>
        <w:rPr>
          <w:rFonts w:hint="eastAsia" w:ascii="宋体" w:hAnsi="宋体" w:cs="宋体"/>
          <w:sz w:val="24"/>
          <w:u w:val="single"/>
        </w:rPr>
        <w:t>大丰公共资源电子交易平台上</w:t>
      </w:r>
      <w:r>
        <w:rPr>
          <w:rFonts w:hint="eastAsia" w:ascii="宋体" w:hAnsi="宋体" w:cs="宋体"/>
          <w:sz w:val="24"/>
        </w:rPr>
        <w:t>公开发布，但不指明澄清问题的来源。如果澄清发出的时间距投标截止时间不足15天，且澄清内容影响投标文件编制的，相应延长投标截止时间。</w:t>
      </w:r>
    </w:p>
    <w:p>
      <w:pPr>
        <w:pStyle w:val="5"/>
        <w:spacing w:beforeLines="0" w:line="560" w:lineRule="exact"/>
        <w:ind w:firstLine="480" w:firstLineChars="200"/>
        <w:jc w:val="left"/>
        <w:rPr>
          <w:rFonts w:ascii="宋体" w:hAnsi="宋体" w:eastAsia="宋体" w:cs="宋体"/>
          <w:sz w:val="24"/>
        </w:rPr>
      </w:pPr>
      <w:bookmarkStart w:id="112" w:name="_Toc397928564"/>
      <w:bookmarkStart w:id="113" w:name="_Toc387526298"/>
      <w:bookmarkStart w:id="114" w:name="_Toc19263"/>
      <w:bookmarkStart w:id="115" w:name="_Toc366679677"/>
      <w:bookmarkStart w:id="116" w:name="_Toc247085704"/>
      <w:bookmarkStart w:id="117" w:name="_Toc246996933"/>
      <w:bookmarkStart w:id="118" w:name="_Toc445046823"/>
      <w:bookmarkStart w:id="119" w:name="_Toc387526390"/>
      <w:bookmarkStart w:id="120" w:name="_Toc179632563"/>
      <w:bookmarkStart w:id="121" w:name="_Toc246996190"/>
      <w:bookmarkStart w:id="122" w:name="_Toc387526194"/>
      <w:r>
        <w:rPr>
          <w:rFonts w:hint="eastAsia" w:ascii="宋体" w:hAnsi="宋体" w:eastAsia="宋体" w:cs="宋体"/>
          <w:sz w:val="24"/>
        </w:rPr>
        <w:t>2.3 招标文件的修改</w:t>
      </w:r>
      <w:bookmarkEnd w:id="112"/>
      <w:bookmarkEnd w:id="113"/>
      <w:bookmarkEnd w:id="114"/>
      <w:bookmarkEnd w:id="115"/>
      <w:bookmarkEnd w:id="116"/>
      <w:bookmarkEnd w:id="117"/>
      <w:bookmarkEnd w:id="118"/>
      <w:bookmarkEnd w:id="119"/>
      <w:bookmarkEnd w:id="120"/>
      <w:bookmarkEnd w:id="121"/>
      <w:bookmarkEnd w:id="122"/>
    </w:p>
    <w:p>
      <w:pPr>
        <w:shd w:val="clear" w:color="auto" w:fill="FFFFFF"/>
        <w:autoSpaceDE w:val="0"/>
        <w:autoSpaceDN w:val="0"/>
        <w:spacing w:line="560" w:lineRule="exact"/>
        <w:ind w:firstLine="480" w:firstLineChars="200"/>
        <w:jc w:val="left"/>
        <w:rPr>
          <w:rFonts w:ascii="宋体" w:hAnsi="宋体" w:cs="宋体"/>
          <w:sz w:val="24"/>
        </w:rPr>
      </w:pPr>
      <w:r>
        <w:rPr>
          <w:rFonts w:hint="eastAsia" w:ascii="宋体" w:hAnsi="宋体" w:cs="宋体"/>
          <w:sz w:val="24"/>
        </w:rPr>
        <w:t>2.3.1 在投标截止时间15天前，招标人可以以“补充答疑”的形式在</w:t>
      </w:r>
      <w:r>
        <w:rPr>
          <w:rFonts w:hint="eastAsia" w:ascii="宋体" w:hAnsi="宋体" w:cs="宋体"/>
          <w:sz w:val="24"/>
          <w:u w:val="single"/>
        </w:rPr>
        <w:t>大丰公共资源电子交易平台</w:t>
      </w:r>
      <w:r>
        <w:rPr>
          <w:rFonts w:hint="eastAsia" w:ascii="宋体" w:hAnsi="宋体" w:cs="宋体"/>
          <w:sz w:val="24"/>
        </w:rPr>
        <w:t>上修改招标文件。如果修改招标文件的时间距投标截止时间不足15天，且修改内容影响投标文件编制的，相应延长投标截止时间。</w:t>
      </w:r>
    </w:p>
    <w:p>
      <w:pPr>
        <w:shd w:val="clear" w:color="auto" w:fill="FFFFFF"/>
        <w:autoSpaceDE w:val="0"/>
        <w:autoSpaceDN w:val="0"/>
        <w:spacing w:line="560" w:lineRule="exact"/>
        <w:ind w:firstLine="480" w:firstLineChars="200"/>
        <w:jc w:val="left"/>
        <w:rPr>
          <w:rFonts w:ascii="宋体" w:hAnsi="宋体" w:cs="宋体"/>
          <w:sz w:val="24"/>
        </w:rPr>
      </w:pPr>
      <w:r>
        <w:rPr>
          <w:rFonts w:hint="eastAsia" w:ascii="宋体" w:hAnsi="宋体"/>
          <w:sz w:val="24"/>
        </w:rPr>
        <w:t>2.4 投标人提出异议截止时间</w:t>
      </w:r>
    </w:p>
    <w:p>
      <w:pPr>
        <w:spacing w:line="400" w:lineRule="exact"/>
        <w:jc w:val="left"/>
        <w:rPr>
          <w:rFonts w:ascii="宋体" w:hAnsi="宋体"/>
          <w:sz w:val="24"/>
        </w:rPr>
      </w:pPr>
      <w:r>
        <w:rPr>
          <w:rFonts w:hint="eastAsia" w:ascii="宋体" w:hAnsi="宋体"/>
          <w:sz w:val="24"/>
        </w:rPr>
        <w:t xml:space="preserve">    2.4.1 潜在投标人对招标文件有异议的，应当在投标截止时间10日前提出。</w:t>
      </w:r>
    </w:p>
    <w:p>
      <w:pPr>
        <w:pStyle w:val="46"/>
        <w:spacing w:before="0" w:after="0" w:line="560" w:lineRule="exact"/>
        <w:ind w:firstLine="482" w:firstLineChars="200"/>
        <w:jc w:val="left"/>
        <w:rPr>
          <w:rFonts w:ascii="宋体" w:hAnsi="宋体"/>
          <w:color w:val="auto"/>
          <w:sz w:val="24"/>
          <w:szCs w:val="24"/>
        </w:rPr>
      </w:pPr>
      <w:bookmarkStart w:id="123" w:name="_Toc387526299"/>
      <w:bookmarkStart w:id="124" w:name="_Toc368760429"/>
      <w:bookmarkStart w:id="125" w:name="_Toc387526391"/>
      <w:bookmarkStart w:id="126" w:name="_Toc397928565"/>
      <w:bookmarkStart w:id="127" w:name="_Toc369077563"/>
      <w:bookmarkStart w:id="128" w:name="_Toc445046824"/>
      <w:bookmarkStart w:id="129" w:name="_Toc367894800"/>
      <w:bookmarkStart w:id="130" w:name="_Toc363329372"/>
      <w:bookmarkStart w:id="131" w:name="_Toc19481"/>
      <w:bookmarkStart w:id="132" w:name="_Toc387526195"/>
      <w:bookmarkStart w:id="133" w:name="_Toc368759377"/>
      <w:bookmarkStart w:id="134" w:name="_Toc119718089"/>
      <w:r>
        <w:rPr>
          <w:rFonts w:hint="eastAsia" w:ascii="宋体" w:hAnsi="宋体"/>
          <w:color w:val="auto"/>
          <w:sz w:val="24"/>
          <w:szCs w:val="24"/>
        </w:rPr>
        <w:t>3.投标文件</w:t>
      </w:r>
      <w:bookmarkEnd w:id="123"/>
      <w:bookmarkEnd w:id="124"/>
      <w:bookmarkEnd w:id="125"/>
      <w:bookmarkEnd w:id="126"/>
      <w:bookmarkEnd w:id="127"/>
      <w:bookmarkEnd w:id="128"/>
      <w:bookmarkEnd w:id="129"/>
      <w:bookmarkEnd w:id="130"/>
      <w:bookmarkEnd w:id="131"/>
      <w:bookmarkEnd w:id="132"/>
      <w:bookmarkEnd w:id="133"/>
    </w:p>
    <w:p>
      <w:pPr>
        <w:pStyle w:val="5"/>
        <w:spacing w:beforeLines="0" w:line="560" w:lineRule="exact"/>
        <w:ind w:firstLine="480" w:firstLineChars="200"/>
        <w:jc w:val="left"/>
        <w:rPr>
          <w:rFonts w:ascii="宋体" w:hAnsi="宋体" w:eastAsia="宋体" w:cs="宋体"/>
          <w:sz w:val="24"/>
        </w:rPr>
      </w:pPr>
      <w:bookmarkStart w:id="135" w:name="_Toc5625"/>
      <w:bookmarkStart w:id="136" w:name="_Toc387526300"/>
      <w:bookmarkStart w:id="137" w:name="_Toc387526196"/>
      <w:bookmarkStart w:id="138" w:name="_Toc397928566"/>
      <w:bookmarkStart w:id="139" w:name="_Toc387526392"/>
      <w:bookmarkStart w:id="140" w:name="_Toc445046825"/>
      <w:r>
        <w:rPr>
          <w:rFonts w:hint="eastAsia" w:ascii="宋体" w:hAnsi="宋体" w:eastAsia="宋体" w:cs="宋体"/>
          <w:sz w:val="24"/>
        </w:rPr>
        <w:t>3.1 投标文件</w:t>
      </w:r>
      <w:bookmarkEnd w:id="134"/>
      <w:r>
        <w:rPr>
          <w:rFonts w:hint="eastAsia" w:ascii="宋体" w:hAnsi="宋体" w:eastAsia="宋体" w:cs="宋体"/>
          <w:sz w:val="24"/>
        </w:rPr>
        <w:t>的组成</w:t>
      </w:r>
      <w:bookmarkEnd w:id="135"/>
      <w:bookmarkEnd w:id="136"/>
      <w:bookmarkEnd w:id="137"/>
      <w:bookmarkEnd w:id="138"/>
      <w:bookmarkEnd w:id="139"/>
      <w:bookmarkEnd w:id="140"/>
    </w:p>
    <w:p>
      <w:pPr>
        <w:spacing w:line="560" w:lineRule="exact"/>
        <w:ind w:firstLine="482" w:firstLineChars="200"/>
        <w:jc w:val="left"/>
        <w:rPr>
          <w:rFonts w:hint="eastAsia" w:ascii="宋体" w:hAnsi="宋体" w:cs="宋体"/>
          <w:b/>
          <w:sz w:val="24"/>
        </w:rPr>
      </w:pPr>
      <w:r>
        <w:rPr>
          <w:rFonts w:hint="eastAsia" w:ascii="宋体" w:hAnsi="宋体" w:cs="宋体"/>
          <w:b/>
          <w:sz w:val="24"/>
        </w:rPr>
        <w:t>投标文件由资信文件、商务文件、技术文件、开标一览表共四部份组成（</w:t>
      </w:r>
      <w:r>
        <w:rPr>
          <w:rFonts w:hint="eastAsia" w:ascii="宋体" w:hAnsi="宋体" w:cs="宋体"/>
          <w:b/>
          <w:sz w:val="24"/>
          <w:lang w:eastAsia="zh-CN"/>
        </w:rPr>
        <w:t>投标文件电子文档，</w:t>
      </w:r>
      <w:r>
        <w:rPr>
          <w:rFonts w:hint="eastAsia" w:ascii="宋体" w:hAnsi="宋体" w:cs="宋体"/>
          <w:b/>
          <w:sz w:val="24"/>
        </w:rPr>
        <w:t>载体用U盘）。</w:t>
      </w:r>
    </w:p>
    <w:p>
      <w:pPr>
        <w:spacing w:line="560" w:lineRule="exact"/>
        <w:ind w:firstLine="482" w:firstLineChars="200"/>
        <w:jc w:val="left"/>
        <w:rPr>
          <w:rFonts w:ascii="宋体" w:hAnsi="宋体" w:cs="宋体"/>
          <w:b/>
          <w:sz w:val="24"/>
        </w:rPr>
      </w:pPr>
      <w:r>
        <w:rPr>
          <w:rFonts w:hint="eastAsia" w:ascii="宋体" w:hAnsi="宋体" w:cs="宋体"/>
          <w:b/>
          <w:sz w:val="24"/>
        </w:rPr>
        <w:t>3.1.1投标文件包括资信文件、商务文件、技术文件、开标一览表</w:t>
      </w:r>
    </w:p>
    <w:p>
      <w:pPr>
        <w:spacing w:line="560" w:lineRule="exact"/>
        <w:ind w:firstLine="482" w:firstLineChars="200"/>
        <w:jc w:val="left"/>
        <w:rPr>
          <w:rFonts w:ascii="宋体" w:hAnsi="宋体" w:cs="宋体"/>
          <w:sz w:val="24"/>
        </w:rPr>
      </w:pPr>
      <w:r>
        <w:rPr>
          <w:rFonts w:hint="eastAsia" w:ascii="宋体" w:hAnsi="宋体" w:cs="宋体"/>
          <w:b/>
          <w:bCs/>
          <w:sz w:val="24"/>
        </w:rPr>
        <w:t>（1）</w:t>
      </w:r>
      <w:r>
        <w:rPr>
          <w:rFonts w:hint="eastAsia" w:ascii="宋体" w:hAnsi="宋体" w:cs="宋体"/>
          <w:b/>
          <w:sz w:val="24"/>
        </w:rPr>
        <w:t>资信文件</w:t>
      </w:r>
      <w:r>
        <w:rPr>
          <w:rFonts w:hint="eastAsia" w:ascii="宋体" w:hAnsi="宋体" w:cs="宋体"/>
          <w:b/>
          <w:bCs/>
          <w:sz w:val="24"/>
        </w:rPr>
        <w:t>应包括如下内容：</w:t>
      </w:r>
    </w:p>
    <w:p>
      <w:pPr>
        <w:spacing w:line="560" w:lineRule="exact"/>
        <w:ind w:firstLine="480" w:firstLineChars="200"/>
        <w:jc w:val="left"/>
        <w:rPr>
          <w:rFonts w:ascii="宋体" w:hAnsi="宋体" w:cs="宋体"/>
          <w:sz w:val="24"/>
        </w:rPr>
      </w:pPr>
      <w:r>
        <w:rPr>
          <w:rFonts w:hint="eastAsia" w:ascii="宋体" w:hAnsi="宋体" w:cs="宋体"/>
          <w:sz w:val="24"/>
        </w:rPr>
        <w:t>A、投标企业营业执照（三证合一副本）</w:t>
      </w:r>
      <w:r>
        <w:rPr>
          <w:rFonts w:hint="eastAsia" w:ascii="宋体" w:hAnsi="宋体" w:cs="宋体"/>
          <w:bCs/>
          <w:sz w:val="24"/>
        </w:rPr>
        <w:t>复印件加盖单位公章</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B、盐城市政府采购事前信用承诺书；</w:t>
      </w:r>
    </w:p>
    <w:p>
      <w:pPr>
        <w:spacing w:line="560" w:lineRule="exact"/>
        <w:ind w:firstLine="482" w:firstLineChars="200"/>
        <w:rPr>
          <w:rFonts w:ascii="宋体" w:hAnsi="宋体" w:cs="宋体"/>
          <w:b/>
          <w:sz w:val="24"/>
        </w:rPr>
      </w:pPr>
      <w:r>
        <w:rPr>
          <w:rFonts w:hint="eastAsia" w:ascii="宋体" w:hAnsi="宋体" w:cs="宋体"/>
          <w:b/>
          <w:sz w:val="24"/>
        </w:rPr>
        <w:t>资格审查内容为A</w:t>
      </w:r>
      <w:r>
        <w:rPr>
          <w:rFonts w:ascii="宋体" w:hAnsi="宋体" w:cs="宋体"/>
          <w:b/>
          <w:sz w:val="24"/>
        </w:rPr>
        <w:t>-B</w:t>
      </w:r>
      <w:r>
        <w:rPr>
          <w:rFonts w:hint="eastAsia" w:ascii="宋体" w:hAnsi="宋体" w:cs="宋体"/>
          <w:b/>
          <w:sz w:val="24"/>
        </w:rPr>
        <w:t>项，若缺少上述资料，则资格审查不通过，不进入后续评审。</w:t>
      </w:r>
    </w:p>
    <w:p>
      <w:pPr>
        <w:spacing w:line="560" w:lineRule="exact"/>
        <w:ind w:firstLine="482" w:firstLineChars="200"/>
        <w:jc w:val="left"/>
        <w:rPr>
          <w:rFonts w:ascii="宋体" w:hAnsi="宋体" w:cs="宋体"/>
          <w:sz w:val="24"/>
        </w:rPr>
      </w:pPr>
      <w:bookmarkStart w:id="141" w:name="_Hlk51336688"/>
      <w:r>
        <w:rPr>
          <w:rFonts w:hint="eastAsia" w:ascii="宋体" w:hAnsi="宋体" w:cs="宋体"/>
          <w:b/>
          <w:sz w:val="24"/>
        </w:rPr>
        <w:t>（2）</w:t>
      </w:r>
      <w:bookmarkEnd w:id="141"/>
      <w:r>
        <w:rPr>
          <w:rFonts w:hint="eastAsia" w:ascii="宋体" w:hAnsi="宋体" w:cs="宋体"/>
          <w:b/>
          <w:sz w:val="24"/>
        </w:rPr>
        <w:t>商务文件</w:t>
      </w:r>
      <w:r>
        <w:rPr>
          <w:rFonts w:hint="eastAsia" w:ascii="宋体" w:hAnsi="宋体" w:cs="宋体"/>
          <w:b/>
          <w:bCs/>
          <w:sz w:val="24"/>
        </w:rPr>
        <w:t>应包括如下内容：</w:t>
      </w:r>
    </w:p>
    <w:p>
      <w:pPr>
        <w:spacing w:line="560" w:lineRule="exact"/>
        <w:ind w:left="567"/>
        <w:jc w:val="left"/>
        <w:rPr>
          <w:rFonts w:ascii="宋体" w:hAnsi="宋体" w:cs="宋体"/>
          <w:sz w:val="24"/>
        </w:rPr>
      </w:pPr>
      <w:r>
        <w:rPr>
          <w:rFonts w:hint="eastAsia" w:ascii="宋体" w:hAnsi="宋体" w:cs="宋体"/>
          <w:sz w:val="24"/>
        </w:rPr>
        <w:t>A、投标函；</w:t>
      </w:r>
    </w:p>
    <w:p>
      <w:pPr>
        <w:tabs>
          <w:tab w:val="left" w:pos="3870"/>
          <w:tab w:val="left" w:pos="4085"/>
        </w:tabs>
        <w:spacing w:line="560" w:lineRule="exact"/>
        <w:ind w:left="567"/>
        <w:jc w:val="left"/>
        <w:rPr>
          <w:rFonts w:ascii="宋体" w:hAnsi="宋体" w:cs="宋体"/>
          <w:sz w:val="24"/>
        </w:rPr>
      </w:pPr>
      <w:r>
        <w:rPr>
          <w:rFonts w:hint="eastAsia" w:ascii="宋体" w:hAnsi="宋体" w:cs="宋体"/>
          <w:sz w:val="24"/>
        </w:rPr>
        <w:t>B、法定代表人身份证明书；</w:t>
      </w:r>
    </w:p>
    <w:p>
      <w:pPr>
        <w:tabs>
          <w:tab w:val="left" w:pos="3870"/>
          <w:tab w:val="left" w:pos="4085"/>
        </w:tabs>
        <w:spacing w:line="560" w:lineRule="exact"/>
        <w:ind w:left="567"/>
        <w:jc w:val="left"/>
        <w:rPr>
          <w:rFonts w:ascii="宋体" w:hAnsi="宋体" w:cs="宋体"/>
          <w:sz w:val="24"/>
        </w:rPr>
      </w:pPr>
      <w:r>
        <w:rPr>
          <w:rFonts w:hint="eastAsia" w:ascii="宋体" w:hAnsi="宋体" w:cs="宋体"/>
          <w:sz w:val="24"/>
        </w:rPr>
        <w:t>C、法定代表人授权委托书原件及授权委托人身份证复印件（如有）；</w:t>
      </w:r>
    </w:p>
    <w:p>
      <w:pPr>
        <w:tabs>
          <w:tab w:val="left" w:pos="3870"/>
          <w:tab w:val="left" w:pos="4085"/>
        </w:tabs>
        <w:spacing w:line="560" w:lineRule="exact"/>
        <w:ind w:left="567"/>
        <w:jc w:val="left"/>
        <w:rPr>
          <w:rFonts w:ascii="宋体" w:hAnsi="宋体" w:cs="宋体"/>
          <w:sz w:val="24"/>
        </w:rPr>
      </w:pPr>
      <w:r>
        <w:rPr>
          <w:rFonts w:hint="eastAsia" w:ascii="宋体" w:hAnsi="宋体" w:cs="宋体"/>
          <w:sz w:val="24"/>
        </w:rPr>
        <w:t>D、投标报价明细表；</w:t>
      </w:r>
    </w:p>
    <w:p>
      <w:pPr>
        <w:tabs>
          <w:tab w:val="left" w:pos="3870"/>
          <w:tab w:val="left" w:pos="4085"/>
        </w:tabs>
        <w:spacing w:line="560" w:lineRule="exact"/>
        <w:ind w:left="567"/>
        <w:jc w:val="left"/>
        <w:rPr>
          <w:rFonts w:ascii="宋体" w:hAnsi="宋体" w:cs="宋体"/>
          <w:sz w:val="24"/>
        </w:rPr>
      </w:pPr>
      <w:r>
        <w:rPr>
          <w:rFonts w:hint="eastAsia" w:ascii="宋体" w:hAnsi="宋体" w:cs="宋体"/>
          <w:sz w:val="24"/>
        </w:rPr>
        <w:t>E、</w:t>
      </w:r>
      <w:r>
        <w:rPr>
          <w:rFonts w:hint="eastAsia" w:ascii="宋体" w:hAnsi="宋体" w:cs="宋体"/>
          <w:kern w:val="0"/>
          <w:sz w:val="24"/>
        </w:rPr>
        <w:t>《中小企业声明函》（如有）；</w:t>
      </w:r>
    </w:p>
    <w:p>
      <w:pPr>
        <w:spacing w:line="560" w:lineRule="exact"/>
        <w:ind w:firstLine="600" w:firstLineChars="250"/>
        <w:jc w:val="left"/>
        <w:rPr>
          <w:rFonts w:ascii="宋体" w:hAnsi="宋体"/>
          <w:bCs/>
          <w:sz w:val="24"/>
        </w:rPr>
      </w:pPr>
      <w:r>
        <w:rPr>
          <w:rFonts w:hint="eastAsia" w:ascii="宋体" w:hAnsi="宋体"/>
          <w:bCs/>
          <w:sz w:val="24"/>
        </w:rPr>
        <w:t>F、投标人根据本项目评标办法需要提供的其他资料。</w:t>
      </w:r>
    </w:p>
    <w:p>
      <w:pPr>
        <w:spacing w:line="560" w:lineRule="exact"/>
        <w:ind w:firstLine="482" w:firstLineChars="200"/>
        <w:jc w:val="left"/>
        <w:rPr>
          <w:rFonts w:ascii="宋体" w:hAnsi="宋体" w:cs="宋体"/>
          <w:b/>
          <w:bCs/>
          <w:sz w:val="24"/>
        </w:rPr>
      </w:pPr>
      <w:r>
        <w:rPr>
          <w:rFonts w:hint="eastAsia" w:ascii="宋体" w:hAnsi="宋体" w:cs="宋体"/>
          <w:b/>
          <w:bCs/>
          <w:sz w:val="24"/>
        </w:rPr>
        <w:t>（</w:t>
      </w:r>
      <w:r>
        <w:rPr>
          <w:rFonts w:ascii="宋体" w:hAnsi="宋体" w:cs="宋体"/>
          <w:b/>
          <w:bCs/>
          <w:sz w:val="24"/>
        </w:rPr>
        <w:t>3</w:t>
      </w:r>
      <w:r>
        <w:rPr>
          <w:rFonts w:hint="eastAsia" w:ascii="宋体" w:hAnsi="宋体" w:cs="宋体"/>
          <w:b/>
          <w:bCs/>
          <w:sz w:val="24"/>
        </w:rPr>
        <w:t>）技术文件</w:t>
      </w:r>
    </w:p>
    <w:p>
      <w:pPr>
        <w:spacing w:line="560" w:lineRule="exact"/>
        <w:ind w:firstLine="480" w:firstLineChars="200"/>
        <w:rPr>
          <w:rFonts w:ascii="宋体" w:hAnsi="宋体" w:cs="宋体"/>
          <w:sz w:val="24"/>
        </w:rPr>
      </w:pPr>
      <w:r>
        <w:rPr>
          <w:rFonts w:hint="eastAsia" w:ascii="宋体" w:hAnsi="宋体" w:cs="宋体"/>
          <w:sz w:val="24"/>
        </w:rPr>
        <w:t>A、投标货物的总体说明；</w:t>
      </w:r>
    </w:p>
    <w:p>
      <w:pPr>
        <w:spacing w:line="560" w:lineRule="exact"/>
        <w:ind w:firstLine="480" w:firstLineChars="200"/>
        <w:rPr>
          <w:rFonts w:ascii="宋体" w:hAnsi="宋体" w:cs="宋体"/>
          <w:sz w:val="24"/>
        </w:rPr>
      </w:pPr>
      <w:r>
        <w:rPr>
          <w:rFonts w:hint="eastAsia" w:ascii="宋体" w:hAnsi="宋体" w:cs="宋体"/>
          <w:sz w:val="24"/>
        </w:rPr>
        <w:t>B、</w:t>
      </w:r>
      <w:r>
        <w:rPr>
          <w:rFonts w:hint="eastAsia" w:ascii="宋体" w:hAnsi="宋体" w:cs="宋体"/>
          <w:kern w:val="0"/>
          <w:sz w:val="24"/>
        </w:rPr>
        <w:t>投标人所投产品的技术参数</w:t>
      </w:r>
      <w:r>
        <w:rPr>
          <w:rFonts w:hint="eastAsia" w:ascii="宋体" w:hAnsi="宋体" w:cs="宋体"/>
          <w:sz w:val="24"/>
        </w:rPr>
        <w:t>、执行标准</w:t>
      </w:r>
    </w:p>
    <w:p>
      <w:pPr>
        <w:spacing w:line="560" w:lineRule="exact"/>
        <w:ind w:firstLine="480" w:firstLineChars="200"/>
        <w:rPr>
          <w:rFonts w:ascii="宋体" w:hAnsi="宋体" w:cs="宋体"/>
          <w:sz w:val="24"/>
        </w:rPr>
      </w:pPr>
      <w:r>
        <w:rPr>
          <w:rFonts w:hint="eastAsia" w:ascii="宋体" w:hAnsi="宋体" w:cs="宋体"/>
          <w:sz w:val="24"/>
        </w:rPr>
        <w:t>C、商务及技术偏离表；</w:t>
      </w:r>
    </w:p>
    <w:p>
      <w:pPr>
        <w:spacing w:line="560" w:lineRule="exact"/>
        <w:ind w:firstLine="480" w:firstLineChars="200"/>
        <w:rPr>
          <w:rFonts w:ascii="宋体" w:hAnsi="宋体" w:cs="宋体"/>
          <w:sz w:val="24"/>
        </w:rPr>
      </w:pPr>
      <w:r>
        <w:rPr>
          <w:rFonts w:hint="eastAsia" w:ascii="宋体" w:hAnsi="宋体" w:cs="宋体"/>
          <w:sz w:val="24"/>
        </w:rPr>
        <w:t>D、实施方案、交货计划及验收方案；</w:t>
      </w:r>
    </w:p>
    <w:p>
      <w:pPr>
        <w:spacing w:line="560" w:lineRule="exact"/>
        <w:ind w:firstLine="480" w:firstLineChars="200"/>
        <w:rPr>
          <w:rFonts w:ascii="宋体" w:hAnsi="宋体" w:cs="宋体"/>
          <w:sz w:val="24"/>
        </w:rPr>
      </w:pPr>
      <w:r>
        <w:rPr>
          <w:rFonts w:hint="eastAsia" w:ascii="宋体" w:hAnsi="宋体" w:cs="宋体"/>
          <w:sz w:val="24"/>
        </w:rPr>
        <w:t>E、交货期、售后服务响应程度等承诺及其他；</w:t>
      </w:r>
    </w:p>
    <w:p>
      <w:pPr>
        <w:spacing w:line="560" w:lineRule="exact"/>
        <w:ind w:firstLine="480" w:firstLineChars="200"/>
        <w:rPr>
          <w:rFonts w:ascii="宋体" w:hAnsi="宋体" w:cs="宋体"/>
          <w:sz w:val="24"/>
        </w:rPr>
      </w:pPr>
      <w:r>
        <w:rPr>
          <w:rFonts w:hint="eastAsia" w:ascii="宋体" w:hAnsi="宋体" w:cs="宋体"/>
          <w:sz w:val="24"/>
        </w:rPr>
        <w:t>F、投标人满足本项目评标办法认为所需提供的其他材料。</w:t>
      </w:r>
    </w:p>
    <w:p>
      <w:pPr>
        <w:spacing w:line="560" w:lineRule="exact"/>
        <w:ind w:firstLine="482" w:firstLineChars="200"/>
        <w:rPr>
          <w:rFonts w:ascii="宋体" w:hAnsi="宋体" w:cs="宋体"/>
          <w:b/>
          <w:bCs/>
          <w:sz w:val="24"/>
          <w:u w:val="single"/>
        </w:rPr>
      </w:pPr>
      <w:r>
        <w:rPr>
          <w:rFonts w:hint="eastAsia" w:ascii="宋体" w:hAnsi="宋体" w:cs="宋体"/>
          <w:b/>
          <w:bCs/>
          <w:sz w:val="24"/>
          <w:u w:val="single"/>
        </w:rPr>
        <w:t>各投标人根据评分标准自行清晰组织文稿，也可自行增加认为需要补充的内容。</w:t>
      </w:r>
    </w:p>
    <w:p>
      <w:pPr>
        <w:spacing w:line="56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）开标一览表的要求</w:t>
      </w:r>
    </w:p>
    <w:p>
      <w:pPr>
        <w:spacing w:line="560" w:lineRule="exact"/>
        <w:ind w:firstLine="482" w:firstLineChars="200"/>
        <w:rPr>
          <w:rFonts w:ascii="宋体" w:hAnsi="宋体" w:cs="宋体"/>
          <w:b/>
          <w:sz w:val="24"/>
        </w:rPr>
      </w:pPr>
      <w:r>
        <w:rPr>
          <w:rFonts w:hint="eastAsia" w:ascii="宋体" w:hAnsi="宋体" w:cs="宋体"/>
          <w:b/>
          <w:sz w:val="24"/>
          <w:u w:val="single"/>
        </w:rPr>
        <w:t>开标一览表密封袋里须附（法定代表人身份证明书）或（授权委托代理人的身份证复印件及授权委托书）</w:t>
      </w:r>
    </w:p>
    <w:p>
      <w:pPr>
        <w:spacing w:line="560" w:lineRule="exact"/>
        <w:ind w:firstLine="480" w:firstLineChars="200"/>
        <w:jc w:val="left"/>
        <w:rPr>
          <w:rFonts w:ascii="宋体" w:hAnsi="宋体" w:cs="宋体"/>
          <w:sz w:val="24"/>
        </w:rPr>
      </w:pPr>
      <w:r>
        <w:rPr>
          <w:rFonts w:hint="eastAsia" w:ascii="宋体" w:hAnsi="宋体" w:cs="宋体"/>
          <w:sz w:val="24"/>
        </w:rPr>
        <w:t>3.1.2 第六章“投标文件格式”要求提供相关证明材料的复印件作为附件的，投标人应按要求在投标文件中提供相应材料，否则不予认可。</w:t>
      </w:r>
    </w:p>
    <w:p>
      <w:pPr>
        <w:pStyle w:val="5"/>
        <w:spacing w:beforeLines="0" w:line="560" w:lineRule="exact"/>
        <w:ind w:firstLine="480" w:firstLineChars="200"/>
        <w:jc w:val="left"/>
        <w:rPr>
          <w:rFonts w:ascii="宋体" w:hAnsi="宋体" w:eastAsia="宋体" w:cs="宋体"/>
          <w:sz w:val="24"/>
        </w:rPr>
      </w:pPr>
      <w:bookmarkStart w:id="142" w:name="_Toc387526301"/>
      <w:bookmarkStart w:id="143" w:name="_Toc445046826"/>
      <w:bookmarkStart w:id="144" w:name="_Toc397928567"/>
      <w:bookmarkStart w:id="145" w:name="_Toc387526197"/>
      <w:bookmarkStart w:id="146" w:name="_Toc387526393"/>
      <w:bookmarkStart w:id="147" w:name="_Toc10820"/>
      <w:r>
        <w:rPr>
          <w:rFonts w:hint="eastAsia" w:ascii="宋体" w:hAnsi="宋体" w:eastAsia="宋体" w:cs="宋体"/>
          <w:sz w:val="24"/>
        </w:rPr>
        <w:t>3.2 投标报价</w:t>
      </w:r>
      <w:bookmarkEnd w:id="142"/>
      <w:bookmarkEnd w:id="143"/>
      <w:bookmarkEnd w:id="144"/>
      <w:bookmarkEnd w:id="145"/>
      <w:bookmarkEnd w:id="146"/>
      <w:bookmarkEnd w:id="147"/>
    </w:p>
    <w:p>
      <w:pPr>
        <w:spacing w:line="560" w:lineRule="exact"/>
        <w:ind w:firstLine="480" w:firstLineChars="200"/>
        <w:jc w:val="left"/>
        <w:rPr>
          <w:rFonts w:ascii="宋体" w:hAnsi="宋体" w:cs="宋体"/>
          <w:sz w:val="24"/>
        </w:rPr>
      </w:pPr>
      <w:r>
        <w:rPr>
          <w:rFonts w:hint="eastAsia" w:ascii="宋体" w:hAnsi="宋体" w:cs="宋体"/>
          <w:sz w:val="24"/>
        </w:rPr>
        <w:t>3.2.1投标报价应包含本招标文件中的全部内容所需的所有费用。</w:t>
      </w:r>
    </w:p>
    <w:p>
      <w:pPr>
        <w:spacing w:line="560" w:lineRule="exact"/>
        <w:ind w:firstLine="480" w:firstLineChars="200"/>
        <w:jc w:val="left"/>
        <w:rPr>
          <w:rFonts w:ascii="宋体" w:hAnsi="宋体" w:cs="宋体"/>
          <w:sz w:val="24"/>
        </w:rPr>
      </w:pPr>
      <w:r>
        <w:rPr>
          <w:rFonts w:hint="eastAsia" w:ascii="宋体" w:hAnsi="宋体" w:cs="宋体"/>
          <w:sz w:val="24"/>
        </w:rPr>
        <w:t>3.2.2投标人按投标人须知前附表的具体规定进行报价。</w:t>
      </w:r>
    </w:p>
    <w:p>
      <w:pPr>
        <w:spacing w:line="560" w:lineRule="exact"/>
        <w:ind w:firstLine="480" w:firstLineChars="200"/>
        <w:jc w:val="left"/>
        <w:rPr>
          <w:rFonts w:ascii="宋体" w:hAnsi="宋体" w:cs="宋体"/>
          <w:sz w:val="24"/>
        </w:rPr>
      </w:pPr>
      <w:r>
        <w:rPr>
          <w:rFonts w:hint="eastAsia" w:ascii="宋体" w:hAnsi="宋体" w:cs="宋体"/>
          <w:sz w:val="24"/>
        </w:rPr>
        <w:t>3.2.3招标人设有最高投标限价的，投标人的投标报价不得超过最高投标限价，最高投标限价见投标人须知前附表。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3.2.4报价方式</w:t>
      </w:r>
      <w:bookmarkStart w:id="148" w:name="_Toc21008"/>
      <w:bookmarkStart w:id="149" w:name="_Toc387526198"/>
      <w:bookmarkStart w:id="150" w:name="_Toc397928568"/>
      <w:bookmarkStart w:id="151" w:name="_Toc387526394"/>
      <w:bookmarkStart w:id="152" w:name="_Toc445046827"/>
      <w:bookmarkStart w:id="153" w:name="_Toc387526302"/>
    </w:p>
    <w:p>
      <w:pPr>
        <w:spacing w:line="560" w:lineRule="exact"/>
        <w:ind w:firstLine="480" w:firstLineChars="200"/>
        <w:rPr>
          <w:rFonts w:ascii="宋体" w:hAnsi="宋体" w:cs="宋体"/>
          <w:sz w:val="24"/>
        </w:rPr>
      </w:pPr>
      <w:r>
        <w:rPr>
          <w:rFonts w:hint="eastAsia" w:ascii="宋体" w:hAnsi="宋体" w:cs="宋体"/>
          <w:sz w:val="24"/>
        </w:rPr>
        <w:t>投标报价文件中的投标单价是履行合同的最终结算单价，投标报价应包括材料费、人工费、服务费、运输费、检测费、购买及制作标书费、税费、招标代理费、利润等费用、政策性文件规定及合同包含的所有风险、责任等各项应有费用。凡因质量问题所造成的一切损失及费用均由中标人承担。投标人应先到项目现场踏勘以充分了解项目实施地点位置、情况、道路、储存空间、装卸限制以及任何其他足以影响承包价的情况，任何因忽视或误解工地情况而导致的索赔或工期延长申请将不被批准。</w:t>
      </w:r>
    </w:p>
    <w:p>
      <w:pPr>
        <w:pStyle w:val="5"/>
        <w:spacing w:beforeLines="0" w:line="560" w:lineRule="exact"/>
        <w:ind w:firstLine="480" w:firstLineChars="200"/>
        <w:jc w:val="left"/>
        <w:rPr>
          <w:rFonts w:ascii="宋体" w:hAnsi="宋体" w:eastAsia="宋体" w:cs="宋体"/>
          <w:sz w:val="24"/>
        </w:rPr>
      </w:pPr>
      <w:r>
        <w:rPr>
          <w:rFonts w:hint="eastAsia" w:ascii="宋体" w:hAnsi="宋体" w:eastAsia="宋体" w:cs="宋体"/>
          <w:sz w:val="24"/>
        </w:rPr>
        <w:t>3.3 投标有效期</w:t>
      </w:r>
      <w:bookmarkEnd w:id="148"/>
      <w:bookmarkEnd w:id="149"/>
      <w:bookmarkEnd w:id="150"/>
      <w:bookmarkEnd w:id="151"/>
      <w:bookmarkEnd w:id="152"/>
      <w:bookmarkEnd w:id="153"/>
    </w:p>
    <w:p>
      <w:pPr>
        <w:spacing w:line="560" w:lineRule="exact"/>
        <w:ind w:firstLine="480" w:firstLineChars="200"/>
        <w:jc w:val="left"/>
        <w:rPr>
          <w:rFonts w:ascii="宋体" w:hAnsi="宋体" w:cs="宋体"/>
          <w:sz w:val="24"/>
        </w:rPr>
      </w:pPr>
      <w:r>
        <w:rPr>
          <w:rFonts w:hint="eastAsia" w:ascii="宋体" w:hAnsi="宋体" w:cs="宋体"/>
          <w:sz w:val="24"/>
        </w:rPr>
        <w:t>3.3.1 在投标人须知前附表第3.3.1条规定的投标有效期内，投标人不得要求撤销或修改其投标文件。</w:t>
      </w:r>
    </w:p>
    <w:p>
      <w:pPr>
        <w:pStyle w:val="5"/>
        <w:spacing w:beforeLines="0" w:line="560" w:lineRule="exact"/>
        <w:ind w:firstLine="480" w:firstLineChars="200"/>
        <w:jc w:val="left"/>
        <w:rPr>
          <w:rFonts w:ascii="宋体" w:hAnsi="宋体" w:eastAsia="宋体" w:cs="宋体"/>
          <w:sz w:val="24"/>
        </w:rPr>
      </w:pPr>
      <w:bookmarkStart w:id="154" w:name="_Toc445046829"/>
      <w:bookmarkStart w:id="155" w:name="_Toc397928570"/>
      <w:bookmarkStart w:id="156" w:name="_Toc24952"/>
      <w:bookmarkStart w:id="157" w:name="_Toc269310939"/>
      <w:bookmarkStart w:id="158" w:name="_Toc339359765"/>
      <w:bookmarkStart w:id="159" w:name="_Toc324255909"/>
      <w:r>
        <w:rPr>
          <w:rFonts w:hint="eastAsia" w:ascii="宋体" w:hAnsi="宋体" w:eastAsia="宋体" w:cs="宋体"/>
          <w:sz w:val="24"/>
        </w:rPr>
        <w:t>3.5 资格审查资料</w:t>
      </w:r>
      <w:bookmarkEnd w:id="154"/>
      <w:bookmarkEnd w:id="155"/>
      <w:bookmarkEnd w:id="156"/>
    </w:p>
    <w:p>
      <w:pPr>
        <w:spacing w:line="560" w:lineRule="exact"/>
        <w:ind w:firstLine="480" w:firstLineChars="200"/>
        <w:jc w:val="left"/>
        <w:rPr>
          <w:rFonts w:ascii="宋体" w:hAnsi="宋体" w:cs="宋体"/>
          <w:sz w:val="24"/>
        </w:rPr>
      </w:pPr>
      <w:r>
        <w:rPr>
          <w:rFonts w:hint="eastAsia" w:ascii="宋体" w:hAnsi="宋体" w:cs="宋体"/>
          <w:sz w:val="24"/>
        </w:rPr>
        <w:t>投标人在编制投标文件时，应按照本章3.1的要求提供资料。</w:t>
      </w:r>
    </w:p>
    <w:p>
      <w:pPr>
        <w:pStyle w:val="5"/>
        <w:spacing w:beforeLines="0" w:line="560" w:lineRule="exact"/>
        <w:ind w:firstLine="480" w:firstLineChars="200"/>
        <w:jc w:val="left"/>
        <w:rPr>
          <w:rFonts w:ascii="宋体" w:hAnsi="宋体" w:eastAsia="宋体" w:cs="宋体"/>
          <w:sz w:val="24"/>
        </w:rPr>
      </w:pPr>
      <w:bookmarkStart w:id="160" w:name="_Toc387526200"/>
      <w:bookmarkStart w:id="161" w:name="_Toc387526396"/>
      <w:bookmarkStart w:id="162" w:name="_Toc22895"/>
      <w:bookmarkStart w:id="163" w:name="_Toc445046830"/>
      <w:bookmarkStart w:id="164" w:name="_Toc397928571"/>
      <w:bookmarkStart w:id="165" w:name="_Toc387526304"/>
      <w:r>
        <w:rPr>
          <w:rFonts w:hint="eastAsia" w:ascii="宋体" w:hAnsi="宋体" w:eastAsia="宋体" w:cs="宋体"/>
          <w:sz w:val="24"/>
        </w:rPr>
        <w:t>3.6 备选投标方案</w:t>
      </w:r>
      <w:bookmarkEnd w:id="157"/>
      <w:bookmarkEnd w:id="158"/>
      <w:bookmarkEnd w:id="159"/>
      <w:bookmarkEnd w:id="160"/>
      <w:bookmarkEnd w:id="161"/>
      <w:bookmarkEnd w:id="162"/>
      <w:bookmarkEnd w:id="163"/>
      <w:bookmarkEnd w:id="164"/>
      <w:bookmarkEnd w:id="165"/>
    </w:p>
    <w:p>
      <w:pPr>
        <w:spacing w:line="560" w:lineRule="exact"/>
        <w:ind w:firstLine="480" w:firstLineChars="200"/>
        <w:jc w:val="left"/>
        <w:rPr>
          <w:rFonts w:ascii="宋体" w:hAnsi="宋体" w:cs="宋体"/>
          <w:sz w:val="24"/>
        </w:rPr>
      </w:pPr>
      <w:r>
        <w:rPr>
          <w:rFonts w:hint="eastAsia" w:ascii="宋体" w:hAnsi="宋体" w:cs="宋体"/>
          <w:sz w:val="24"/>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pPr>
        <w:pStyle w:val="5"/>
        <w:spacing w:beforeLines="0" w:line="560" w:lineRule="exact"/>
        <w:ind w:firstLine="480" w:firstLineChars="200"/>
        <w:jc w:val="left"/>
        <w:rPr>
          <w:rFonts w:ascii="宋体" w:hAnsi="宋体" w:eastAsia="宋体" w:cs="宋体"/>
          <w:sz w:val="24"/>
        </w:rPr>
      </w:pPr>
      <w:bookmarkStart w:id="166" w:name="_Toc387526201"/>
      <w:bookmarkStart w:id="167" w:name="_Toc387526397"/>
      <w:bookmarkStart w:id="168" w:name="_Toc445046831"/>
      <w:bookmarkStart w:id="169" w:name="_Toc16855"/>
      <w:bookmarkStart w:id="170" w:name="_Toc387526305"/>
      <w:bookmarkStart w:id="171" w:name="_Toc397928572"/>
      <w:r>
        <w:rPr>
          <w:rFonts w:hint="eastAsia" w:ascii="宋体" w:hAnsi="宋体" w:eastAsia="宋体" w:cs="宋体"/>
          <w:sz w:val="24"/>
        </w:rPr>
        <w:t>3.7 投标文件的编制</w:t>
      </w:r>
      <w:bookmarkEnd w:id="166"/>
      <w:bookmarkEnd w:id="167"/>
      <w:bookmarkEnd w:id="168"/>
      <w:bookmarkEnd w:id="169"/>
      <w:bookmarkEnd w:id="170"/>
      <w:bookmarkEnd w:id="171"/>
    </w:p>
    <w:p>
      <w:pPr>
        <w:spacing w:line="560" w:lineRule="exact"/>
        <w:ind w:firstLine="480" w:firstLineChars="200"/>
        <w:jc w:val="left"/>
        <w:rPr>
          <w:rFonts w:ascii="宋体" w:hAnsi="宋体" w:cs="宋体"/>
          <w:sz w:val="24"/>
        </w:rPr>
      </w:pPr>
      <w:r>
        <w:rPr>
          <w:rFonts w:hint="eastAsia" w:ascii="宋体" w:hAnsi="宋体" w:cs="宋体"/>
          <w:sz w:val="24"/>
        </w:rPr>
        <w:t>3.7.1 投标文件应按“投标文件格式”进行编写，如有必要，可以增加附页，作为投标文件的组成部分。</w:t>
      </w:r>
    </w:p>
    <w:p>
      <w:pPr>
        <w:spacing w:line="560" w:lineRule="exact"/>
        <w:ind w:firstLine="480" w:firstLineChars="200"/>
        <w:jc w:val="left"/>
        <w:rPr>
          <w:rFonts w:ascii="宋体" w:hAnsi="宋体" w:cs="宋体"/>
          <w:sz w:val="24"/>
        </w:rPr>
      </w:pPr>
      <w:r>
        <w:rPr>
          <w:rFonts w:hint="eastAsia" w:ascii="宋体" w:hAnsi="宋体" w:cs="宋体"/>
          <w:sz w:val="24"/>
        </w:rPr>
        <w:t>3.7.2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560" w:lineRule="exact"/>
        <w:ind w:firstLine="480" w:firstLineChars="200"/>
        <w:jc w:val="left"/>
        <w:rPr>
          <w:rFonts w:ascii="宋体" w:hAnsi="宋体" w:cs="宋体"/>
          <w:sz w:val="24"/>
        </w:rPr>
      </w:pPr>
      <w:r>
        <w:rPr>
          <w:rFonts w:hint="eastAsia" w:ascii="宋体" w:hAnsi="宋体" w:cs="宋体"/>
          <w:sz w:val="24"/>
        </w:rPr>
        <w:t>3.7.3 投标文件正本一份，副本份数见投标人须知前附表。正本和副本的封面上应清楚地标记“正本”或“副本”的字样。当副本和正本不一致时，以正本为准。</w:t>
      </w:r>
    </w:p>
    <w:p>
      <w:pPr>
        <w:spacing w:line="560" w:lineRule="exact"/>
        <w:ind w:firstLine="480" w:firstLineChars="200"/>
        <w:jc w:val="left"/>
        <w:rPr>
          <w:rFonts w:ascii="宋体" w:hAnsi="宋体" w:cs="宋体"/>
          <w:sz w:val="24"/>
        </w:rPr>
      </w:pPr>
      <w:r>
        <w:rPr>
          <w:rFonts w:hint="eastAsia" w:ascii="宋体" w:hAnsi="宋体" w:cs="宋体"/>
          <w:sz w:val="24"/>
        </w:rPr>
        <w:t>3.7.4 投标文件的正本与副本应分别装订成册，并编制目录，具体装订要求见投标人须知前附表规定。</w:t>
      </w:r>
    </w:p>
    <w:p>
      <w:pPr>
        <w:spacing w:line="560" w:lineRule="exact"/>
        <w:ind w:firstLine="482" w:firstLineChars="200"/>
        <w:rPr>
          <w:rFonts w:ascii="宋体" w:hAnsi="宋体" w:cs="宋体"/>
          <w:sz w:val="24"/>
        </w:rPr>
      </w:pPr>
      <w:bookmarkStart w:id="172" w:name="_Toc369077564"/>
      <w:bookmarkStart w:id="173" w:name="_Toc397928573"/>
      <w:bookmarkStart w:id="174" w:name="_Toc387526202"/>
      <w:bookmarkStart w:id="175" w:name="_Toc387526306"/>
      <w:bookmarkStart w:id="176" w:name="_Toc363329373"/>
      <w:bookmarkStart w:id="177" w:name="_Toc184635074"/>
      <w:bookmarkStart w:id="178" w:name="_Toc387526398"/>
      <w:bookmarkStart w:id="179" w:name="_Toc24421"/>
      <w:bookmarkStart w:id="180" w:name="_Toc445046832"/>
      <w:bookmarkStart w:id="181" w:name="_Toc368760430"/>
      <w:bookmarkStart w:id="182" w:name="_Toc367894801"/>
      <w:bookmarkStart w:id="183" w:name="_Toc368759378"/>
      <w:bookmarkStart w:id="184" w:name="_Toc363329374"/>
      <w:bookmarkStart w:id="185" w:name="_Toc368759379"/>
      <w:bookmarkStart w:id="186" w:name="_Toc184635075"/>
      <w:bookmarkStart w:id="187" w:name="_Toc367894802"/>
      <w:r>
        <w:rPr>
          <w:rFonts w:hint="eastAsia" w:ascii="宋体" w:hAnsi="宋体" w:cs="宋体"/>
          <w:b/>
          <w:bCs/>
          <w:sz w:val="24"/>
        </w:rPr>
        <w:t>4.投标</w:t>
      </w:r>
      <w:bookmarkEnd w:id="172"/>
      <w:bookmarkEnd w:id="173"/>
      <w:bookmarkEnd w:id="174"/>
      <w:bookmarkEnd w:id="175"/>
      <w:bookmarkEnd w:id="176"/>
      <w:bookmarkEnd w:id="177"/>
      <w:bookmarkEnd w:id="178"/>
      <w:bookmarkEnd w:id="179"/>
      <w:bookmarkEnd w:id="180"/>
      <w:bookmarkEnd w:id="181"/>
      <w:bookmarkEnd w:id="182"/>
      <w:bookmarkEnd w:id="183"/>
    </w:p>
    <w:p>
      <w:pPr>
        <w:pStyle w:val="5"/>
        <w:spacing w:beforeLines="0" w:line="560" w:lineRule="exact"/>
        <w:ind w:firstLine="480" w:firstLineChars="200"/>
        <w:jc w:val="left"/>
        <w:rPr>
          <w:rFonts w:ascii="宋体" w:hAnsi="宋体" w:eastAsia="宋体" w:cs="宋体"/>
          <w:sz w:val="24"/>
        </w:rPr>
      </w:pPr>
      <w:bookmarkStart w:id="188" w:name="_Toc445046833"/>
      <w:bookmarkStart w:id="189" w:name="_Toc397928574"/>
      <w:bookmarkStart w:id="190" w:name="_Toc27481"/>
      <w:bookmarkStart w:id="191" w:name="_Toc387526399"/>
      <w:bookmarkStart w:id="192" w:name="_Toc387526203"/>
      <w:bookmarkStart w:id="193" w:name="_Toc387526307"/>
      <w:r>
        <w:rPr>
          <w:rFonts w:hint="eastAsia" w:ascii="宋体" w:hAnsi="宋体" w:eastAsia="宋体" w:cs="宋体"/>
          <w:sz w:val="24"/>
        </w:rPr>
        <w:t>4.1 投标文件的密封和标记</w:t>
      </w:r>
      <w:bookmarkEnd w:id="188"/>
    </w:p>
    <w:p>
      <w:pPr>
        <w:spacing w:line="560" w:lineRule="exact"/>
        <w:ind w:firstLine="480" w:firstLineChars="200"/>
        <w:jc w:val="left"/>
        <w:rPr>
          <w:rFonts w:ascii="宋体" w:hAnsi="宋体" w:cs="宋体"/>
          <w:sz w:val="24"/>
        </w:rPr>
      </w:pPr>
      <w:r>
        <w:rPr>
          <w:rFonts w:hint="eastAsia" w:ascii="宋体" w:hAnsi="宋体" w:cs="宋体"/>
          <w:sz w:val="24"/>
        </w:rPr>
        <w:t>4.1.1 投标文件应清楚地标记“正本”、“副本”字样，并包装密封提交；封套上分别写明招标人名称、标段名称和投标人名称，并加盖投标人公章。</w:t>
      </w:r>
      <w:bookmarkEnd w:id="189"/>
      <w:bookmarkEnd w:id="190"/>
      <w:bookmarkEnd w:id="191"/>
      <w:bookmarkEnd w:id="192"/>
      <w:bookmarkEnd w:id="193"/>
      <w:bookmarkStart w:id="194" w:name="_Toc387526400"/>
      <w:bookmarkStart w:id="195" w:name="_Toc387526308"/>
      <w:bookmarkStart w:id="196" w:name="_Toc7888"/>
      <w:bookmarkStart w:id="197" w:name="_Toc387526204"/>
    </w:p>
    <w:p>
      <w:pPr>
        <w:pStyle w:val="5"/>
        <w:spacing w:beforeLines="0" w:line="560" w:lineRule="exact"/>
        <w:ind w:firstLine="480" w:firstLineChars="200"/>
        <w:jc w:val="left"/>
        <w:rPr>
          <w:rFonts w:ascii="宋体" w:hAnsi="宋体" w:eastAsia="宋体" w:cs="宋体"/>
          <w:sz w:val="24"/>
        </w:rPr>
      </w:pPr>
      <w:bookmarkStart w:id="198" w:name="_Toc445046834"/>
      <w:bookmarkStart w:id="199" w:name="_Toc397928575"/>
      <w:r>
        <w:rPr>
          <w:rFonts w:hint="eastAsia" w:ascii="宋体" w:hAnsi="宋体" w:eastAsia="宋体" w:cs="宋体"/>
          <w:sz w:val="24"/>
        </w:rPr>
        <w:t>4.2 投标文件的递交</w:t>
      </w:r>
      <w:bookmarkEnd w:id="194"/>
      <w:bookmarkEnd w:id="195"/>
      <w:bookmarkEnd w:id="196"/>
      <w:bookmarkEnd w:id="197"/>
      <w:bookmarkEnd w:id="198"/>
      <w:bookmarkEnd w:id="199"/>
    </w:p>
    <w:p>
      <w:pPr>
        <w:spacing w:line="560" w:lineRule="exact"/>
        <w:ind w:firstLine="480" w:firstLineChars="200"/>
        <w:jc w:val="left"/>
        <w:rPr>
          <w:rFonts w:ascii="宋体" w:hAnsi="宋体" w:cs="宋体"/>
          <w:sz w:val="24"/>
        </w:rPr>
      </w:pPr>
      <w:r>
        <w:rPr>
          <w:rFonts w:hint="eastAsia" w:ascii="宋体" w:hAnsi="宋体" w:cs="宋体"/>
          <w:sz w:val="24"/>
        </w:rPr>
        <w:t>4.2.1 投标人应在投标人须知前附表规定的投标截止时间前递交投标文件。</w:t>
      </w:r>
    </w:p>
    <w:p>
      <w:pPr>
        <w:spacing w:line="560" w:lineRule="exact"/>
        <w:ind w:firstLine="480" w:firstLineChars="200"/>
        <w:jc w:val="left"/>
        <w:rPr>
          <w:rFonts w:ascii="宋体" w:hAnsi="宋体" w:cs="宋体"/>
          <w:sz w:val="24"/>
        </w:rPr>
      </w:pPr>
      <w:r>
        <w:rPr>
          <w:rFonts w:hint="eastAsia" w:ascii="宋体" w:hAnsi="宋体" w:cs="宋体"/>
          <w:sz w:val="24"/>
        </w:rPr>
        <w:t>4.2.2 投标人递交投标文件的地点：见投标人须知前附表。</w:t>
      </w:r>
    </w:p>
    <w:p>
      <w:pPr>
        <w:spacing w:line="560" w:lineRule="exact"/>
        <w:ind w:firstLine="480" w:firstLineChars="200"/>
        <w:jc w:val="left"/>
        <w:rPr>
          <w:rFonts w:ascii="宋体" w:hAnsi="宋体" w:cs="宋体"/>
          <w:sz w:val="24"/>
        </w:rPr>
      </w:pPr>
      <w:r>
        <w:rPr>
          <w:rFonts w:hint="eastAsia" w:ascii="宋体" w:hAnsi="宋体" w:cs="宋体"/>
          <w:sz w:val="24"/>
        </w:rPr>
        <w:t>4.2.3 除投标人须知前附表另有规定外，投标人所递交的投标文件不予退还。</w:t>
      </w:r>
    </w:p>
    <w:p>
      <w:pPr>
        <w:pStyle w:val="5"/>
        <w:spacing w:beforeLines="0" w:line="560" w:lineRule="exact"/>
        <w:ind w:firstLine="480" w:firstLineChars="200"/>
        <w:jc w:val="left"/>
        <w:rPr>
          <w:rFonts w:ascii="宋体" w:hAnsi="宋体" w:eastAsia="宋体" w:cs="宋体"/>
          <w:sz w:val="24"/>
        </w:rPr>
      </w:pPr>
      <w:bookmarkStart w:id="200" w:name="_Toc387526205"/>
      <w:bookmarkStart w:id="201" w:name="_Toc387526401"/>
      <w:bookmarkStart w:id="202" w:name="_Toc397928576"/>
      <w:bookmarkStart w:id="203" w:name="_Toc12008"/>
      <w:bookmarkStart w:id="204" w:name="_Toc445046835"/>
      <w:bookmarkStart w:id="205" w:name="_Toc387526309"/>
      <w:r>
        <w:rPr>
          <w:rFonts w:hint="eastAsia" w:ascii="宋体" w:hAnsi="宋体" w:eastAsia="宋体" w:cs="宋体"/>
          <w:sz w:val="24"/>
        </w:rPr>
        <w:t>4.3 投标文件的修改与撤回</w:t>
      </w:r>
      <w:bookmarkEnd w:id="200"/>
      <w:bookmarkEnd w:id="201"/>
      <w:bookmarkEnd w:id="202"/>
      <w:bookmarkEnd w:id="203"/>
      <w:bookmarkEnd w:id="204"/>
      <w:bookmarkEnd w:id="205"/>
    </w:p>
    <w:p>
      <w:pPr>
        <w:spacing w:line="560" w:lineRule="exact"/>
        <w:ind w:firstLine="480" w:firstLineChars="200"/>
        <w:jc w:val="left"/>
        <w:rPr>
          <w:rFonts w:ascii="宋体" w:hAnsi="宋体" w:cs="宋体"/>
          <w:sz w:val="24"/>
        </w:rPr>
      </w:pPr>
      <w:r>
        <w:rPr>
          <w:rFonts w:hint="eastAsia" w:ascii="宋体" w:hAnsi="宋体" w:cs="宋体"/>
          <w:sz w:val="24"/>
        </w:rPr>
        <w:t>4.3.1 在投标人须知前附表规定的投标截止时间前，投标人可以修改或撤回已递交的投标文件，但应以书面形式通知招标人。</w:t>
      </w:r>
    </w:p>
    <w:p>
      <w:pPr>
        <w:spacing w:line="560" w:lineRule="exact"/>
        <w:ind w:firstLine="480" w:firstLineChars="200"/>
        <w:jc w:val="left"/>
        <w:rPr>
          <w:rFonts w:ascii="宋体" w:hAnsi="宋体" w:cs="宋体"/>
          <w:sz w:val="24"/>
        </w:rPr>
      </w:pPr>
      <w:r>
        <w:rPr>
          <w:rFonts w:hint="eastAsia" w:ascii="宋体" w:hAnsi="宋体" w:cs="宋体"/>
          <w:sz w:val="24"/>
        </w:rPr>
        <w:t>4.3.2 投标人修改或撤回已递交投标文件的书面通知应按照本章第3.7.2 项的要求签字或盖章。招标人收到书面通知后，向投标人出具签收凭证。</w:t>
      </w:r>
    </w:p>
    <w:p>
      <w:pPr>
        <w:spacing w:line="560" w:lineRule="exact"/>
        <w:ind w:firstLine="480" w:firstLineChars="200"/>
        <w:jc w:val="left"/>
        <w:rPr>
          <w:rFonts w:ascii="宋体" w:hAnsi="宋体" w:cs="宋体"/>
          <w:sz w:val="24"/>
        </w:rPr>
      </w:pPr>
      <w:r>
        <w:rPr>
          <w:rFonts w:hint="eastAsia" w:ascii="宋体" w:hAnsi="宋体" w:cs="宋体"/>
          <w:sz w:val="24"/>
        </w:rPr>
        <w:t>4.3.3 修改的内容为投标文件的组成部分。修改的投标文件应按照本章第3 条、第4 条规定进行编制、密封、标记和递交，并标明“修改”字样。</w:t>
      </w:r>
    </w:p>
    <w:p>
      <w:pPr>
        <w:pStyle w:val="5"/>
        <w:spacing w:beforeLines="0" w:line="560" w:lineRule="exact"/>
        <w:ind w:firstLine="480" w:firstLineChars="200"/>
        <w:jc w:val="left"/>
        <w:rPr>
          <w:rFonts w:ascii="宋体" w:hAnsi="宋体" w:eastAsia="宋体" w:cs="宋体"/>
          <w:sz w:val="24"/>
        </w:rPr>
      </w:pPr>
      <w:bookmarkStart w:id="206" w:name="_Toc11740"/>
      <w:bookmarkStart w:id="207" w:name="_Toc397928577"/>
      <w:bookmarkStart w:id="208" w:name="_Toc445046836"/>
      <w:r>
        <w:rPr>
          <w:rFonts w:hint="eastAsia" w:ascii="宋体" w:hAnsi="宋体" w:eastAsia="宋体" w:cs="宋体"/>
          <w:sz w:val="24"/>
        </w:rPr>
        <w:t>4.4 不予接收的投标文件</w:t>
      </w:r>
      <w:bookmarkEnd w:id="206"/>
      <w:bookmarkEnd w:id="207"/>
      <w:bookmarkEnd w:id="208"/>
    </w:p>
    <w:p>
      <w:pPr>
        <w:spacing w:line="560" w:lineRule="exact"/>
        <w:ind w:firstLine="480" w:firstLineChars="200"/>
        <w:jc w:val="left"/>
        <w:rPr>
          <w:rFonts w:ascii="宋体" w:hAnsi="宋体" w:cs="宋体"/>
          <w:sz w:val="24"/>
        </w:rPr>
      </w:pPr>
      <w:r>
        <w:rPr>
          <w:rFonts w:hint="eastAsia" w:ascii="宋体" w:hAnsi="宋体" w:cs="宋体"/>
          <w:sz w:val="24"/>
        </w:rPr>
        <w:t>4.4.1未按本章第4.1.1款规定密封的投标文件，招标人有权不予接收。</w:t>
      </w:r>
    </w:p>
    <w:p>
      <w:pPr>
        <w:spacing w:line="560" w:lineRule="exact"/>
        <w:ind w:firstLine="480" w:firstLineChars="200"/>
        <w:jc w:val="left"/>
        <w:rPr>
          <w:rFonts w:ascii="宋体" w:hAnsi="宋体" w:cs="宋体"/>
          <w:sz w:val="24"/>
        </w:rPr>
      </w:pPr>
      <w:r>
        <w:rPr>
          <w:rFonts w:hint="eastAsia" w:ascii="宋体" w:hAnsi="宋体" w:cs="宋体"/>
          <w:sz w:val="24"/>
        </w:rPr>
        <w:t>4.4.2未按规定获取招标文件而来投标的，招标人有权不予接收。</w:t>
      </w:r>
    </w:p>
    <w:p>
      <w:pPr>
        <w:spacing w:line="560" w:lineRule="exact"/>
        <w:ind w:firstLine="480" w:firstLineChars="200"/>
        <w:jc w:val="left"/>
        <w:rPr>
          <w:rFonts w:ascii="宋体" w:hAnsi="宋体" w:cs="宋体"/>
          <w:sz w:val="24"/>
        </w:rPr>
      </w:pPr>
      <w:r>
        <w:rPr>
          <w:rFonts w:hint="eastAsia" w:ascii="宋体" w:hAnsi="宋体" w:cs="宋体"/>
          <w:sz w:val="24"/>
        </w:rPr>
        <w:t>4.4.3逾期送达或者未送达指定地点的投标文件，招标人不予接收；对在争议时间点接收的投标文件，后被认定逾期送达的，视同不予接收。</w:t>
      </w:r>
    </w:p>
    <w:p>
      <w:pPr>
        <w:pStyle w:val="46"/>
        <w:spacing w:before="0" w:after="0" w:line="560" w:lineRule="exact"/>
        <w:ind w:firstLine="482" w:firstLineChars="200"/>
        <w:jc w:val="left"/>
        <w:rPr>
          <w:rFonts w:ascii="宋体" w:hAnsi="宋体"/>
          <w:color w:val="auto"/>
          <w:sz w:val="24"/>
          <w:szCs w:val="24"/>
        </w:rPr>
      </w:pPr>
      <w:bookmarkStart w:id="209" w:name="_Toc397928578"/>
      <w:bookmarkStart w:id="210" w:name="_Toc368760431"/>
      <w:bookmarkStart w:id="211" w:name="_Toc387526206"/>
      <w:bookmarkStart w:id="212" w:name="_Toc387526402"/>
      <w:bookmarkStart w:id="213" w:name="_Toc22329"/>
      <w:bookmarkStart w:id="214" w:name="_Toc445046837"/>
      <w:bookmarkStart w:id="215" w:name="_Toc369077565"/>
      <w:bookmarkStart w:id="216" w:name="_Toc387526310"/>
      <w:bookmarkStart w:id="217" w:name="_Toc152045566"/>
      <w:bookmarkStart w:id="218" w:name="_Toc246996953"/>
      <w:bookmarkStart w:id="219" w:name="_Toc366679697"/>
      <w:bookmarkStart w:id="220" w:name="_Toc246996210"/>
      <w:bookmarkStart w:id="221" w:name="_Toc179632584"/>
      <w:bookmarkStart w:id="222" w:name="_Toc144974534"/>
      <w:bookmarkStart w:id="223" w:name="_Toc247085724"/>
      <w:bookmarkStart w:id="224" w:name="_Toc368759381"/>
      <w:bookmarkStart w:id="225" w:name="_Toc152042342"/>
      <w:r>
        <w:rPr>
          <w:rFonts w:hint="eastAsia" w:ascii="宋体" w:hAnsi="宋体"/>
          <w:color w:val="auto"/>
          <w:sz w:val="24"/>
          <w:szCs w:val="24"/>
        </w:rPr>
        <w:t>5.开标</w:t>
      </w:r>
      <w:bookmarkEnd w:id="209"/>
      <w:bookmarkEnd w:id="210"/>
      <w:bookmarkEnd w:id="211"/>
      <w:bookmarkEnd w:id="212"/>
      <w:bookmarkEnd w:id="213"/>
      <w:bookmarkEnd w:id="214"/>
      <w:bookmarkEnd w:id="215"/>
      <w:bookmarkEnd w:id="216"/>
    </w:p>
    <w:p>
      <w:pPr>
        <w:pStyle w:val="5"/>
        <w:spacing w:beforeLines="0" w:line="560" w:lineRule="exact"/>
        <w:ind w:firstLine="480" w:firstLineChars="200"/>
        <w:jc w:val="left"/>
        <w:rPr>
          <w:rFonts w:ascii="宋体" w:hAnsi="宋体" w:eastAsia="宋体" w:cs="宋体"/>
          <w:sz w:val="24"/>
        </w:rPr>
      </w:pPr>
      <w:bookmarkStart w:id="226" w:name="_Toc387526208"/>
      <w:bookmarkStart w:id="227" w:name="_Toc387526312"/>
      <w:bookmarkStart w:id="228" w:name="_Toc397928580"/>
      <w:bookmarkStart w:id="229" w:name="_Toc445046839"/>
      <w:bookmarkStart w:id="230" w:name="_Toc11103"/>
      <w:bookmarkStart w:id="231" w:name="_Toc387526404"/>
      <w:r>
        <w:rPr>
          <w:rFonts w:hint="eastAsia" w:ascii="宋体" w:hAnsi="宋体" w:eastAsia="宋体" w:cs="宋体"/>
          <w:sz w:val="24"/>
        </w:rPr>
        <w:t>5.1开标程序</w:t>
      </w:r>
      <w:bookmarkEnd w:id="226"/>
      <w:bookmarkEnd w:id="227"/>
      <w:bookmarkEnd w:id="228"/>
      <w:bookmarkEnd w:id="229"/>
      <w:bookmarkEnd w:id="230"/>
      <w:bookmarkEnd w:id="231"/>
    </w:p>
    <w:p>
      <w:pPr>
        <w:spacing w:line="560" w:lineRule="exact"/>
        <w:ind w:firstLine="480" w:firstLineChars="200"/>
        <w:jc w:val="left"/>
        <w:rPr>
          <w:rFonts w:ascii="宋体" w:hAnsi="宋体" w:cs="宋体"/>
          <w:sz w:val="24"/>
        </w:rPr>
      </w:pPr>
      <w:bookmarkStart w:id="232" w:name="_Toc368760432"/>
      <w:bookmarkStart w:id="233" w:name="_Toc184635076"/>
      <w:bookmarkStart w:id="234" w:name="_Toc369077566"/>
      <w:bookmarkStart w:id="235" w:name="_Toc367894803"/>
      <w:bookmarkStart w:id="236" w:name="_Toc363329375"/>
      <w:bookmarkStart w:id="237" w:name="_Toc368759380"/>
      <w:r>
        <w:rPr>
          <w:rFonts w:hint="eastAsia" w:ascii="宋体" w:hAnsi="宋体" w:cs="宋体"/>
          <w:sz w:val="24"/>
        </w:rPr>
        <w:t>（1）宣布开标纪律；</w:t>
      </w:r>
    </w:p>
    <w:p>
      <w:pPr>
        <w:spacing w:line="560" w:lineRule="exact"/>
        <w:ind w:firstLine="480" w:firstLineChars="200"/>
        <w:jc w:val="left"/>
        <w:rPr>
          <w:rFonts w:ascii="宋体" w:hAnsi="宋体" w:cs="宋体"/>
          <w:sz w:val="24"/>
        </w:rPr>
      </w:pPr>
      <w:r>
        <w:rPr>
          <w:rFonts w:hint="eastAsia" w:ascii="宋体" w:hAnsi="宋体" w:cs="宋体"/>
          <w:sz w:val="24"/>
        </w:rPr>
        <w:t>（2）由招标人代表随机抽取确定评标基准价计算系数（如有）；</w:t>
      </w:r>
    </w:p>
    <w:p>
      <w:pPr>
        <w:spacing w:line="560" w:lineRule="exact"/>
        <w:ind w:firstLine="480" w:firstLineChars="200"/>
        <w:jc w:val="left"/>
        <w:rPr>
          <w:rFonts w:ascii="宋体" w:hAnsi="宋体" w:cs="宋体"/>
          <w:sz w:val="24"/>
        </w:rPr>
      </w:pPr>
      <w:r>
        <w:rPr>
          <w:rFonts w:hint="eastAsia" w:ascii="宋体" w:hAnsi="宋体" w:cs="宋体"/>
          <w:sz w:val="24"/>
        </w:rPr>
        <w:t>（3）拆封投标文件并唱标；</w:t>
      </w:r>
    </w:p>
    <w:p>
      <w:pPr>
        <w:spacing w:line="560" w:lineRule="exact"/>
        <w:ind w:firstLine="480" w:firstLineChars="200"/>
        <w:jc w:val="left"/>
        <w:rPr>
          <w:rFonts w:ascii="宋体" w:hAnsi="宋体" w:cs="宋体"/>
          <w:sz w:val="24"/>
        </w:rPr>
      </w:pPr>
      <w:r>
        <w:rPr>
          <w:rFonts w:hint="eastAsia" w:ascii="宋体" w:hAnsi="宋体" w:cs="宋体"/>
          <w:sz w:val="24"/>
        </w:rPr>
        <w:t>（4）开标会议结束。</w:t>
      </w:r>
    </w:p>
    <w:p>
      <w:pPr>
        <w:spacing w:line="560" w:lineRule="exact"/>
        <w:ind w:firstLine="480" w:firstLineChars="200"/>
        <w:jc w:val="left"/>
        <w:rPr>
          <w:rFonts w:ascii="宋体" w:hAnsi="宋体" w:cs="宋体"/>
          <w:sz w:val="24"/>
        </w:rPr>
      </w:pPr>
      <w:r>
        <w:rPr>
          <w:rFonts w:hint="eastAsia" w:ascii="宋体" w:hAnsi="宋体" w:cs="宋体"/>
          <w:sz w:val="24"/>
        </w:rPr>
        <w:t>投标人对开标有异议的，应当在本标段腾讯会议中提出，招标人应当当场作出答复，并作好记录；如无法现场答复的，可转交评标委员会予以解决。</w:t>
      </w:r>
    </w:p>
    <w:p>
      <w:pPr>
        <w:pStyle w:val="46"/>
        <w:spacing w:before="0" w:after="0" w:line="560" w:lineRule="exact"/>
        <w:ind w:firstLine="482" w:firstLineChars="200"/>
        <w:jc w:val="left"/>
        <w:rPr>
          <w:rFonts w:ascii="宋体" w:hAnsi="宋体"/>
          <w:color w:val="auto"/>
          <w:sz w:val="24"/>
          <w:szCs w:val="24"/>
        </w:rPr>
      </w:pPr>
      <w:bookmarkStart w:id="238" w:name="_Toc387526405"/>
      <w:bookmarkStart w:id="239" w:name="_Toc22517"/>
      <w:bookmarkStart w:id="240" w:name="_Toc387526313"/>
      <w:bookmarkStart w:id="241" w:name="_Toc387526209"/>
      <w:bookmarkStart w:id="242" w:name="_Toc397928581"/>
      <w:bookmarkStart w:id="243" w:name="_Toc445046840"/>
      <w:r>
        <w:rPr>
          <w:rFonts w:hint="eastAsia" w:ascii="宋体" w:hAnsi="宋体"/>
          <w:color w:val="auto"/>
          <w:sz w:val="24"/>
          <w:szCs w:val="24"/>
        </w:rPr>
        <w:t>6.评标</w:t>
      </w:r>
      <w:bookmarkEnd w:id="232"/>
      <w:bookmarkEnd w:id="233"/>
      <w:bookmarkEnd w:id="234"/>
      <w:bookmarkEnd w:id="235"/>
      <w:bookmarkEnd w:id="236"/>
      <w:bookmarkEnd w:id="237"/>
      <w:bookmarkEnd w:id="238"/>
      <w:bookmarkEnd w:id="239"/>
      <w:bookmarkEnd w:id="240"/>
      <w:bookmarkEnd w:id="241"/>
      <w:bookmarkEnd w:id="242"/>
      <w:bookmarkEnd w:id="243"/>
    </w:p>
    <w:p>
      <w:pPr>
        <w:pStyle w:val="5"/>
        <w:spacing w:beforeLines="0" w:line="560" w:lineRule="exact"/>
        <w:ind w:firstLine="480" w:firstLineChars="200"/>
        <w:jc w:val="left"/>
        <w:rPr>
          <w:rFonts w:ascii="宋体" w:hAnsi="宋体" w:eastAsia="宋体" w:cs="宋体"/>
          <w:sz w:val="24"/>
        </w:rPr>
      </w:pPr>
      <w:bookmarkStart w:id="244" w:name="_Toc387526210"/>
      <w:bookmarkStart w:id="245" w:name="_Toc387526314"/>
      <w:bookmarkStart w:id="246" w:name="_Toc397928582"/>
      <w:bookmarkStart w:id="247" w:name="_Toc9909"/>
      <w:bookmarkStart w:id="248" w:name="_Toc445046841"/>
      <w:bookmarkStart w:id="249" w:name="_Toc387526406"/>
      <w:r>
        <w:rPr>
          <w:rFonts w:hint="eastAsia" w:ascii="宋体" w:hAnsi="宋体" w:eastAsia="宋体" w:cs="宋体"/>
          <w:sz w:val="24"/>
        </w:rPr>
        <w:t>6.1 评标委员会</w:t>
      </w:r>
      <w:bookmarkEnd w:id="244"/>
      <w:bookmarkEnd w:id="245"/>
      <w:bookmarkEnd w:id="246"/>
      <w:bookmarkEnd w:id="247"/>
      <w:bookmarkEnd w:id="248"/>
      <w:bookmarkEnd w:id="249"/>
    </w:p>
    <w:p>
      <w:pPr>
        <w:spacing w:line="560" w:lineRule="exact"/>
        <w:ind w:firstLine="480" w:firstLineChars="200"/>
        <w:jc w:val="left"/>
        <w:rPr>
          <w:rFonts w:ascii="宋体" w:hAnsi="宋体" w:cs="宋体"/>
          <w:sz w:val="24"/>
        </w:rPr>
      </w:pPr>
      <w:bookmarkStart w:id="250" w:name="_Toc269310951"/>
      <w:bookmarkStart w:id="251" w:name="_Toc324255922"/>
      <w:bookmarkStart w:id="252" w:name="_Toc339359778"/>
      <w:r>
        <w:rPr>
          <w:rFonts w:hint="eastAsia" w:ascii="宋体" w:hAnsi="宋体" w:cs="宋体"/>
          <w:sz w:val="24"/>
        </w:rPr>
        <w:t>6.1.1 评标由招标人依法组建的评标委员会负责。评标委员会由招标人代表以及有关技术、经济等方面的专家组成。</w:t>
      </w:r>
    </w:p>
    <w:p>
      <w:pPr>
        <w:spacing w:line="560" w:lineRule="exact"/>
        <w:ind w:firstLine="480" w:firstLineChars="200"/>
        <w:jc w:val="left"/>
        <w:rPr>
          <w:rFonts w:ascii="宋体" w:hAnsi="宋体" w:cs="宋体"/>
          <w:sz w:val="24"/>
        </w:rPr>
      </w:pPr>
      <w:r>
        <w:rPr>
          <w:rFonts w:hint="eastAsia" w:ascii="宋体" w:hAnsi="宋体" w:cs="宋体"/>
          <w:sz w:val="24"/>
        </w:rPr>
        <w:t>6.1.2 评标委员会成员有下列情形之一的，应当回避：</w:t>
      </w:r>
    </w:p>
    <w:p>
      <w:pPr>
        <w:spacing w:line="560" w:lineRule="exact"/>
        <w:ind w:firstLine="480" w:firstLineChars="200"/>
        <w:jc w:val="left"/>
        <w:rPr>
          <w:rFonts w:ascii="宋体" w:hAnsi="宋体" w:cs="宋体"/>
          <w:sz w:val="24"/>
        </w:rPr>
      </w:pPr>
      <w:r>
        <w:rPr>
          <w:rFonts w:hint="eastAsia" w:ascii="宋体" w:hAnsi="宋体" w:cs="宋体"/>
          <w:sz w:val="24"/>
        </w:rPr>
        <w:t>（1）投标人或投标人主要负责人的近亲属；</w:t>
      </w:r>
    </w:p>
    <w:p>
      <w:pPr>
        <w:spacing w:line="560" w:lineRule="exact"/>
        <w:ind w:firstLine="480" w:firstLineChars="200"/>
        <w:jc w:val="left"/>
        <w:rPr>
          <w:rFonts w:ascii="宋体" w:hAnsi="宋体" w:cs="宋体"/>
          <w:sz w:val="24"/>
        </w:rPr>
      </w:pPr>
      <w:r>
        <w:rPr>
          <w:rFonts w:hint="eastAsia" w:ascii="宋体" w:hAnsi="宋体" w:cs="宋体"/>
          <w:sz w:val="24"/>
        </w:rPr>
        <w:t>（2）项目主管部门或者行政监督部门的人员；</w:t>
      </w:r>
    </w:p>
    <w:p>
      <w:pPr>
        <w:spacing w:line="560" w:lineRule="exact"/>
        <w:ind w:firstLine="480" w:firstLineChars="200"/>
        <w:jc w:val="left"/>
        <w:rPr>
          <w:rFonts w:ascii="宋体" w:hAnsi="宋体" w:cs="宋体"/>
          <w:sz w:val="24"/>
        </w:rPr>
      </w:pPr>
      <w:r>
        <w:rPr>
          <w:rFonts w:hint="eastAsia" w:ascii="宋体" w:hAnsi="宋体" w:cs="宋体"/>
          <w:sz w:val="24"/>
        </w:rPr>
        <w:t>（3）与投标人有经济利益关系；</w:t>
      </w:r>
    </w:p>
    <w:p>
      <w:pPr>
        <w:spacing w:line="560" w:lineRule="exact"/>
        <w:ind w:firstLine="480" w:firstLineChars="200"/>
        <w:jc w:val="left"/>
        <w:rPr>
          <w:rFonts w:ascii="宋体" w:hAnsi="宋体" w:cs="宋体"/>
          <w:sz w:val="24"/>
        </w:rPr>
      </w:pPr>
      <w:r>
        <w:rPr>
          <w:rFonts w:hint="eastAsia" w:ascii="宋体" w:hAnsi="宋体" w:cs="宋体"/>
          <w:sz w:val="24"/>
        </w:rPr>
        <w:t>（4）曾因在招标、评标以及其他与招标投标有关活动中从事违法行为而受过行政处罚或刑事处罚的，且在处罚期内。</w:t>
      </w:r>
    </w:p>
    <w:p>
      <w:pPr>
        <w:pStyle w:val="5"/>
        <w:spacing w:beforeLines="0" w:line="560" w:lineRule="exact"/>
        <w:ind w:firstLine="480" w:firstLineChars="200"/>
        <w:jc w:val="left"/>
        <w:rPr>
          <w:rFonts w:ascii="宋体" w:hAnsi="宋体" w:eastAsia="宋体" w:cs="宋体"/>
          <w:sz w:val="24"/>
        </w:rPr>
      </w:pPr>
      <w:bookmarkStart w:id="253" w:name="_Toc387526315"/>
      <w:bookmarkStart w:id="254" w:name="_Toc387526407"/>
      <w:bookmarkStart w:id="255" w:name="_Toc397928583"/>
      <w:bookmarkStart w:id="256" w:name="_Toc387526211"/>
      <w:bookmarkStart w:id="257" w:name="_Toc12316"/>
      <w:bookmarkStart w:id="258" w:name="_Toc445046842"/>
      <w:r>
        <w:rPr>
          <w:rFonts w:hint="eastAsia" w:ascii="宋体" w:hAnsi="宋体" w:eastAsia="宋体" w:cs="宋体"/>
          <w:sz w:val="24"/>
        </w:rPr>
        <w:t>6.2</w:t>
      </w:r>
      <w:bookmarkEnd w:id="250"/>
      <w:bookmarkEnd w:id="251"/>
      <w:bookmarkEnd w:id="252"/>
      <w:r>
        <w:rPr>
          <w:rFonts w:hint="eastAsia" w:ascii="宋体" w:hAnsi="宋体" w:eastAsia="宋体" w:cs="宋体"/>
          <w:sz w:val="24"/>
        </w:rPr>
        <w:t xml:space="preserve"> 评标原则</w:t>
      </w:r>
      <w:bookmarkEnd w:id="253"/>
      <w:bookmarkEnd w:id="254"/>
      <w:bookmarkEnd w:id="255"/>
      <w:bookmarkEnd w:id="256"/>
      <w:bookmarkEnd w:id="257"/>
      <w:bookmarkEnd w:id="258"/>
    </w:p>
    <w:p>
      <w:pPr>
        <w:spacing w:line="560" w:lineRule="exact"/>
        <w:ind w:firstLine="480" w:firstLineChars="200"/>
        <w:jc w:val="left"/>
        <w:rPr>
          <w:rFonts w:ascii="宋体" w:hAnsi="宋体" w:cs="宋体"/>
          <w:sz w:val="24"/>
        </w:rPr>
      </w:pPr>
      <w:r>
        <w:rPr>
          <w:rFonts w:hint="eastAsia" w:ascii="宋体" w:hAnsi="宋体" w:cs="宋体"/>
          <w:sz w:val="24"/>
        </w:rPr>
        <w:t>评标活动遵循公平、公正、科学和择优的原则。</w:t>
      </w:r>
    </w:p>
    <w:p>
      <w:pPr>
        <w:pStyle w:val="5"/>
        <w:spacing w:beforeLines="0" w:line="560" w:lineRule="exact"/>
        <w:ind w:firstLine="480" w:firstLineChars="200"/>
        <w:jc w:val="left"/>
        <w:rPr>
          <w:rFonts w:ascii="宋体" w:hAnsi="宋体" w:eastAsia="宋体" w:cs="宋体"/>
          <w:sz w:val="24"/>
        </w:rPr>
      </w:pPr>
      <w:bookmarkStart w:id="259" w:name="_Toc387526316"/>
      <w:bookmarkStart w:id="260" w:name="_Toc152045565"/>
      <w:bookmarkStart w:id="261" w:name="_Toc387526212"/>
      <w:bookmarkStart w:id="262" w:name="_Toc246996952"/>
      <w:bookmarkStart w:id="263" w:name="_Toc247085723"/>
      <w:bookmarkStart w:id="264" w:name="_Toc445046843"/>
      <w:bookmarkStart w:id="265" w:name="_Toc366679696"/>
      <w:bookmarkStart w:id="266" w:name="_Toc144974533"/>
      <w:bookmarkStart w:id="267" w:name="_Toc152042341"/>
      <w:bookmarkStart w:id="268" w:name="_Toc387526408"/>
      <w:bookmarkStart w:id="269" w:name="_Toc179632583"/>
      <w:bookmarkStart w:id="270" w:name="_Toc246996209"/>
      <w:bookmarkStart w:id="271" w:name="_Toc397928584"/>
      <w:bookmarkStart w:id="272" w:name="_Toc6500"/>
      <w:r>
        <w:rPr>
          <w:rFonts w:hint="eastAsia" w:ascii="宋体" w:hAnsi="宋体" w:eastAsia="宋体" w:cs="宋体"/>
          <w:sz w:val="24"/>
        </w:rPr>
        <w:t>6.3 评标</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spacing w:line="560" w:lineRule="exact"/>
        <w:ind w:firstLine="480" w:firstLineChars="200"/>
        <w:jc w:val="left"/>
        <w:rPr>
          <w:rFonts w:ascii="宋体" w:hAnsi="宋体" w:cs="宋体"/>
          <w:sz w:val="24"/>
        </w:rPr>
      </w:pPr>
      <w:r>
        <w:rPr>
          <w:rFonts w:hint="eastAsia" w:ascii="宋体" w:hAnsi="宋体" w:cs="宋体"/>
          <w:sz w:val="24"/>
        </w:rPr>
        <w:t>评标委员会按照第三章“评标办法”规定的方法、评审因素、标准和程序对投标文件进行评审。第三章“评标办法”没有规定的方法、评审因素和标准，不作为评标依据。</w:t>
      </w:r>
    </w:p>
    <w:p>
      <w:pPr>
        <w:pStyle w:val="5"/>
        <w:spacing w:beforeLines="0" w:line="560" w:lineRule="exact"/>
        <w:ind w:firstLine="480" w:firstLineChars="200"/>
        <w:jc w:val="left"/>
        <w:rPr>
          <w:rFonts w:ascii="宋体" w:hAnsi="宋体" w:eastAsia="宋体" w:cs="宋体"/>
          <w:sz w:val="24"/>
        </w:rPr>
      </w:pPr>
      <w:bookmarkStart w:id="273" w:name="_Toc445046844"/>
      <w:bookmarkStart w:id="274" w:name="_Toc397928585"/>
      <w:r>
        <w:rPr>
          <w:rFonts w:hint="eastAsia" w:ascii="宋体" w:hAnsi="宋体" w:eastAsia="宋体" w:cs="宋体"/>
          <w:sz w:val="24"/>
        </w:rPr>
        <w:t>6.4 多个标段推荐中标候选人顺序</w:t>
      </w:r>
      <w:bookmarkEnd w:id="273"/>
      <w:bookmarkEnd w:id="274"/>
    </w:p>
    <w:p>
      <w:pPr>
        <w:spacing w:line="560" w:lineRule="exact"/>
        <w:ind w:firstLine="480" w:firstLineChars="200"/>
        <w:jc w:val="left"/>
        <w:rPr>
          <w:rFonts w:ascii="宋体" w:hAnsi="宋体" w:cs="宋体"/>
          <w:sz w:val="24"/>
        </w:rPr>
      </w:pPr>
      <w:r>
        <w:rPr>
          <w:rFonts w:hint="eastAsia" w:ascii="宋体" w:hAnsi="宋体" w:cs="宋体"/>
          <w:sz w:val="24"/>
        </w:rPr>
        <w:t>无。</w:t>
      </w:r>
    </w:p>
    <w:p>
      <w:pPr>
        <w:pStyle w:val="5"/>
        <w:spacing w:beforeLines="0" w:line="560" w:lineRule="exact"/>
        <w:ind w:firstLine="480" w:firstLineChars="200"/>
        <w:jc w:val="left"/>
        <w:rPr>
          <w:rFonts w:ascii="宋体" w:hAnsi="宋体" w:eastAsia="宋体" w:cs="宋体"/>
          <w:sz w:val="24"/>
        </w:rPr>
      </w:pPr>
      <w:bookmarkStart w:id="275" w:name="_Toc445046845"/>
      <w:r>
        <w:rPr>
          <w:rFonts w:hint="eastAsia" w:ascii="宋体" w:hAnsi="宋体" w:eastAsia="宋体" w:cs="宋体"/>
          <w:sz w:val="24"/>
        </w:rPr>
        <w:t>6.5无效标书条款</w:t>
      </w:r>
      <w:bookmarkEnd w:id="275"/>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投标文件有下列情况之一的，属于重大偏差，视为未能对招标文件作出实质性响应，应当作为无效投标予以否决：</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（1）投标文件中的投标函未加盖投标人的公章；</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（2）投标文件中的投标函无企业法定代表人（或企业法定代表人委托代理人）印章（或签字）的；</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（3）如投标函由企业法定代表人委托代理人加盖印章（或签字）的，企业法定代表人委托代理人没有合法、有效的委托书（原件）的；</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 xml:space="preserve">（4）投标人资格条件不符合国家有关规定或招标文件要求的； </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 xml:space="preserve">（5）组成联合体投标未提供联合体各方共同投标协议的； </w:t>
      </w:r>
    </w:p>
    <w:p>
      <w:pPr>
        <w:spacing w:line="560" w:lineRule="exact"/>
        <w:ind w:firstLine="480" w:firstLineChars="200"/>
        <w:jc w:val="left"/>
        <w:rPr>
          <w:rFonts w:ascii="宋体" w:hAnsi="宋体" w:cs="宋体"/>
          <w:sz w:val="24"/>
        </w:rPr>
      </w:pPr>
      <w:r>
        <w:rPr>
          <w:rFonts w:hint="eastAsia" w:ascii="宋体" w:hAnsi="宋体" w:cs="宋体"/>
          <w:sz w:val="24"/>
        </w:rPr>
        <w:t xml:space="preserve">（6）在同一招标项目中，联合体成员以自己名义单独投标或者参加其他联合体投标的； </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（7）投标人名称与资格预审时不一致且未提供有效证明的；</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（8）投标文件技术规格中一般参数超出招标文件允许偏离的最大范围或最高项数的；</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 xml:space="preserve">（9）投标报价高于招标文件设定的最高投标限价的； </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（10）投标文件的组成不符合招标文件要求的；</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（11）投标人递交两份或多份内容不同的投标文件，或在一份投标文件中对同一招标货物报有两个或多个报价，且未声明哪一个为最终报价的，按招标文件规定提交备选投标方案的除外；</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 xml:space="preserve">（12）与招标文件提供的货物（设备）清单中的清单数量或规格不相同的； </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 xml:space="preserve">）投标文件载明的招标项目完成期限超过招标文件规定的期限的，或交货期达不到招标文件规定期限的要求； </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 xml:space="preserve">）明显不符合技术规范、技术标准的要求的； </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 xml:space="preserve">）投标文件载明的货物包装方式、检验标准和方法等不符合招标文件的要求的； </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）投标文件提出的工程验收、计量、价款结算和付款方式不能满足招标文件要求或招标人不能接受；</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 xml:space="preserve">）不同投标人的投标文件出现了评标委员会认为不应当雷同的情况的； </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）以他人的名义投标、串通投标、以行贿手段谋取中标或者以其他弄虚作假方式投标的；</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w:t>
      </w:r>
      <w:r>
        <w:rPr>
          <w:rFonts w:hint="eastAsia" w:ascii="宋体" w:hAnsi="宋体" w:cs="宋体"/>
          <w:sz w:val="24"/>
          <w:lang w:val="en-US" w:eastAsia="zh-CN"/>
        </w:rPr>
        <w:t>19</w:t>
      </w:r>
      <w:r>
        <w:rPr>
          <w:rFonts w:hint="eastAsia" w:ascii="宋体" w:hAnsi="宋体" w:cs="宋体"/>
          <w:sz w:val="24"/>
        </w:rPr>
        <w:t>）不符合招标文件有关暗标要求的；</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）不符合招标文件有关电子标书要求的。</w:t>
      </w:r>
    </w:p>
    <w:p>
      <w:pPr>
        <w:shd w:val="clear" w:color="auto" w:fill="FFFFFF"/>
        <w:spacing w:line="560" w:lineRule="exact"/>
        <w:ind w:firstLine="480" w:firstLineChars="200"/>
        <w:jc w:val="left"/>
        <w:rPr>
          <w:rFonts w:ascii="宋体" w:hAnsi="宋体" w:cs="宋体"/>
          <w:sz w:val="24"/>
        </w:rPr>
      </w:pPr>
      <w:r>
        <w:rPr>
          <w:rFonts w:hint="eastAsia" w:ascii="宋体" w:hAnsi="宋体" w:cs="宋体"/>
          <w:sz w:val="24"/>
        </w:rPr>
        <w:t>除上述条件外，招标人一般不得另行规定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pPr>
        <w:pStyle w:val="46"/>
        <w:spacing w:before="0" w:after="0" w:line="560" w:lineRule="exact"/>
        <w:ind w:firstLine="482" w:firstLineChars="200"/>
        <w:jc w:val="left"/>
        <w:rPr>
          <w:rFonts w:ascii="宋体" w:hAnsi="宋体"/>
          <w:color w:val="auto"/>
          <w:sz w:val="24"/>
          <w:szCs w:val="24"/>
        </w:rPr>
      </w:pPr>
      <w:bookmarkStart w:id="276" w:name="_Toc387526409"/>
      <w:bookmarkStart w:id="277" w:name="_Toc445046847"/>
      <w:bookmarkStart w:id="278" w:name="_Toc22985"/>
      <w:bookmarkStart w:id="279" w:name="_Toc387526213"/>
      <w:bookmarkStart w:id="280" w:name="_Toc387526317"/>
      <w:bookmarkStart w:id="281" w:name="_Toc397928586"/>
      <w:bookmarkStart w:id="282" w:name="_Toc368760433"/>
      <w:bookmarkStart w:id="283" w:name="_Toc369077567"/>
      <w:r>
        <w:rPr>
          <w:rFonts w:hint="eastAsia" w:ascii="宋体" w:hAnsi="宋体"/>
          <w:color w:val="auto"/>
          <w:sz w:val="24"/>
          <w:szCs w:val="24"/>
        </w:rPr>
        <w:t>7.评标结果公示</w:t>
      </w:r>
      <w:bookmarkEnd w:id="276"/>
      <w:bookmarkEnd w:id="277"/>
      <w:bookmarkEnd w:id="278"/>
      <w:bookmarkEnd w:id="279"/>
      <w:bookmarkEnd w:id="280"/>
      <w:bookmarkEnd w:id="281"/>
    </w:p>
    <w:p>
      <w:pPr>
        <w:spacing w:line="560" w:lineRule="exact"/>
        <w:ind w:firstLine="480" w:firstLineChars="200"/>
        <w:jc w:val="left"/>
        <w:rPr>
          <w:rFonts w:ascii="宋体" w:hAnsi="宋体" w:cs="宋体"/>
          <w:sz w:val="24"/>
        </w:rPr>
      </w:pPr>
      <w:r>
        <w:rPr>
          <w:rFonts w:hint="eastAsia" w:ascii="宋体" w:hAnsi="宋体" w:cs="宋体"/>
          <w:sz w:val="24"/>
        </w:rPr>
        <w:t>7.1 招标人在收到评标报告之日起3日内，在与招标公告相同的发布媒介上对评标结果进行公示，公示期不少于1日。</w:t>
      </w:r>
    </w:p>
    <w:p>
      <w:pPr>
        <w:pStyle w:val="46"/>
        <w:spacing w:before="0" w:after="0" w:line="560" w:lineRule="exact"/>
        <w:ind w:firstLine="482" w:firstLineChars="200"/>
        <w:jc w:val="left"/>
        <w:rPr>
          <w:rFonts w:ascii="宋体" w:hAnsi="宋体"/>
          <w:color w:val="auto"/>
          <w:sz w:val="24"/>
          <w:szCs w:val="24"/>
        </w:rPr>
      </w:pPr>
      <w:bookmarkStart w:id="284" w:name="_Toc387526214"/>
      <w:bookmarkStart w:id="285" w:name="_Toc15824"/>
      <w:bookmarkStart w:id="286" w:name="_Toc387526318"/>
      <w:bookmarkStart w:id="287" w:name="_Toc397928587"/>
      <w:bookmarkStart w:id="288" w:name="_Toc387526410"/>
      <w:bookmarkStart w:id="289" w:name="_Toc445046848"/>
      <w:r>
        <w:rPr>
          <w:rFonts w:hint="eastAsia" w:ascii="宋体" w:hAnsi="宋体"/>
          <w:color w:val="auto"/>
          <w:sz w:val="24"/>
          <w:szCs w:val="24"/>
        </w:rPr>
        <w:t>8.合同授予</w:t>
      </w:r>
      <w:bookmarkEnd w:id="217"/>
      <w:bookmarkEnd w:id="218"/>
      <w:bookmarkEnd w:id="219"/>
      <w:bookmarkEnd w:id="220"/>
      <w:bookmarkEnd w:id="221"/>
      <w:bookmarkEnd w:id="222"/>
      <w:bookmarkEnd w:id="223"/>
      <w:bookmarkEnd w:id="224"/>
      <w:bookmarkEnd w:id="225"/>
      <w:bookmarkEnd w:id="282"/>
      <w:bookmarkEnd w:id="283"/>
      <w:bookmarkEnd w:id="284"/>
      <w:bookmarkEnd w:id="285"/>
      <w:bookmarkEnd w:id="286"/>
      <w:bookmarkEnd w:id="287"/>
      <w:bookmarkEnd w:id="288"/>
      <w:bookmarkEnd w:id="289"/>
    </w:p>
    <w:p>
      <w:pPr>
        <w:pStyle w:val="5"/>
        <w:spacing w:beforeLines="0" w:line="560" w:lineRule="exact"/>
        <w:ind w:firstLine="480" w:firstLineChars="200"/>
        <w:jc w:val="left"/>
        <w:rPr>
          <w:rFonts w:ascii="宋体" w:hAnsi="宋体" w:eastAsia="宋体" w:cs="宋体"/>
          <w:sz w:val="24"/>
        </w:rPr>
      </w:pPr>
      <w:bookmarkStart w:id="290" w:name="_Toc366679698"/>
      <w:bookmarkStart w:id="291" w:name="_Toc144974535"/>
      <w:bookmarkStart w:id="292" w:name="_Toc387526215"/>
      <w:bookmarkStart w:id="293" w:name="_Toc5192"/>
      <w:bookmarkStart w:id="294" w:name="_Toc397928588"/>
      <w:bookmarkStart w:id="295" w:name="_Toc445046849"/>
      <w:bookmarkStart w:id="296" w:name="_Toc247085725"/>
      <w:bookmarkStart w:id="297" w:name="_Toc246996954"/>
      <w:bookmarkStart w:id="298" w:name="_Toc152042343"/>
      <w:bookmarkStart w:id="299" w:name="_Toc179632585"/>
      <w:bookmarkStart w:id="300" w:name="_Toc387526319"/>
      <w:bookmarkStart w:id="301" w:name="_Toc246996211"/>
      <w:bookmarkStart w:id="302" w:name="_Toc152045567"/>
      <w:bookmarkStart w:id="303" w:name="_Toc387526411"/>
      <w:r>
        <w:rPr>
          <w:rFonts w:hint="eastAsia" w:ascii="宋体" w:hAnsi="宋体" w:eastAsia="宋体" w:cs="宋体"/>
          <w:sz w:val="24"/>
        </w:rPr>
        <w:t>8.1 定标方式</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line="560" w:lineRule="exact"/>
        <w:ind w:firstLine="480" w:firstLineChars="200"/>
        <w:jc w:val="left"/>
        <w:rPr>
          <w:rFonts w:ascii="宋体" w:hAnsi="宋体" w:cs="宋体"/>
          <w:sz w:val="24"/>
        </w:rPr>
      </w:pPr>
      <w:bookmarkStart w:id="304" w:name="_Toc387526320"/>
      <w:bookmarkStart w:id="305" w:name="_Toc387526412"/>
      <w:bookmarkStart w:id="306" w:name="_Toc29357"/>
      <w:bookmarkStart w:id="307" w:name="_Toc387526216"/>
      <w:r>
        <w:rPr>
          <w:rFonts w:hint="eastAsia" w:ascii="宋体" w:hAnsi="宋体" w:cs="宋体"/>
          <w:sz w:val="24"/>
        </w:rPr>
        <w:t>除投标人须知前附表规定评标委员会直接确定中标人外，招标人依据评标委员会推荐的中标候选人确定中标人。</w:t>
      </w:r>
    </w:p>
    <w:p>
      <w:pPr>
        <w:spacing w:line="560" w:lineRule="exact"/>
        <w:ind w:firstLine="480" w:firstLineChars="200"/>
        <w:jc w:val="left"/>
        <w:rPr>
          <w:rFonts w:ascii="宋体" w:hAnsi="宋体" w:cs="宋体"/>
          <w:sz w:val="24"/>
        </w:rPr>
      </w:pPr>
      <w:r>
        <w:rPr>
          <w:rFonts w:hint="eastAsia" w:ascii="宋体" w:hAnsi="宋体" w:cs="宋体"/>
          <w:sz w:val="24"/>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5"/>
        <w:spacing w:beforeLines="0" w:line="560" w:lineRule="exact"/>
        <w:ind w:firstLine="480" w:firstLineChars="200"/>
        <w:jc w:val="left"/>
        <w:rPr>
          <w:rFonts w:ascii="宋体" w:hAnsi="宋体" w:eastAsia="宋体" w:cs="宋体"/>
          <w:sz w:val="24"/>
        </w:rPr>
      </w:pPr>
      <w:bookmarkStart w:id="308" w:name="_Toc397928589"/>
      <w:bookmarkStart w:id="309" w:name="_Toc445046850"/>
      <w:r>
        <w:rPr>
          <w:rFonts w:hint="eastAsia" w:ascii="宋体" w:hAnsi="宋体" w:eastAsia="宋体" w:cs="宋体"/>
          <w:sz w:val="24"/>
        </w:rPr>
        <w:t>8.2</w:t>
      </w:r>
      <w:bookmarkEnd w:id="304"/>
      <w:bookmarkEnd w:id="305"/>
      <w:bookmarkEnd w:id="306"/>
      <w:bookmarkEnd w:id="307"/>
      <w:bookmarkStart w:id="310" w:name="_Toc13765"/>
      <w:bookmarkStart w:id="311" w:name="_Toc179632586"/>
      <w:bookmarkStart w:id="312" w:name="_Toc366679700"/>
      <w:bookmarkStart w:id="313" w:name="_Toc246996955"/>
      <w:bookmarkStart w:id="314" w:name="_Toc246996212"/>
      <w:bookmarkStart w:id="315" w:name="_Toc387526217"/>
      <w:bookmarkStart w:id="316" w:name="_Toc387526413"/>
      <w:bookmarkStart w:id="317" w:name="_Toc247085726"/>
      <w:bookmarkStart w:id="318" w:name="_Toc387526321"/>
      <w:r>
        <w:rPr>
          <w:rFonts w:hint="eastAsia" w:ascii="宋体" w:hAnsi="宋体" w:eastAsia="宋体" w:cs="宋体"/>
          <w:sz w:val="24"/>
        </w:rPr>
        <w:t>中标通知</w:t>
      </w:r>
      <w:bookmarkEnd w:id="308"/>
      <w:bookmarkEnd w:id="309"/>
      <w:bookmarkEnd w:id="310"/>
      <w:bookmarkEnd w:id="311"/>
      <w:bookmarkEnd w:id="312"/>
      <w:bookmarkEnd w:id="313"/>
      <w:bookmarkEnd w:id="314"/>
      <w:bookmarkEnd w:id="315"/>
      <w:bookmarkEnd w:id="316"/>
      <w:bookmarkEnd w:id="317"/>
      <w:bookmarkEnd w:id="318"/>
    </w:p>
    <w:p>
      <w:pPr>
        <w:spacing w:line="560" w:lineRule="exact"/>
        <w:ind w:firstLine="480" w:firstLineChars="200"/>
        <w:jc w:val="left"/>
        <w:rPr>
          <w:rFonts w:ascii="宋体" w:hAnsi="宋体" w:cs="宋体"/>
          <w:sz w:val="24"/>
        </w:rPr>
      </w:pPr>
      <w:bookmarkStart w:id="319" w:name="_Toc366679701"/>
      <w:bookmarkStart w:id="320" w:name="_Toc246996213"/>
      <w:bookmarkStart w:id="321" w:name="_Toc179632587"/>
      <w:bookmarkStart w:id="322" w:name="_Toc247085727"/>
      <w:bookmarkStart w:id="323" w:name="_Toc246996956"/>
      <w:r>
        <w:rPr>
          <w:rFonts w:hint="eastAsia" w:ascii="宋体" w:hAnsi="宋体" w:cs="宋体"/>
          <w:sz w:val="24"/>
        </w:rPr>
        <w:t>招标人在本招标文件规定的投标有效期内以书面形式向中标人发出中标通知书。</w:t>
      </w:r>
    </w:p>
    <w:p>
      <w:pPr>
        <w:pStyle w:val="5"/>
        <w:spacing w:beforeLines="0" w:line="560" w:lineRule="exact"/>
        <w:ind w:firstLine="480" w:firstLineChars="200"/>
        <w:jc w:val="left"/>
        <w:rPr>
          <w:rFonts w:ascii="宋体" w:hAnsi="宋体" w:eastAsia="宋体" w:cs="宋体"/>
          <w:sz w:val="24"/>
        </w:rPr>
      </w:pPr>
      <w:bookmarkStart w:id="324" w:name="_Toc445046851"/>
      <w:bookmarkStart w:id="325" w:name="_Toc397928590"/>
      <w:bookmarkStart w:id="326" w:name="_Toc387526414"/>
      <w:bookmarkStart w:id="327" w:name="_Toc387526218"/>
      <w:bookmarkStart w:id="328" w:name="_Toc387526322"/>
      <w:bookmarkStart w:id="329" w:name="_Toc26386"/>
      <w:r>
        <w:rPr>
          <w:rFonts w:hint="eastAsia" w:ascii="宋体" w:hAnsi="宋体" w:eastAsia="宋体" w:cs="宋体"/>
          <w:sz w:val="24"/>
        </w:rPr>
        <w:t>8.3 履约保证金</w:t>
      </w:r>
      <w:bookmarkEnd w:id="319"/>
      <w:bookmarkEnd w:id="320"/>
      <w:bookmarkEnd w:id="321"/>
      <w:bookmarkEnd w:id="322"/>
      <w:bookmarkEnd w:id="323"/>
      <w:bookmarkEnd w:id="324"/>
      <w:bookmarkEnd w:id="325"/>
      <w:bookmarkEnd w:id="326"/>
      <w:bookmarkEnd w:id="327"/>
      <w:bookmarkEnd w:id="328"/>
      <w:bookmarkEnd w:id="329"/>
    </w:p>
    <w:p>
      <w:pPr>
        <w:spacing w:line="560" w:lineRule="exact"/>
        <w:ind w:firstLine="480" w:firstLineChars="200"/>
        <w:jc w:val="left"/>
        <w:rPr>
          <w:rFonts w:ascii="宋体" w:hAnsi="宋体" w:cs="宋体"/>
          <w:sz w:val="24"/>
        </w:rPr>
      </w:pPr>
      <w:r>
        <w:rPr>
          <w:rFonts w:hint="eastAsia" w:ascii="宋体" w:hAnsi="宋体" w:cs="宋体"/>
          <w:sz w:val="24"/>
        </w:rPr>
        <w:t>8.3.1在签订合同前，中标人应按招标公告、投标人须知前附表规定的形式和招标文件“合同条款及格式”规定的或者事先经过招标人书面认可的履约保证金格式向招标人提交履约保证金。</w:t>
      </w:r>
    </w:p>
    <w:p>
      <w:pPr>
        <w:spacing w:line="560" w:lineRule="exact"/>
        <w:ind w:firstLine="480" w:firstLineChars="200"/>
        <w:jc w:val="left"/>
        <w:rPr>
          <w:rFonts w:ascii="宋体" w:hAnsi="宋体" w:cs="宋体"/>
          <w:sz w:val="24"/>
        </w:rPr>
      </w:pPr>
      <w:r>
        <w:rPr>
          <w:rFonts w:hint="eastAsia" w:ascii="宋体" w:hAnsi="宋体" w:cs="宋体"/>
          <w:sz w:val="24"/>
        </w:rPr>
        <w:t>8.3.2 中标人不能按本章第8.3.1项要求提交履约保证金的，视为放弃中标。</w:t>
      </w:r>
    </w:p>
    <w:p>
      <w:pPr>
        <w:pStyle w:val="5"/>
        <w:spacing w:beforeLines="0" w:line="560" w:lineRule="exact"/>
        <w:ind w:firstLine="480" w:firstLineChars="200"/>
        <w:jc w:val="left"/>
        <w:rPr>
          <w:rFonts w:ascii="宋体" w:hAnsi="宋体" w:eastAsia="宋体" w:cs="宋体"/>
          <w:sz w:val="24"/>
        </w:rPr>
      </w:pPr>
      <w:bookmarkStart w:id="330" w:name="_Toc397928591"/>
      <w:bookmarkStart w:id="331" w:name="_Toc387526323"/>
      <w:bookmarkStart w:id="332" w:name="_Toc246996214"/>
      <w:bookmarkStart w:id="333" w:name="_Toc247085728"/>
      <w:bookmarkStart w:id="334" w:name="_Toc10565"/>
      <w:bookmarkStart w:id="335" w:name="_Toc246996957"/>
      <w:bookmarkStart w:id="336" w:name="_Toc387526415"/>
      <w:bookmarkStart w:id="337" w:name="_Toc387526219"/>
      <w:bookmarkStart w:id="338" w:name="_Toc445046852"/>
      <w:bookmarkStart w:id="339" w:name="_Toc179632588"/>
      <w:bookmarkStart w:id="340" w:name="_Toc366679702"/>
      <w:r>
        <w:rPr>
          <w:rFonts w:hint="eastAsia" w:ascii="宋体" w:hAnsi="宋体" w:eastAsia="宋体" w:cs="宋体"/>
          <w:sz w:val="24"/>
        </w:rPr>
        <w:t>8.4 签订合同</w:t>
      </w:r>
      <w:bookmarkEnd w:id="330"/>
      <w:bookmarkEnd w:id="331"/>
      <w:bookmarkEnd w:id="332"/>
      <w:bookmarkEnd w:id="333"/>
      <w:bookmarkEnd w:id="334"/>
      <w:bookmarkEnd w:id="335"/>
      <w:bookmarkEnd w:id="336"/>
      <w:bookmarkEnd w:id="337"/>
      <w:bookmarkEnd w:id="338"/>
      <w:bookmarkEnd w:id="339"/>
      <w:bookmarkEnd w:id="340"/>
    </w:p>
    <w:p>
      <w:pPr>
        <w:spacing w:line="560" w:lineRule="exact"/>
        <w:ind w:firstLine="480" w:firstLineChars="200"/>
        <w:jc w:val="left"/>
        <w:rPr>
          <w:rFonts w:ascii="宋体" w:hAnsi="宋体" w:cs="宋体"/>
          <w:sz w:val="24"/>
        </w:rPr>
      </w:pPr>
      <w:r>
        <w:rPr>
          <w:rFonts w:hint="eastAsia" w:ascii="宋体" w:hAnsi="宋体" w:cs="宋体"/>
          <w:sz w:val="24"/>
        </w:rPr>
        <w:t>8.4.1招标人和中标人应当自中标通知书发出之日起7天内，根据招标文件和中标人的投标文件订立书面合同。中标人无正当理由拒签合同的，招标人取消其中标资格；给招标人造成的损失，中标人还应当予以赔偿。</w:t>
      </w:r>
    </w:p>
    <w:p>
      <w:pPr>
        <w:spacing w:line="560" w:lineRule="exact"/>
        <w:ind w:firstLine="480" w:firstLineChars="200"/>
        <w:jc w:val="left"/>
        <w:rPr>
          <w:rFonts w:ascii="宋体" w:hAnsi="宋体" w:cs="宋体"/>
          <w:sz w:val="24"/>
        </w:rPr>
      </w:pPr>
      <w:r>
        <w:rPr>
          <w:rFonts w:hint="eastAsia" w:ascii="宋体" w:hAnsi="宋体" w:cs="宋体"/>
          <w:sz w:val="24"/>
        </w:rPr>
        <w:t>8.4.2 发出中标通知书后，招标人无正当理由拒签合同的，给中标人造成损失的，还应当赔偿损失。</w:t>
      </w:r>
    </w:p>
    <w:p>
      <w:pPr>
        <w:spacing w:line="560" w:lineRule="exact"/>
        <w:ind w:firstLine="482" w:firstLineChars="200"/>
        <w:jc w:val="left"/>
        <w:rPr>
          <w:rFonts w:ascii="宋体" w:hAnsi="宋体" w:cs="宋体"/>
          <w:sz w:val="24"/>
        </w:rPr>
      </w:pPr>
      <w:r>
        <w:rPr>
          <w:rFonts w:hint="eastAsia"/>
          <w:b/>
          <w:sz w:val="24"/>
          <w:u w:val="single"/>
        </w:rPr>
        <w:t>特别注意：在评标过程、中标公示期、商议具体合同条款时、签订合同时、合同履约等任何环节，采购人有权对中标人的真实性进行判断，中标人若有作假情形，采购人有权要求中止上述任何环节，同时造成的后果由中标人全部承担，按照相关法律规定，取消中标结果，列入采购供应商黑名单，同时采购人保留进一步追加赔偿的权利。</w:t>
      </w:r>
    </w:p>
    <w:bookmarkEnd w:id="184"/>
    <w:bookmarkEnd w:id="185"/>
    <w:bookmarkEnd w:id="186"/>
    <w:bookmarkEnd w:id="187"/>
    <w:p>
      <w:pPr>
        <w:pStyle w:val="46"/>
        <w:spacing w:before="0" w:after="0" w:line="560" w:lineRule="exact"/>
        <w:ind w:firstLine="482" w:firstLineChars="200"/>
        <w:jc w:val="left"/>
        <w:rPr>
          <w:rFonts w:ascii="宋体" w:hAnsi="宋体"/>
          <w:color w:val="auto"/>
          <w:sz w:val="24"/>
          <w:szCs w:val="24"/>
        </w:rPr>
      </w:pPr>
      <w:bookmarkStart w:id="341" w:name="_Toc397928592"/>
      <w:bookmarkStart w:id="342" w:name="_Toc367894807"/>
      <w:bookmarkStart w:id="343" w:name="_Toc445046853"/>
      <w:bookmarkStart w:id="344" w:name="_Toc387526416"/>
      <w:bookmarkStart w:id="345" w:name="_Toc387526220"/>
      <w:bookmarkStart w:id="346" w:name="_Toc322503149"/>
      <w:bookmarkStart w:id="347" w:name="_Toc30717"/>
      <w:bookmarkStart w:id="348" w:name="_Toc368759383"/>
      <w:bookmarkStart w:id="349" w:name="_Toc368760435"/>
      <w:bookmarkStart w:id="350" w:name="_Toc387526324"/>
      <w:bookmarkStart w:id="351" w:name="_Toc363329380"/>
      <w:bookmarkStart w:id="352" w:name="_Toc369077569"/>
      <w:r>
        <w:rPr>
          <w:rFonts w:hint="eastAsia" w:ascii="宋体" w:hAnsi="宋体"/>
          <w:color w:val="auto"/>
          <w:sz w:val="24"/>
          <w:szCs w:val="24"/>
        </w:rPr>
        <w:t>9.纪律和监督</w:t>
      </w:r>
      <w:bookmarkEnd w:id="341"/>
      <w:bookmarkEnd w:id="342"/>
      <w:bookmarkEnd w:id="343"/>
      <w:bookmarkEnd w:id="344"/>
      <w:bookmarkEnd w:id="345"/>
      <w:bookmarkEnd w:id="346"/>
      <w:bookmarkEnd w:id="347"/>
      <w:bookmarkEnd w:id="348"/>
      <w:bookmarkEnd w:id="349"/>
      <w:bookmarkEnd w:id="350"/>
      <w:bookmarkEnd w:id="351"/>
      <w:bookmarkEnd w:id="352"/>
    </w:p>
    <w:p>
      <w:pPr>
        <w:pStyle w:val="5"/>
        <w:spacing w:beforeLines="0" w:line="560" w:lineRule="exact"/>
        <w:ind w:firstLine="480" w:firstLineChars="200"/>
        <w:jc w:val="left"/>
        <w:rPr>
          <w:rFonts w:ascii="宋体" w:hAnsi="宋体" w:eastAsia="宋体" w:cs="宋体"/>
          <w:sz w:val="24"/>
        </w:rPr>
      </w:pPr>
      <w:bookmarkStart w:id="353" w:name="_Toc387526417"/>
      <w:bookmarkStart w:id="354" w:name="_Toc387526325"/>
      <w:bookmarkStart w:id="355" w:name="_Toc152042351"/>
      <w:bookmarkStart w:id="356" w:name="_Toc29855"/>
      <w:bookmarkStart w:id="357" w:name="_Toc445046854"/>
      <w:bookmarkStart w:id="358" w:name="_Toc152045575"/>
      <w:bookmarkStart w:id="359" w:name="_Toc387526221"/>
      <w:bookmarkStart w:id="360" w:name="_Toc144974543"/>
      <w:bookmarkStart w:id="361" w:name="_Toc322503150"/>
      <w:bookmarkStart w:id="362" w:name="_Toc397928593"/>
      <w:bookmarkStart w:id="363" w:name="_Toc269310963"/>
      <w:r>
        <w:rPr>
          <w:rFonts w:hint="eastAsia" w:ascii="宋体" w:hAnsi="宋体" w:eastAsia="宋体" w:cs="宋体"/>
          <w:sz w:val="24"/>
        </w:rPr>
        <w:t>9.1 对招标人的纪律要求</w:t>
      </w:r>
      <w:bookmarkEnd w:id="353"/>
      <w:bookmarkEnd w:id="354"/>
      <w:bookmarkEnd w:id="355"/>
      <w:bookmarkEnd w:id="356"/>
      <w:bookmarkEnd w:id="357"/>
      <w:bookmarkEnd w:id="358"/>
      <w:bookmarkEnd w:id="359"/>
      <w:bookmarkEnd w:id="360"/>
      <w:bookmarkEnd w:id="361"/>
      <w:bookmarkEnd w:id="362"/>
      <w:bookmarkEnd w:id="363"/>
    </w:p>
    <w:p>
      <w:pPr>
        <w:spacing w:line="560" w:lineRule="exact"/>
        <w:ind w:firstLine="480" w:firstLineChars="200"/>
        <w:jc w:val="left"/>
        <w:rPr>
          <w:rFonts w:ascii="宋体" w:hAnsi="宋体" w:cs="宋体"/>
          <w:sz w:val="24"/>
        </w:rPr>
      </w:pPr>
      <w:r>
        <w:rPr>
          <w:rFonts w:hint="eastAsia" w:ascii="宋体" w:hAnsi="宋体" w:cs="宋体"/>
          <w:sz w:val="24"/>
        </w:rPr>
        <w:t>招标人不得泄露招标投标活动中应当保密的情况和资料，不得与投标人串通损害国家利益、社会公众利益或者他人合法权益。</w:t>
      </w:r>
    </w:p>
    <w:p>
      <w:pPr>
        <w:pStyle w:val="5"/>
        <w:spacing w:beforeLines="0" w:line="560" w:lineRule="exact"/>
        <w:ind w:firstLine="480" w:firstLineChars="200"/>
        <w:jc w:val="left"/>
        <w:rPr>
          <w:rFonts w:ascii="宋体" w:hAnsi="宋体" w:eastAsia="宋体" w:cs="宋体"/>
          <w:sz w:val="24"/>
        </w:rPr>
      </w:pPr>
      <w:bookmarkStart w:id="364" w:name="_Toc322503151"/>
      <w:bookmarkStart w:id="365" w:name="_Toc269310964"/>
      <w:bookmarkStart w:id="366" w:name="_Toc152042352"/>
      <w:bookmarkStart w:id="367" w:name="_Toc397928594"/>
      <w:bookmarkStart w:id="368" w:name="_Toc1420"/>
      <w:bookmarkStart w:id="369" w:name="_Toc144974544"/>
      <w:bookmarkStart w:id="370" w:name="_Toc387526326"/>
      <w:bookmarkStart w:id="371" w:name="_Toc152045576"/>
      <w:bookmarkStart w:id="372" w:name="_Toc387526222"/>
      <w:bookmarkStart w:id="373" w:name="_Toc387526418"/>
      <w:bookmarkStart w:id="374" w:name="_Toc445046855"/>
      <w:r>
        <w:rPr>
          <w:rFonts w:hint="eastAsia" w:ascii="宋体" w:hAnsi="宋体" w:eastAsia="宋体" w:cs="宋体"/>
          <w:sz w:val="24"/>
        </w:rPr>
        <w:t>9.2 对投标人的纪律要求</w:t>
      </w:r>
      <w:bookmarkEnd w:id="364"/>
      <w:bookmarkEnd w:id="365"/>
      <w:bookmarkEnd w:id="366"/>
      <w:bookmarkEnd w:id="367"/>
      <w:bookmarkEnd w:id="368"/>
      <w:bookmarkEnd w:id="369"/>
      <w:bookmarkEnd w:id="370"/>
      <w:bookmarkEnd w:id="371"/>
      <w:bookmarkEnd w:id="372"/>
      <w:bookmarkEnd w:id="373"/>
      <w:bookmarkEnd w:id="374"/>
    </w:p>
    <w:p>
      <w:pPr>
        <w:spacing w:line="560" w:lineRule="exact"/>
        <w:ind w:firstLine="480" w:firstLineChars="200"/>
        <w:jc w:val="left"/>
        <w:rPr>
          <w:rFonts w:ascii="宋体" w:hAnsi="宋体" w:cs="宋体"/>
          <w:sz w:val="24"/>
        </w:rPr>
      </w:pPr>
      <w:bookmarkStart w:id="375" w:name="_Toc152042353"/>
      <w:bookmarkStart w:id="376" w:name="_Toc152045577"/>
      <w:bookmarkStart w:id="377" w:name="_Toc269310965"/>
      <w:bookmarkStart w:id="378" w:name="_Toc144974545"/>
      <w:bookmarkStart w:id="379" w:name="_Toc322503152"/>
      <w:r>
        <w:rPr>
          <w:rFonts w:hint="eastAsia" w:ascii="宋体"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beforeLines="0" w:line="560" w:lineRule="exact"/>
        <w:ind w:firstLine="480" w:firstLineChars="200"/>
        <w:jc w:val="left"/>
        <w:rPr>
          <w:rFonts w:ascii="宋体" w:hAnsi="宋体" w:eastAsia="宋体" w:cs="宋体"/>
          <w:sz w:val="24"/>
        </w:rPr>
      </w:pPr>
      <w:bookmarkStart w:id="380" w:name="_Toc387526223"/>
      <w:bookmarkStart w:id="381" w:name="_Toc16374"/>
      <w:bookmarkStart w:id="382" w:name="_Toc445046856"/>
      <w:bookmarkStart w:id="383" w:name="_Toc387526419"/>
      <w:bookmarkStart w:id="384" w:name="_Toc387526327"/>
      <w:bookmarkStart w:id="385" w:name="_Toc397928595"/>
      <w:r>
        <w:rPr>
          <w:rFonts w:hint="eastAsia" w:ascii="宋体" w:hAnsi="宋体" w:eastAsia="宋体" w:cs="宋体"/>
          <w:sz w:val="24"/>
        </w:rPr>
        <w:t>9.3 对评标委员会成员的纪律要求</w:t>
      </w:r>
      <w:bookmarkEnd w:id="375"/>
      <w:bookmarkEnd w:id="376"/>
      <w:bookmarkEnd w:id="377"/>
      <w:bookmarkEnd w:id="378"/>
      <w:bookmarkEnd w:id="379"/>
      <w:bookmarkEnd w:id="380"/>
      <w:bookmarkEnd w:id="381"/>
      <w:bookmarkEnd w:id="382"/>
      <w:bookmarkEnd w:id="383"/>
      <w:bookmarkEnd w:id="384"/>
      <w:bookmarkEnd w:id="385"/>
    </w:p>
    <w:p>
      <w:pPr>
        <w:spacing w:line="560" w:lineRule="exact"/>
        <w:ind w:firstLine="480" w:firstLineChars="200"/>
        <w:jc w:val="left"/>
        <w:rPr>
          <w:rFonts w:ascii="宋体" w:hAnsi="宋体" w:cs="宋体"/>
          <w:sz w:val="24"/>
        </w:rPr>
      </w:pPr>
      <w:bookmarkStart w:id="386" w:name="_Toc246996965"/>
      <w:bookmarkStart w:id="387" w:name="_Toc152045578"/>
      <w:bookmarkStart w:id="388" w:name="_Toc152042354"/>
      <w:bookmarkStart w:id="389" w:name="_Toc246996222"/>
      <w:bookmarkStart w:id="390" w:name="_Toc247085736"/>
      <w:bookmarkStart w:id="391" w:name="_Toc179632596"/>
      <w:bookmarkStart w:id="392" w:name="_Toc366679707"/>
      <w:bookmarkStart w:id="393" w:name="_Toc144974546"/>
      <w:r>
        <w:rPr>
          <w:rFonts w:hint="eastAsia" w:ascii="宋体" w:hAnsi="宋体" w:cs="宋体"/>
          <w:sz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5"/>
        <w:spacing w:beforeLines="0" w:line="560" w:lineRule="exact"/>
        <w:ind w:firstLine="480" w:firstLineChars="200"/>
        <w:jc w:val="left"/>
        <w:rPr>
          <w:rFonts w:ascii="宋体" w:hAnsi="宋体" w:eastAsia="宋体" w:cs="宋体"/>
          <w:sz w:val="24"/>
        </w:rPr>
      </w:pPr>
      <w:bookmarkStart w:id="394" w:name="_Toc387526224"/>
      <w:bookmarkStart w:id="395" w:name="_Toc387526420"/>
      <w:bookmarkStart w:id="396" w:name="_Toc397928596"/>
      <w:bookmarkStart w:id="397" w:name="_Toc1042"/>
      <w:bookmarkStart w:id="398" w:name="_Toc445046857"/>
      <w:bookmarkStart w:id="399" w:name="_Toc387526328"/>
      <w:r>
        <w:rPr>
          <w:rFonts w:hint="eastAsia" w:ascii="宋体" w:hAnsi="宋体" w:eastAsia="宋体" w:cs="宋体"/>
          <w:sz w:val="24"/>
        </w:rPr>
        <w:t>9.4 对与评标活动有关的工作人员的纪律要求</w:t>
      </w:r>
      <w:bookmarkEnd w:id="386"/>
      <w:bookmarkEnd w:id="387"/>
      <w:bookmarkEnd w:id="388"/>
      <w:bookmarkEnd w:id="389"/>
      <w:bookmarkEnd w:id="390"/>
      <w:bookmarkEnd w:id="391"/>
      <w:bookmarkEnd w:id="392"/>
      <w:bookmarkEnd w:id="394"/>
      <w:bookmarkEnd w:id="395"/>
      <w:bookmarkEnd w:id="396"/>
      <w:bookmarkEnd w:id="397"/>
      <w:bookmarkEnd w:id="398"/>
      <w:bookmarkEnd w:id="399"/>
    </w:p>
    <w:p>
      <w:pPr>
        <w:spacing w:line="560" w:lineRule="exact"/>
        <w:ind w:firstLine="480" w:firstLineChars="200"/>
        <w:jc w:val="left"/>
        <w:rPr>
          <w:rFonts w:ascii="宋体" w:hAnsi="宋体" w:cs="宋体"/>
          <w:sz w:val="24"/>
        </w:rPr>
      </w:pPr>
      <w:bookmarkStart w:id="400" w:name="_Toc152042355"/>
      <w:bookmarkStart w:id="401" w:name="_Toc366679708"/>
      <w:bookmarkStart w:id="402" w:name="_Toc246996223"/>
      <w:bookmarkStart w:id="403" w:name="_Toc246996966"/>
      <w:bookmarkStart w:id="404" w:name="_Toc179632597"/>
      <w:bookmarkStart w:id="405" w:name="_Toc152045579"/>
      <w:bookmarkStart w:id="406" w:name="_Toc247085737"/>
      <w:bookmarkStart w:id="407" w:name="_Toc152042356"/>
      <w:r>
        <w:rPr>
          <w:rFonts w:hint="eastAsia" w:ascii="宋体"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00"/>
    </w:p>
    <w:p>
      <w:pPr>
        <w:pStyle w:val="5"/>
        <w:spacing w:beforeLines="0" w:line="560" w:lineRule="exact"/>
        <w:ind w:firstLine="480" w:firstLineChars="200"/>
        <w:jc w:val="left"/>
        <w:rPr>
          <w:rFonts w:ascii="宋体" w:hAnsi="宋体" w:eastAsia="宋体" w:cs="宋体"/>
          <w:sz w:val="24"/>
        </w:rPr>
      </w:pPr>
      <w:bookmarkStart w:id="408" w:name="_Toc27873"/>
      <w:bookmarkStart w:id="409" w:name="_Toc387526329"/>
      <w:bookmarkStart w:id="410" w:name="_Toc387526225"/>
      <w:bookmarkStart w:id="411" w:name="_Toc445046858"/>
      <w:bookmarkStart w:id="412" w:name="_Toc397928597"/>
      <w:bookmarkStart w:id="413" w:name="_Toc387526421"/>
      <w:r>
        <w:rPr>
          <w:rFonts w:hint="eastAsia" w:ascii="宋体" w:hAnsi="宋体" w:eastAsia="宋体" w:cs="宋体"/>
          <w:sz w:val="24"/>
        </w:rPr>
        <w:t>9.5 投诉</w:t>
      </w:r>
      <w:bookmarkEnd w:id="393"/>
      <w:bookmarkEnd w:id="401"/>
      <w:bookmarkEnd w:id="402"/>
      <w:bookmarkEnd w:id="403"/>
      <w:bookmarkEnd w:id="404"/>
      <w:bookmarkEnd w:id="405"/>
      <w:bookmarkEnd w:id="406"/>
      <w:bookmarkEnd w:id="407"/>
      <w:bookmarkEnd w:id="408"/>
      <w:bookmarkEnd w:id="409"/>
      <w:bookmarkEnd w:id="410"/>
      <w:bookmarkEnd w:id="411"/>
      <w:bookmarkEnd w:id="412"/>
      <w:bookmarkEnd w:id="413"/>
    </w:p>
    <w:p>
      <w:pPr>
        <w:spacing w:line="560" w:lineRule="exact"/>
        <w:ind w:firstLine="480" w:firstLineChars="200"/>
        <w:jc w:val="left"/>
        <w:rPr>
          <w:rFonts w:ascii="宋体" w:hAnsi="宋体" w:cs="宋体"/>
          <w:sz w:val="24"/>
        </w:rPr>
      </w:pPr>
      <w:bookmarkStart w:id="414" w:name="_Toc387526226"/>
      <w:bookmarkStart w:id="415" w:name="_Toc387526422"/>
      <w:bookmarkStart w:id="416" w:name="_Toc387526330"/>
      <w:bookmarkStart w:id="417" w:name="_Toc9600"/>
      <w:r>
        <w:rPr>
          <w:rFonts w:hint="eastAsia" w:ascii="宋体" w:hAnsi="宋体" w:cs="宋体"/>
          <w:sz w:val="24"/>
        </w:rPr>
        <w:t>投标人或者其他利害关系人认为招标投标活动不符合法律、行政法规规定的，可以自知道或者应当知道之日起10日内向有关行政监督部门投诉。投标人或者其他利害关系人就招标文件（含补充、澄清、答疑等文件）、开标、评标结果事项投诉的，应当先向招标人提出异议。</w:t>
      </w:r>
    </w:p>
    <w:p>
      <w:pPr>
        <w:pStyle w:val="5"/>
        <w:spacing w:beforeLines="0" w:line="560" w:lineRule="exact"/>
        <w:ind w:firstLine="480" w:firstLineChars="200"/>
        <w:jc w:val="left"/>
        <w:rPr>
          <w:rFonts w:ascii="宋体" w:hAnsi="宋体" w:eastAsia="宋体" w:cs="宋体"/>
          <w:sz w:val="24"/>
        </w:rPr>
      </w:pPr>
      <w:bookmarkStart w:id="418" w:name="_Toc445046859"/>
      <w:r>
        <w:rPr>
          <w:rFonts w:hint="eastAsia" w:ascii="宋体" w:hAnsi="宋体" w:eastAsia="宋体" w:cs="宋体"/>
          <w:sz w:val="24"/>
        </w:rPr>
        <w:t>9.6差别待遇或者歧视待遇现象</w:t>
      </w:r>
      <w:bookmarkEnd w:id="418"/>
    </w:p>
    <w:p>
      <w:pPr>
        <w:spacing w:line="560" w:lineRule="exact"/>
        <w:ind w:firstLine="480" w:firstLineChars="200"/>
        <w:jc w:val="left"/>
        <w:rPr>
          <w:rFonts w:ascii="宋体" w:hAnsi="宋体" w:cs="宋体"/>
          <w:sz w:val="24"/>
        </w:rPr>
      </w:pPr>
      <w:r>
        <w:rPr>
          <w:rFonts w:hint="eastAsia" w:ascii="宋体" w:hAnsi="宋体" w:cs="宋体"/>
          <w:sz w:val="24"/>
        </w:rPr>
        <w:t>采购人或者采购代理机构有下列情形之一的，属于以不合理的条件对供应商实行差别待遇或者歧视待遇：</w:t>
      </w:r>
    </w:p>
    <w:p>
      <w:pPr>
        <w:spacing w:line="560" w:lineRule="exact"/>
        <w:ind w:firstLine="480" w:firstLineChars="200"/>
        <w:jc w:val="left"/>
        <w:rPr>
          <w:rFonts w:ascii="宋体" w:hAnsi="宋体" w:cs="宋体"/>
          <w:sz w:val="24"/>
        </w:rPr>
      </w:pPr>
      <w:r>
        <w:rPr>
          <w:rFonts w:hint="eastAsia" w:ascii="宋体" w:hAnsi="宋体" w:cs="宋体"/>
          <w:sz w:val="24"/>
        </w:rPr>
        <w:t>（一）就同一采购项目向供应商提供有差别的项目信息；</w:t>
      </w:r>
    </w:p>
    <w:p>
      <w:pPr>
        <w:spacing w:line="560" w:lineRule="exact"/>
        <w:ind w:firstLine="480" w:firstLineChars="200"/>
        <w:jc w:val="left"/>
        <w:rPr>
          <w:rFonts w:ascii="宋体" w:hAnsi="宋体" w:cs="宋体"/>
          <w:sz w:val="24"/>
        </w:rPr>
      </w:pPr>
      <w:r>
        <w:rPr>
          <w:rFonts w:hint="eastAsia" w:ascii="宋体" w:hAnsi="宋体" w:cs="宋体"/>
          <w:sz w:val="24"/>
        </w:rPr>
        <w:t>（二）设定的资格、技术、商务条件与采购项目的具体特点和实际需要不相适应或者与合同履行无关；</w:t>
      </w:r>
    </w:p>
    <w:p>
      <w:pPr>
        <w:spacing w:line="560" w:lineRule="exact"/>
        <w:ind w:firstLine="480" w:firstLineChars="200"/>
        <w:jc w:val="left"/>
        <w:rPr>
          <w:rFonts w:ascii="宋体" w:hAnsi="宋体" w:cs="宋体"/>
          <w:sz w:val="24"/>
        </w:rPr>
      </w:pPr>
      <w:r>
        <w:rPr>
          <w:rFonts w:hint="eastAsia" w:ascii="宋体" w:hAnsi="宋体" w:cs="宋体"/>
          <w:sz w:val="24"/>
        </w:rPr>
        <w:t>（三）采购需求中的技术、服务等要求指向特定供应商、特定产品；</w:t>
      </w:r>
    </w:p>
    <w:p>
      <w:pPr>
        <w:spacing w:line="560" w:lineRule="exact"/>
        <w:ind w:firstLine="480" w:firstLineChars="200"/>
        <w:jc w:val="left"/>
        <w:rPr>
          <w:rFonts w:ascii="宋体" w:hAnsi="宋体" w:cs="宋体"/>
          <w:sz w:val="24"/>
        </w:rPr>
      </w:pPr>
      <w:r>
        <w:rPr>
          <w:rFonts w:hint="eastAsia" w:ascii="宋体" w:hAnsi="宋体" w:cs="宋体"/>
          <w:sz w:val="24"/>
        </w:rPr>
        <w:t>（四）以特定行政区域或者特定行业的业绩、奖项作为加分条件或者中标、成交条件；</w:t>
      </w:r>
    </w:p>
    <w:p>
      <w:pPr>
        <w:spacing w:line="560" w:lineRule="exact"/>
        <w:ind w:firstLine="480" w:firstLineChars="200"/>
        <w:jc w:val="left"/>
        <w:rPr>
          <w:rFonts w:ascii="宋体" w:hAnsi="宋体" w:cs="宋体"/>
          <w:sz w:val="24"/>
        </w:rPr>
      </w:pPr>
      <w:r>
        <w:rPr>
          <w:rFonts w:hint="eastAsia" w:ascii="宋体" w:hAnsi="宋体" w:cs="宋体"/>
          <w:sz w:val="24"/>
        </w:rPr>
        <w:t>（五）对供应商采取不同的资格审查或者评审标准；</w:t>
      </w:r>
    </w:p>
    <w:p>
      <w:pPr>
        <w:spacing w:line="560" w:lineRule="exact"/>
        <w:ind w:firstLine="480" w:firstLineChars="200"/>
        <w:jc w:val="left"/>
        <w:rPr>
          <w:rFonts w:ascii="宋体" w:hAnsi="宋体" w:cs="宋体"/>
          <w:sz w:val="24"/>
        </w:rPr>
      </w:pPr>
      <w:r>
        <w:rPr>
          <w:rFonts w:hint="eastAsia" w:ascii="宋体" w:hAnsi="宋体" w:cs="宋体"/>
          <w:sz w:val="24"/>
        </w:rPr>
        <w:t>（六）限定或者指定特定的专利、商标、品牌或者供应商；</w:t>
      </w:r>
    </w:p>
    <w:p>
      <w:pPr>
        <w:spacing w:line="560" w:lineRule="exact"/>
        <w:ind w:firstLine="480" w:firstLineChars="200"/>
        <w:jc w:val="left"/>
        <w:rPr>
          <w:rFonts w:ascii="宋体" w:hAnsi="宋体" w:cs="宋体"/>
          <w:sz w:val="24"/>
        </w:rPr>
      </w:pPr>
      <w:r>
        <w:rPr>
          <w:rFonts w:hint="eastAsia" w:ascii="宋体" w:hAnsi="宋体" w:cs="宋体"/>
          <w:sz w:val="24"/>
        </w:rPr>
        <w:t>（七）非法限定供应商的所有制形式、组织形式或者所在地；</w:t>
      </w:r>
    </w:p>
    <w:p>
      <w:pPr>
        <w:spacing w:line="560" w:lineRule="exact"/>
        <w:ind w:firstLine="480" w:firstLineChars="200"/>
        <w:jc w:val="left"/>
        <w:rPr>
          <w:rFonts w:ascii="宋体" w:hAnsi="宋体" w:cs="宋体"/>
          <w:sz w:val="24"/>
        </w:rPr>
      </w:pPr>
      <w:r>
        <w:rPr>
          <w:rFonts w:hint="eastAsia" w:ascii="宋体" w:hAnsi="宋体" w:cs="宋体"/>
          <w:sz w:val="24"/>
        </w:rPr>
        <w:t>（八）以其他不合理条件限制或者排斥潜在供应商。</w:t>
      </w:r>
    </w:p>
    <w:p>
      <w:pPr>
        <w:pStyle w:val="46"/>
        <w:spacing w:before="0" w:after="0" w:line="560" w:lineRule="exact"/>
        <w:ind w:firstLine="482" w:firstLineChars="200"/>
        <w:jc w:val="left"/>
        <w:rPr>
          <w:rFonts w:ascii="宋体" w:hAnsi="宋体"/>
          <w:color w:val="auto"/>
          <w:sz w:val="24"/>
          <w:szCs w:val="24"/>
        </w:rPr>
      </w:pPr>
      <w:bookmarkStart w:id="419" w:name="_Toc397928598"/>
      <w:bookmarkStart w:id="420" w:name="_Toc445046860"/>
      <w:r>
        <w:rPr>
          <w:rFonts w:hint="eastAsia" w:ascii="宋体" w:hAnsi="宋体"/>
          <w:color w:val="auto"/>
          <w:sz w:val="24"/>
          <w:szCs w:val="24"/>
        </w:rPr>
        <w:t>10.招标人需要补充的其他内容</w:t>
      </w:r>
      <w:bookmarkEnd w:id="414"/>
      <w:bookmarkEnd w:id="415"/>
      <w:bookmarkEnd w:id="416"/>
      <w:bookmarkEnd w:id="417"/>
      <w:bookmarkEnd w:id="419"/>
      <w:bookmarkEnd w:id="420"/>
    </w:p>
    <w:p>
      <w:pPr>
        <w:pStyle w:val="5"/>
        <w:spacing w:beforeLines="0" w:line="560" w:lineRule="exact"/>
        <w:ind w:firstLine="480" w:firstLineChars="200"/>
        <w:jc w:val="left"/>
        <w:rPr>
          <w:rFonts w:ascii="宋体" w:hAnsi="宋体" w:eastAsia="宋体" w:cs="宋体"/>
          <w:sz w:val="24"/>
        </w:rPr>
      </w:pPr>
      <w:bookmarkStart w:id="421" w:name="_Toc445046861"/>
      <w:r>
        <w:rPr>
          <w:rFonts w:hint="eastAsia" w:ascii="宋体" w:hAnsi="宋体" w:eastAsia="宋体" w:cs="宋体"/>
          <w:sz w:val="24"/>
        </w:rPr>
        <w:t>10.1</w:t>
      </w:r>
      <w:bookmarkEnd w:id="421"/>
      <w:bookmarkStart w:id="422" w:name="_Toc445046862"/>
      <w:r>
        <w:rPr>
          <w:rFonts w:hint="eastAsia" w:ascii="宋体" w:hAnsi="宋体" w:eastAsia="宋体" w:cs="宋体"/>
          <w:sz w:val="24"/>
        </w:rPr>
        <w:t>、其它内容</w:t>
      </w:r>
      <w:bookmarkEnd w:id="422"/>
    </w:p>
    <w:p>
      <w:pPr>
        <w:spacing w:line="560" w:lineRule="exact"/>
        <w:ind w:firstLine="480" w:firstLineChars="200"/>
        <w:jc w:val="left"/>
        <w:rPr>
          <w:rFonts w:ascii="宋体" w:hAnsi="宋体" w:cs="宋体"/>
          <w:sz w:val="24"/>
        </w:rPr>
      </w:pPr>
      <w:r>
        <w:rPr>
          <w:rFonts w:hint="eastAsia" w:ascii="宋体" w:hAnsi="宋体" w:cs="宋体"/>
          <w:sz w:val="24"/>
        </w:rPr>
        <w:t>无。</w:t>
      </w:r>
    </w:p>
    <w:p>
      <w:pPr>
        <w:spacing w:line="360" w:lineRule="auto"/>
        <w:jc w:val="center"/>
        <w:rPr>
          <w:rFonts w:ascii="宋体" w:hAnsi="宋体" w:cs="宋体"/>
          <w:b/>
          <w:bCs/>
          <w:kern w:val="44"/>
          <w:sz w:val="32"/>
          <w:szCs w:val="32"/>
        </w:rPr>
      </w:pPr>
    </w:p>
    <w:p>
      <w:pPr>
        <w:rPr>
          <w:rFonts w:ascii="宋体" w:hAnsi="宋体" w:cs="宋体"/>
          <w:b/>
          <w:bCs/>
          <w:kern w:val="44"/>
          <w:sz w:val="32"/>
          <w:szCs w:val="32"/>
        </w:rPr>
      </w:pPr>
      <w:r>
        <w:rPr>
          <w:rFonts w:hint="eastAsia" w:ascii="宋体" w:hAnsi="宋体" w:cs="宋体"/>
          <w:b/>
          <w:bCs/>
          <w:kern w:val="44"/>
          <w:sz w:val="32"/>
          <w:szCs w:val="32"/>
        </w:rPr>
        <w:br w:type="page"/>
      </w:r>
    </w:p>
    <w:p>
      <w:pPr>
        <w:spacing w:line="360" w:lineRule="auto"/>
        <w:jc w:val="center"/>
        <w:rPr>
          <w:rFonts w:ascii="宋体" w:hAnsi="宋体" w:cs="宋体"/>
          <w:b/>
          <w:bCs/>
          <w:kern w:val="44"/>
          <w:sz w:val="32"/>
          <w:szCs w:val="32"/>
        </w:rPr>
      </w:pPr>
      <w:r>
        <w:rPr>
          <w:rFonts w:hint="eastAsia" w:ascii="宋体" w:hAnsi="宋体" w:cs="宋体"/>
          <w:b/>
          <w:bCs/>
          <w:kern w:val="44"/>
          <w:sz w:val="32"/>
          <w:szCs w:val="32"/>
        </w:rPr>
        <w:t>第三章 评标办法（</w:t>
      </w:r>
      <w:r>
        <w:rPr>
          <w:rFonts w:ascii="宋体" w:hAnsi="宋体" w:cs="宋体"/>
          <w:b/>
          <w:bCs/>
          <w:kern w:val="44"/>
          <w:sz w:val="32"/>
          <w:szCs w:val="32"/>
        </w:rPr>
        <w:t>综合评分法</w:t>
      </w:r>
      <w:r>
        <w:rPr>
          <w:rFonts w:hint="eastAsia" w:ascii="宋体" w:hAnsi="宋体" w:cs="宋体"/>
          <w:b/>
          <w:bCs/>
          <w:kern w:val="44"/>
          <w:sz w:val="32"/>
          <w:szCs w:val="32"/>
        </w:rPr>
        <w:t>）</w:t>
      </w:r>
    </w:p>
    <w:p>
      <w:pPr>
        <w:pStyle w:val="4"/>
        <w:spacing w:before="0" w:line="560" w:lineRule="exact"/>
        <w:rPr>
          <w:rFonts w:ascii="宋体" w:hAnsi="宋体" w:eastAsia="宋体" w:cs="宋体"/>
          <w:sz w:val="24"/>
          <w:szCs w:val="24"/>
        </w:rPr>
      </w:pPr>
      <w:bookmarkStart w:id="423" w:name="_Toc184635093"/>
      <w:bookmarkStart w:id="424" w:name="_Toc448306457"/>
      <w:bookmarkStart w:id="425" w:name="_Toc12629"/>
      <w:bookmarkStart w:id="426" w:name="_Toc397928601"/>
      <w:r>
        <w:rPr>
          <w:rFonts w:hint="eastAsia" w:ascii="宋体" w:hAnsi="宋体" w:eastAsia="宋体" w:cs="宋体"/>
          <w:sz w:val="24"/>
          <w:szCs w:val="24"/>
        </w:rPr>
        <w:t>1． 评标方法</w:t>
      </w:r>
      <w:bookmarkEnd w:id="423"/>
      <w:bookmarkEnd w:id="424"/>
      <w:bookmarkEnd w:id="425"/>
      <w:bookmarkEnd w:id="426"/>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pStyle w:val="4"/>
        <w:spacing w:line="560" w:lineRule="exact"/>
        <w:rPr>
          <w:rFonts w:ascii="宋体" w:hAnsi="宋体" w:eastAsia="宋体" w:cs="宋体"/>
          <w:sz w:val="24"/>
          <w:szCs w:val="24"/>
        </w:rPr>
      </w:pPr>
      <w:bookmarkStart w:id="427" w:name="_Toc397928602"/>
      <w:bookmarkStart w:id="428" w:name="_Toc10088"/>
      <w:bookmarkStart w:id="429" w:name="_Toc448306458"/>
      <w:bookmarkStart w:id="430" w:name="_Toc184635094"/>
      <w:r>
        <w:rPr>
          <w:rFonts w:hint="eastAsia" w:ascii="宋体" w:hAnsi="宋体" w:eastAsia="宋体" w:cs="宋体"/>
          <w:sz w:val="24"/>
          <w:szCs w:val="24"/>
        </w:rPr>
        <w:t>2． 评审标准</w:t>
      </w:r>
      <w:bookmarkEnd w:id="427"/>
      <w:bookmarkEnd w:id="428"/>
      <w:bookmarkEnd w:id="429"/>
      <w:bookmarkEnd w:id="430"/>
    </w:p>
    <w:p>
      <w:pPr>
        <w:pStyle w:val="5"/>
        <w:spacing w:before="240" w:line="560" w:lineRule="exact"/>
        <w:ind w:firstLine="118"/>
        <w:jc w:val="left"/>
        <w:rPr>
          <w:rFonts w:ascii="宋体" w:hAnsi="宋体" w:eastAsia="宋体" w:cs="宋体"/>
        </w:rPr>
      </w:pPr>
      <w:bookmarkStart w:id="431" w:name="_Toc314"/>
      <w:bookmarkStart w:id="432" w:name="_Toc448306459"/>
      <w:bookmarkStart w:id="433" w:name="_Toc397928603"/>
      <w:r>
        <w:rPr>
          <w:rFonts w:hint="eastAsia" w:ascii="宋体" w:hAnsi="宋体" w:eastAsia="宋体" w:cs="宋体"/>
        </w:rPr>
        <w:t>2.1 初步评审标准</w:t>
      </w:r>
      <w:bookmarkEnd w:id="431"/>
      <w:bookmarkEnd w:id="432"/>
      <w:bookmarkEnd w:id="433"/>
    </w:p>
    <w:p>
      <w:pPr>
        <w:spacing w:line="560" w:lineRule="exact"/>
        <w:ind w:firstLine="480" w:firstLineChars="200"/>
        <w:rPr>
          <w:rFonts w:ascii="宋体" w:hAnsi="宋体" w:cs="宋体"/>
          <w:sz w:val="24"/>
        </w:rPr>
      </w:pPr>
      <w:r>
        <w:rPr>
          <w:rFonts w:hint="eastAsia" w:ascii="宋体" w:hAnsi="宋体" w:cs="宋体"/>
          <w:sz w:val="24"/>
        </w:rPr>
        <w:t>2.1.1 资质性评审标准：（对照投标须知3.1.1编制审查标准。）</w:t>
      </w:r>
    </w:p>
    <w:p>
      <w:pPr>
        <w:spacing w:line="560" w:lineRule="exact"/>
        <w:ind w:firstLine="482" w:firstLineChars="200"/>
        <w:rPr>
          <w:rFonts w:ascii="宋体" w:hAnsi="宋体" w:cs="宋体"/>
          <w:b/>
          <w:sz w:val="24"/>
        </w:rPr>
      </w:pPr>
      <w:r>
        <w:rPr>
          <w:rFonts w:hint="eastAsia" w:ascii="宋体" w:hAnsi="宋体" w:cs="宋体"/>
          <w:b/>
          <w:sz w:val="24"/>
        </w:rPr>
        <w:t>在投标时应按招标文件要求将上述资料放入资质标书封袋内随投标文件一起递交，未提交上述资料或资料不全的，资格审查不予通过。</w:t>
      </w:r>
    </w:p>
    <w:p>
      <w:pPr>
        <w:spacing w:line="560" w:lineRule="exact"/>
        <w:ind w:firstLine="480" w:firstLineChars="200"/>
        <w:rPr>
          <w:rFonts w:ascii="宋体" w:hAnsi="宋体" w:cs="宋体"/>
          <w:sz w:val="24"/>
        </w:rPr>
      </w:pPr>
      <w:r>
        <w:rPr>
          <w:rFonts w:hint="eastAsia" w:ascii="宋体" w:hAnsi="宋体" w:cs="宋体"/>
          <w:sz w:val="24"/>
        </w:rPr>
        <w:t>2.1.2 符合性评审标准：依据招标文件的规定，从投标文件的有效性、完整性和对招标文件的响应程度进行审查，以确定是否对招标文件的实质性要求作出响应。</w:t>
      </w:r>
    </w:p>
    <w:p>
      <w:pPr>
        <w:spacing w:line="560" w:lineRule="exact"/>
        <w:ind w:firstLine="480" w:firstLineChars="200"/>
        <w:rPr>
          <w:rFonts w:ascii="宋体" w:hAnsi="宋体" w:cs="宋体"/>
          <w:sz w:val="24"/>
        </w:rPr>
      </w:pPr>
      <w:r>
        <w:rPr>
          <w:rFonts w:hint="eastAsia" w:ascii="宋体" w:hAnsi="宋体" w:cs="宋体"/>
          <w:sz w:val="24"/>
        </w:rPr>
        <w:t>审查标准主要有投标文件签字盖章、投标文件的组成、投标文件及报价唯一、供货期或工期、质量要求等方面。</w:t>
      </w:r>
    </w:p>
    <w:p>
      <w:pPr>
        <w:pStyle w:val="5"/>
        <w:spacing w:before="240" w:line="560" w:lineRule="exact"/>
        <w:ind w:firstLine="118"/>
        <w:jc w:val="left"/>
        <w:rPr>
          <w:rFonts w:ascii="宋体" w:hAnsi="宋体" w:eastAsia="宋体" w:cs="宋体"/>
        </w:rPr>
      </w:pPr>
      <w:bookmarkStart w:id="434" w:name="_Toc32592"/>
      <w:bookmarkStart w:id="435" w:name="_Toc397928604"/>
      <w:bookmarkStart w:id="436" w:name="_Toc448306460"/>
      <w:r>
        <w:rPr>
          <w:rFonts w:hint="eastAsia" w:ascii="宋体" w:hAnsi="宋体" w:eastAsia="宋体" w:cs="宋体"/>
        </w:rPr>
        <w:t>2.2 分值构成与评分标准</w:t>
      </w:r>
      <w:bookmarkEnd w:id="434"/>
      <w:bookmarkEnd w:id="435"/>
      <w:bookmarkEnd w:id="436"/>
    </w:p>
    <w:tbl>
      <w:tblPr>
        <w:tblStyle w:val="85"/>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3" w:type="dxa"/>
          <w:left w:w="57" w:type="dxa"/>
          <w:bottom w:w="0" w:type="dxa"/>
          <w:right w:w="0" w:type="dxa"/>
        </w:tblCellMar>
      </w:tblPr>
      <w:tblGrid>
        <w:gridCol w:w="709"/>
        <w:gridCol w:w="1276"/>
        <w:gridCol w:w="709"/>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57" w:type="dxa"/>
            <w:bottom w:w="0" w:type="dxa"/>
            <w:right w:w="0" w:type="dxa"/>
          </w:tblCellMar>
        </w:tblPrEx>
        <w:trPr>
          <w:trHeight w:val="628" w:hRule="atLeast"/>
        </w:trPr>
        <w:tc>
          <w:tcPr>
            <w:tcW w:w="709" w:type="dxa"/>
            <w:vAlign w:val="center"/>
          </w:tcPr>
          <w:p>
            <w:pPr>
              <w:widowControl/>
              <w:spacing w:line="360" w:lineRule="auto"/>
              <w:ind w:left="95"/>
              <w:rPr>
                <w:rFonts w:ascii="宋体" w:hAnsi="宋体" w:cs="Calibri"/>
                <w:b/>
                <w:bCs/>
                <w:sz w:val="24"/>
                <w:highlight w:val="none"/>
              </w:rPr>
            </w:pPr>
            <w:r>
              <w:rPr>
                <w:rFonts w:ascii="宋体" w:hAnsi="宋体" w:cs="宋体"/>
                <w:b/>
                <w:bCs/>
                <w:sz w:val="24"/>
                <w:highlight w:val="none"/>
              </w:rPr>
              <w:t>序号</w:t>
            </w:r>
          </w:p>
        </w:tc>
        <w:tc>
          <w:tcPr>
            <w:tcW w:w="1276" w:type="dxa"/>
            <w:vAlign w:val="center"/>
          </w:tcPr>
          <w:p>
            <w:pPr>
              <w:widowControl/>
              <w:spacing w:line="360" w:lineRule="auto"/>
              <w:ind w:left="296"/>
              <w:jc w:val="left"/>
              <w:rPr>
                <w:rFonts w:ascii="宋体" w:hAnsi="宋体" w:cs="Calibri"/>
                <w:b/>
                <w:bCs/>
                <w:sz w:val="24"/>
                <w:highlight w:val="none"/>
              </w:rPr>
            </w:pPr>
            <w:r>
              <w:rPr>
                <w:rFonts w:ascii="宋体" w:hAnsi="宋体" w:cs="宋体"/>
                <w:b/>
                <w:bCs/>
                <w:sz w:val="24"/>
                <w:highlight w:val="none"/>
              </w:rPr>
              <w:t>内容</w:t>
            </w:r>
          </w:p>
        </w:tc>
        <w:tc>
          <w:tcPr>
            <w:tcW w:w="709" w:type="dxa"/>
            <w:vAlign w:val="center"/>
          </w:tcPr>
          <w:p>
            <w:pPr>
              <w:widowControl/>
              <w:spacing w:line="360" w:lineRule="auto"/>
              <w:ind w:left="46"/>
              <w:rPr>
                <w:rFonts w:ascii="宋体" w:hAnsi="宋体" w:cs="Calibri"/>
                <w:b/>
                <w:bCs/>
                <w:sz w:val="24"/>
                <w:highlight w:val="none"/>
              </w:rPr>
            </w:pPr>
            <w:r>
              <w:rPr>
                <w:rFonts w:ascii="宋体" w:hAnsi="宋体" w:cs="宋体"/>
                <w:b/>
                <w:bCs/>
                <w:sz w:val="24"/>
                <w:highlight w:val="none"/>
              </w:rPr>
              <w:t>分值</w:t>
            </w:r>
          </w:p>
        </w:tc>
        <w:tc>
          <w:tcPr>
            <w:tcW w:w="7087" w:type="dxa"/>
            <w:vAlign w:val="center"/>
          </w:tcPr>
          <w:p>
            <w:pPr>
              <w:widowControl/>
              <w:spacing w:line="360" w:lineRule="auto"/>
              <w:ind w:right="53"/>
              <w:jc w:val="center"/>
              <w:rPr>
                <w:rFonts w:ascii="宋体" w:hAnsi="宋体" w:cs="Calibri"/>
                <w:b/>
                <w:bCs/>
                <w:sz w:val="24"/>
                <w:highlight w:val="none"/>
              </w:rPr>
            </w:pPr>
            <w:r>
              <w:rPr>
                <w:rFonts w:ascii="宋体" w:hAnsi="宋体" w:cs="宋体"/>
                <w:b/>
                <w:bCs/>
                <w:sz w:val="24"/>
                <w:highlight w:val="none"/>
              </w:rPr>
              <w:t>打分要求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57" w:type="dxa"/>
            <w:bottom w:w="0" w:type="dxa"/>
            <w:right w:w="0" w:type="dxa"/>
          </w:tblCellMar>
        </w:tblPrEx>
        <w:trPr>
          <w:trHeight w:val="940" w:hRule="atLeast"/>
        </w:trPr>
        <w:tc>
          <w:tcPr>
            <w:tcW w:w="709" w:type="dxa"/>
            <w:vAlign w:val="center"/>
          </w:tcPr>
          <w:p>
            <w:pPr>
              <w:widowControl/>
              <w:spacing w:line="360" w:lineRule="auto"/>
              <w:ind w:left="184"/>
              <w:jc w:val="left"/>
              <w:rPr>
                <w:rFonts w:ascii="宋体" w:hAnsi="宋体" w:cs="Calibri"/>
                <w:sz w:val="24"/>
                <w:highlight w:val="none"/>
              </w:rPr>
            </w:pPr>
            <w:r>
              <w:rPr>
                <w:rFonts w:ascii="宋体" w:hAnsi="宋体" w:cs="宋体"/>
                <w:sz w:val="24"/>
                <w:highlight w:val="none"/>
              </w:rPr>
              <w:t>一</w:t>
            </w:r>
          </w:p>
        </w:tc>
        <w:tc>
          <w:tcPr>
            <w:tcW w:w="1276" w:type="dxa"/>
            <w:vAlign w:val="center"/>
          </w:tcPr>
          <w:p>
            <w:pPr>
              <w:widowControl/>
              <w:spacing w:line="360" w:lineRule="auto"/>
              <w:jc w:val="center"/>
              <w:rPr>
                <w:rFonts w:ascii="宋体" w:hAnsi="宋体" w:cs="Calibri"/>
                <w:sz w:val="24"/>
                <w:highlight w:val="none"/>
              </w:rPr>
            </w:pPr>
            <w:r>
              <w:rPr>
                <w:rFonts w:ascii="宋体" w:hAnsi="宋体" w:cs="宋体"/>
                <w:sz w:val="24"/>
                <w:highlight w:val="none"/>
              </w:rPr>
              <w:t>价格部分（</w:t>
            </w:r>
            <w:r>
              <w:rPr>
                <w:rFonts w:hint="eastAsia" w:ascii="宋体" w:hAnsi="宋体" w:cs="宋体"/>
                <w:sz w:val="24"/>
                <w:highlight w:val="none"/>
              </w:rPr>
              <w:t>35</w:t>
            </w:r>
            <w:r>
              <w:rPr>
                <w:rFonts w:ascii="宋体" w:hAnsi="宋体" w:cs="宋体"/>
                <w:sz w:val="24"/>
                <w:highlight w:val="none"/>
              </w:rPr>
              <w:t>分）</w:t>
            </w:r>
          </w:p>
        </w:tc>
        <w:tc>
          <w:tcPr>
            <w:tcW w:w="709" w:type="dxa"/>
            <w:vAlign w:val="center"/>
          </w:tcPr>
          <w:p>
            <w:pPr>
              <w:widowControl/>
              <w:spacing w:line="360" w:lineRule="auto"/>
              <w:ind w:right="58"/>
              <w:jc w:val="center"/>
              <w:rPr>
                <w:rFonts w:ascii="宋体" w:hAnsi="宋体" w:cs="Calibri"/>
                <w:sz w:val="24"/>
                <w:highlight w:val="none"/>
              </w:rPr>
            </w:pPr>
            <w:r>
              <w:rPr>
                <w:rFonts w:hint="eastAsia" w:ascii="宋体" w:hAnsi="宋体" w:cs="宋体"/>
                <w:sz w:val="24"/>
                <w:highlight w:val="none"/>
              </w:rPr>
              <w:t>35</w:t>
            </w:r>
          </w:p>
        </w:tc>
        <w:tc>
          <w:tcPr>
            <w:tcW w:w="7087" w:type="dxa"/>
          </w:tcPr>
          <w:p>
            <w:pPr>
              <w:widowControl/>
              <w:spacing w:line="360" w:lineRule="auto"/>
              <w:rPr>
                <w:rFonts w:ascii="宋体" w:hAnsi="宋体" w:cs="宋体"/>
                <w:sz w:val="24"/>
                <w:highlight w:val="none"/>
              </w:rPr>
            </w:pPr>
            <w:r>
              <w:rPr>
                <w:rFonts w:hint="eastAsia" w:ascii="宋体" w:hAnsi="宋体" w:cs="宋体"/>
                <w:sz w:val="24"/>
                <w:highlight w:val="none"/>
              </w:rPr>
              <w:t>以有效投标文件的最低投标价为评标基准价，投标价等于评标基准价的得满分；偏离评标基准价的，得分＝（评标基准价</w:t>
            </w:r>
            <w:r>
              <w:rPr>
                <w:rFonts w:ascii="宋体" w:hAnsi="宋体" w:cs="宋体"/>
                <w:sz w:val="24"/>
                <w:highlight w:val="none"/>
              </w:rPr>
              <w:t>/投标价格）×</w:t>
            </w:r>
            <w:r>
              <w:rPr>
                <w:rFonts w:hint="eastAsia" w:ascii="宋体" w:hAnsi="宋体" w:cs="宋体"/>
                <w:sz w:val="24"/>
                <w:highlight w:val="none"/>
              </w:rPr>
              <w:t>35</w:t>
            </w:r>
            <w:r>
              <w:rPr>
                <w:rFonts w:ascii="宋体" w:hAnsi="宋体" w:cs="宋体"/>
                <w:sz w:val="24"/>
                <w:highlight w:val="none"/>
              </w:rPr>
              <w:t xml:space="preserve"> （保留两位小数）。</w:t>
            </w:r>
          </w:p>
          <w:p>
            <w:pPr>
              <w:widowControl/>
              <w:spacing w:line="360" w:lineRule="auto"/>
              <w:rPr>
                <w:rFonts w:ascii="宋体" w:hAnsi="宋体" w:cs="宋体"/>
                <w:sz w:val="24"/>
                <w:highlight w:val="none"/>
              </w:rPr>
            </w:pPr>
            <w:r>
              <w:rPr>
                <w:rFonts w:ascii="宋体" w:hAnsi="宋体" w:cs="宋体"/>
                <w:sz w:val="24"/>
                <w:highlight w:val="none"/>
              </w:rPr>
              <w:t>1、计算分数时四舍五入取小数点后两位。</w:t>
            </w:r>
          </w:p>
          <w:p>
            <w:pPr>
              <w:widowControl/>
              <w:spacing w:line="360" w:lineRule="auto"/>
              <w:rPr>
                <w:rFonts w:ascii="宋体" w:hAnsi="宋体" w:cs="宋体"/>
                <w:sz w:val="24"/>
                <w:highlight w:val="none"/>
              </w:rPr>
            </w:pPr>
            <w:r>
              <w:rPr>
                <w:rFonts w:ascii="宋体" w:hAnsi="宋体" w:cs="宋体"/>
                <w:sz w:val="24"/>
                <w:highlight w:val="none"/>
              </w:rPr>
              <w:t>2、根据相关法律法规要求对小型、微型企业【及视同小型、微型企业的企业，须提供相关证明材料及声明函】</w:t>
            </w:r>
            <w:r>
              <w:rPr>
                <w:rFonts w:ascii="宋体" w:hAnsi="宋体" w:cs="宋体"/>
                <w:b/>
                <w:sz w:val="24"/>
                <w:highlight w:val="none"/>
              </w:rPr>
              <w:t>产品的价格</w:t>
            </w:r>
            <w:r>
              <w:rPr>
                <w:rFonts w:ascii="宋体" w:hAnsi="宋体" w:cs="宋体"/>
                <w:sz w:val="24"/>
                <w:highlight w:val="none"/>
              </w:rPr>
              <w:t>给予10%的扣除，用扣除后的价格参与评审。一个项目中包含多项货物采购的</w:t>
            </w:r>
            <w:r>
              <w:rPr>
                <w:rFonts w:hint="eastAsia" w:ascii="宋体" w:hAnsi="宋体" w:cs="宋体"/>
                <w:sz w:val="24"/>
                <w:highlight w:val="none"/>
              </w:rPr>
              <w:t>，</w:t>
            </w:r>
            <w:r>
              <w:rPr>
                <w:rFonts w:ascii="宋体" w:hAnsi="宋体" w:cs="宋体"/>
                <w:sz w:val="24"/>
                <w:highlight w:val="none"/>
              </w:rPr>
              <w:t>按其中可以认定为小微企业生产产品的价格或价值部分给予价格折扣</w:t>
            </w:r>
            <w:r>
              <w:rPr>
                <w:rFonts w:hint="eastAsia" w:ascii="宋体" w:hAnsi="宋体" w:cs="宋体"/>
                <w:sz w:val="24"/>
                <w:highlight w:val="none"/>
              </w:rPr>
              <w:t>。</w:t>
            </w:r>
          </w:p>
          <w:p>
            <w:pPr>
              <w:widowControl/>
              <w:spacing w:line="360" w:lineRule="auto"/>
              <w:ind w:firstLine="480" w:firstLineChars="200"/>
              <w:rPr>
                <w:rFonts w:ascii="宋体" w:hAnsi="宋体" w:cs="宋体"/>
                <w:sz w:val="24"/>
                <w:highlight w:val="none"/>
              </w:rPr>
            </w:pPr>
            <w:r>
              <w:rPr>
                <w:rFonts w:hint="eastAsia" w:ascii="宋体" w:hAnsi="宋体" w:cs="宋体"/>
                <w:sz w:val="24"/>
                <w:highlight w:val="none"/>
              </w:rPr>
              <w:t>中小微企业划分标准以工信部、国家统计局、国家发改委、财政部《关于印发中小企业划型标准规定的通知》（工信部联企业</w:t>
            </w:r>
            <w:r>
              <w:rPr>
                <w:rFonts w:ascii="宋体" w:hAnsi="宋体" w:cs="宋体"/>
                <w:sz w:val="24"/>
                <w:highlight w:val="none"/>
              </w:rPr>
              <w:t>{2011}300号）为准。中小微企业在投标文件中，须签署《中小企业声明函》，如有虚假，将按照《中华人民共和国政府采购法》第七十七条依法承担相应责任。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57" w:type="dxa"/>
            <w:bottom w:w="0" w:type="dxa"/>
            <w:right w:w="0" w:type="dxa"/>
          </w:tblCellMar>
        </w:tblPrEx>
        <w:trPr>
          <w:trHeight w:val="1062" w:hRule="atLeast"/>
        </w:trPr>
        <w:tc>
          <w:tcPr>
            <w:tcW w:w="709" w:type="dxa"/>
            <w:vMerge w:val="restart"/>
            <w:vAlign w:val="center"/>
          </w:tcPr>
          <w:p>
            <w:pPr>
              <w:widowControl/>
              <w:spacing w:line="360" w:lineRule="auto"/>
              <w:ind w:left="184"/>
              <w:jc w:val="left"/>
              <w:rPr>
                <w:rFonts w:ascii="宋体" w:hAnsi="宋体" w:cs="Calibri"/>
                <w:sz w:val="24"/>
                <w:highlight w:val="none"/>
              </w:rPr>
            </w:pPr>
            <w:r>
              <w:rPr>
                <w:rFonts w:ascii="宋体" w:hAnsi="宋体" w:cs="宋体"/>
                <w:sz w:val="24"/>
                <w:highlight w:val="none"/>
              </w:rPr>
              <w:t>二</w:t>
            </w:r>
          </w:p>
        </w:tc>
        <w:tc>
          <w:tcPr>
            <w:tcW w:w="1276" w:type="dxa"/>
            <w:vMerge w:val="restart"/>
            <w:vAlign w:val="center"/>
          </w:tcPr>
          <w:p>
            <w:pPr>
              <w:widowControl/>
              <w:spacing w:line="360" w:lineRule="auto"/>
              <w:jc w:val="center"/>
              <w:rPr>
                <w:rFonts w:ascii="宋体" w:hAnsi="宋体" w:cs="宋体"/>
                <w:sz w:val="24"/>
                <w:highlight w:val="none"/>
              </w:rPr>
            </w:pPr>
            <w:r>
              <w:rPr>
                <w:rFonts w:ascii="宋体" w:hAnsi="宋体" w:cs="宋体"/>
                <w:sz w:val="24"/>
                <w:highlight w:val="none"/>
              </w:rPr>
              <w:t>商务部分</w:t>
            </w:r>
          </w:p>
          <w:p>
            <w:pPr>
              <w:widowControl/>
              <w:spacing w:line="360" w:lineRule="auto"/>
              <w:jc w:val="center"/>
              <w:rPr>
                <w:rFonts w:ascii="宋体" w:hAnsi="宋体" w:cs="Calibri"/>
                <w:sz w:val="24"/>
                <w:highlight w:val="none"/>
              </w:rPr>
            </w:pPr>
            <w:r>
              <w:rPr>
                <w:rFonts w:ascii="宋体" w:hAnsi="宋体" w:cs="宋体"/>
                <w:sz w:val="24"/>
                <w:highlight w:val="none"/>
              </w:rPr>
              <w:t>（</w:t>
            </w:r>
            <w:r>
              <w:rPr>
                <w:rFonts w:hint="eastAsia" w:ascii="宋体" w:hAnsi="宋体" w:cs="宋体"/>
                <w:sz w:val="24"/>
                <w:highlight w:val="none"/>
                <w:lang w:val="en-US" w:eastAsia="zh-CN"/>
              </w:rPr>
              <w:t>9</w:t>
            </w:r>
            <w:r>
              <w:rPr>
                <w:rFonts w:ascii="宋体" w:hAnsi="宋体" w:cs="宋体"/>
                <w:sz w:val="24"/>
                <w:highlight w:val="none"/>
              </w:rPr>
              <w:t>分）</w:t>
            </w:r>
          </w:p>
        </w:tc>
        <w:tc>
          <w:tcPr>
            <w:tcW w:w="709" w:type="dxa"/>
            <w:vAlign w:val="center"/>
          </w:tcPr>
          <w:p>
            <w:pPr>
              <w:widowControl/>
              <w:spacing w:line="360" w:lineRule="auto"/>
              <w:ind w:right="58"/>
              <w:jc w:val="center"/>
              <w:rPr>
                <w:rFonts w:hint="default" w:ascii="宋体" w:hAnsi="宋体" w:eastAsia="宋体" w:cs="Calibri"/>
                <w:sz w:val="24"/>
                <w:highlight w:val="none"/>
                <w:lang w:val="en-US" w:eastAsia="zh-CN"/>
              </w:rPr>
            </w:pPr>
            <w:r>
              <w:rPr>
                <w:rFonts w:hint="eastAsia" w:ascii="宋体" w:hAnsi="宋体" w:cs="Calibri"/>
                <w:sz w:val="24"/>
                <w:highlight w:val="none"/>
                <w:lang w:val="en-US" w:eastAsia="zh-CN"/>
              </w:rPr>
              <w:t>4.5</w:t>
            </w:r>
          </w:p>
        </w:tc>
        <w:tc>
          <w:tcPr>
            <w:tcW w:w="7087" w:type="dxa"/>
          </w:tcPr>
          <w:p>
            <w:pPr>
              <w:widowControl/>
              <w:spacing w:line="360" w:lineRule="auto"/>
              <w:jc w:val="left"/>
              <w:rPr>
                <w:rFonts w:ascii="宋体" w:hAnsi="宋体" w:cs="宋体"/>
                <w:sz w:val="24"/>
                <w:highlight w:val="none"/>
              </w:rPr>
            </w:pPr>
            <w:r>
              <w:rPr>
                <w:rFonts w:hint="eastAsia" w:ascii="宋体" w:hAnsi="宋体" w:cs="宋体"/>
                <w:sz w:val="24"/>
                <w:highlight w:val="none"/>
              </w:rPr>
              <w:t>投标人具备质量管理体系认证、环境管理体系认证、职业健康安全管理体系证书</w:t>
            </w:r>
            <w:r>
              <w:rPr>
                <w:rFonts w:hint="eastAsia" w:ascii="宋体" w:hAnsi="宋体" w:cs="宋体"/>
                <w:sz w:val="24"/>
                <w:highlight w:val="none"/>
                <w:lang w:eastAsia="zh-CN"/>
              </w:rPr>
              <w:t>，每提供一个</w:t>
            </w:r>
            <w:r>
              <w:rPr>
                <w:rFonts w:hint="eastAsia" w:ascii="宋体" w:hAnsi="宋体" w:cs="宋体"/>
                <w:sz w:val="24"/>
                <w:highlight w:val="none"/>
              </w:rPr>
              <w:t>得</w:t>
            </w:r>
            <w:r>
              <w:rPr>
                <w:rFonts w:hint="eastAsia" w:ascii="宋体" w:hAnsi="宋体" w:cs="宋体"/>
                <w:sz w:val="24"/>
                <w:highlight w:val="none"/>
                <w:lang w:val="en-US" w:eastAsia="zh-CN"/>
              </w:rPr>
              <w:t>1.5</w:t>
            </w:r>
            <w:r>
              <w:rPr>
                <w:rFonts w:hint="eastAsia" w:ascii="宋体" w:hAnsi="宋体" w:cs="宋体"/>
                <w:sz w:val="24"/>
                <w:highlight w:val="none"/>
              </w:rPr>
              <w:t>分，</w:t>
            </w:r>
            <w:r>
              <w:rPr>
                <w:rFonts w:hint="eastAsia" w:ascii="宋体" w:hAnsi="宋体" w:cs="宋体"/>
                <w:sz w:val="24"/>
                <w:highlight w:val="none"/>
                <w:lang w:eastAsia="zh-CN"/>
              </w:rPr>
              <w:t>满分</w:t>
            </w:r>
            <w:r>
              <w:rPr>
                <w:rFonts w:hint="eastAsia" w:ascii="宋体" w:hAnsi="宋体" w:cs="宋体"/>
                <w:sz w:val="24"/>
                <w:highlight w:val="none"/>
                <w:lang w:val="en-US" w:eastAsia="zh-CN"/>
              </w:rPr>
              <w:t>4.5分</w:t>
            </w:r>
            <w:r>
              <w:rPr>
                <w:rFonts w:hint="eastAsia" w:ascii="宋体" w:hAnsi="宋体" w:cs="宋体"/>
                <w:sz w:val="24"/>
                <w:highlight w:val="none"/>
              </w:rPr>
              <w:t>。提供</w:t>
            </w:r>
            <w:r>
              <w:rPr>
                <w:rFonts w:hint="eastAsia" w:ascii="宋体" w:hAnsi="宋体" w:cs="宋体"/>
                <w:sz w:val="24"/>
                <w:highlight w:val="none"/>
                <w:lang w:eastAsia="zh-CN"/>
              </w:rPr>
              <w:t>证书复印件</w:t>
            </w:r>
            <w:r>
              <w:rPr>
                <w:rFonts w:hint="eastAsia" w:ascii="宋体" w:hAnsi="宋体" w:cs="宋体"/>
                <w:sz w:val="24"/>
                <w:highlight w:val="none"/>
              </w:rPr>
              <w:t>加盖投标单位公章作为评分依据，不提供</w:t>
            </w:r>
            <w:r>
              <w:rPr>
                <w:rFonts w:hint="eastAsia" w:ascii="宋体" w:hAnsi="宋体" w:cs="宋体"/>
                <w:sz w:val="24"/>
                <w:highlight w:val="none"/>
                <w:lang w:eastAsia="zh-CN"/>
              </w:rPr>
              <w:t>的</w:t>
            </w:r>
            <w:r>
              <w:rPr>
                <w:rFonts w:hint="eastAsia" w:ascii="宋体" w:hAnsi="宋体" w:cs="宋体"/>
                <w:sz w:val="24"/>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57" w:type="dxa"/>
            <w:bottom w:w="0" w:type="dxa"/>
            <w:right w:w="0" w:type="dxa"/>
          </w:tblCellMar>
        </w:tblPrEx>
        <w:trPr>
          <w:trHeight w:val="856" w:hRule="atLeast"/>
        </w:trPr>
        <w:tc>
          <w:tcPr>
            <w:tcW w:w="709" w:type="dxa"/>
            <w:vMerge w:val="continue"/>
          </w:tcPr>
          <w:p>
            <w:pPr>
              <w:widowControl/>
              <w:spacing w:after="160" w:line="360" w:lineRule="auto"/>
              <w:jc w:val="left"/>
              <w:rPr>
                <w:rFonts w:ascii="宋体" w:hAnsi="宋体" w:cs="Calibri"/>
                <w:sz w:val="24"/>
                <w:highlight w:val="none"/>
              </w:rPr>
            </w:pPr>
          </w:p>
        </w:tc>
        <w:tc>
          <w:tcPr>
            <w:tcW w:w="1276" w:type="dxa"/>
            <w:vMerge w:val="continue"/>
          </w:tcPr>
          <w:p>
            <w:pPr>
              <w:widowControl/>
              <w:spacing w:after="160" w:line="360" w:lineRule="auto"/>
              <w:jc w:val="left"/>
              <w:rPr>
                <w:rFonts w:ascii="宋体" w:hAnsi="宋体" w:cs="Calibri"/>
                <w:sz w:val="24"/>
                <w:highlight w:val="none"/>
              </w:rPr>
            </w:pPr>
          </w:p>
        </w:tc>
        <w:tc>
          <w:tcPr>
            <w:tcW w:w="709" w:type="dxa"/>
            <w:vAlign w:val="center"/>
          </w:tcPr>
          <w:p>
            <w:pPr>
              <w:widowControl/>
              <w:spacing w:line="360" w:lineRule="auto"/>
              <w:ind w:right="58"/>
              <w:jc w:val="center"/>
              <w:rPr>
                <w:rFonts w:hint="default" w:ascii="宋体" w:hAnsi="宋体" w:eastAsia="宋体" w:cs="Calibri"/>
                <w:sz w:val="24"/>
                <w:highlight w:val="none"/>
                <w:lang w:val="en-US" w:eastAsia="zh-CN"/>
              </w:rPr>
            </w:pPr>
            <w:r>
              <w:rPr>
                <w:rFonts w:hint="eastAsia" w:ascii="宋体" w:hAnsi="宋体" w:cs="Calibri"/>
                <w:sz w:val="24"/>
                <w:highlight w:val="none"/>
                <w:lang w:val="en-US" w:eastAsia="zh-CN"/>
              </w:rPr>
              <w:t>4.5</w:t>
            </w:r>
          </w:p>
        </w:tc>
        <w:tc>
          <w:tcPr>
            <w:tcW w:w="7087" w:type="dxa"/>
            <w:vAlign w:val="center"/>
          </w:tcPr>
          <w:p>
            <w:pPr>
              <w:widowControl/>
              <w:spacing w:line="360" w:lineRule="auto"/>
              <w:jc w:val="left"/>
              <w:rPr>
                <w:rFonts w:ascii="宋体" w:hAnsi="宋体" w:cs="Calibri"/>
                <w:sz w:val="24"/>
                <w:highlight w:val="none"/>
              </w:rPr>
            </w:pPr>
            <w:r>
              <w:rPr>
                <w:rFonts w:hint="eastAsia" w:ascii="宋体" w:hAnsi="宋体" w:cs="Calibri"/>
                <w:sz w:val="24"/>
                <w:highlight w:val="none"/>
              </w:rPr>
              <w:t>投标人提供通过国家:GB/T9254-2008A级电源端子传导骚扰电压测试；GB/T9254-2008A级辐射骚扰测试；GB17625.1-2012级谐波电流测试； GB/T17618-2015级静电放电抗扰度测试；产品抗干扰等级为Class A级</w:t>
            </w:r>
            <w:r>
              <w:rPr>
                <w:rFonts w:hint="eastAsia" w:ascii="宋体" w:hAnsi="宋体" w:cs="Calibri"/>
                <w:sz w:val="24"/>
                <w:highlight w:val="none"/>
                <w:lang w:eastAsia="zh-CN"/>
              </w:rPr>
              <w:t>；</w:t>
            </w:r>
            <w:r>
              <w:rPr>
                <w:rFonts w:hint="eastAsia" w:ascii="宋体" w:hAnsi="宋体" w:cs="Calibri"/>
                <w:sz w:val="24"/>
                <w:highlight w:val="none"/>
              </w:rPr>
              <w:t>LED显示屏通过蓝光无风险危害检测</w:t>
            </w:r>
            <w:r>
              <w:rPr>
                <w:rFonts w:hint="eastAsia" w:ascii="宋体" w:hAnsi="宋体" w:cs="Calibri"/>
                <w:sz w:val="24"/>
                <w:highlight w:val="none"/>
                <w:lang w:eastAsia="zh-CN"/>
              </w:rPr>
              <w:t>；</w:t>
            </w:r>
            <w:r>
              <w:rPr>
                <w:rFonts w:hint="eastAsia" w:ascii="宋体" w:hAnsi="宋体" w:cs="Calibri"/>
                <w:sz w:val="24"/>
                <w:highlight w:val="none"/>
              </w:rPr>
              <w:t>LED显示屏通过</w:t>
            </w:r>
            <w:r>
              <w:rPr>
                <w:rFonts w:hint="eastAsia" w:ascii="宋体" w:hAnsi="宋体" w:cs="Calibri"/>
                <w:sz w:val="24"/>
                <w:highlight w:val="none"/>
                <w:lang w:eastAsia="zh-CN"/>
              </w:rPr>
              <w:t>节能认证；</w:t>
            </w:r>
            <w:r>
              <w:rPr>
                <w:rFonts w:hint="eastAsia" w:ascii="宋体" w:hAnsi="宋体" w:cs="Calibri"/>
                <w:sz w:val="24"/>
                <w:highlight w:val="none"/>
              </w:rPr>
              <w:t>LED显示屏通过-40℃和80℃的环境运行测试</w:t>
            </w:r>
            <w:r>
              <w:rPr>
                <w:rFonts w:hint="eastAsia" w:ascii="宋体" w:hAnsi="宋体" w:cs="Calibri"/>
                <w:sz w:val="24"/>
                <w:highlight w:val="none"/>
                <w:lang w:eastAsia="zh-CN"/>
              </w:rPr>
              <w:t>；</w:t>
            </w:r>
            <w:r>
              <w:rPr>
                <w:rFonts w:hint="eastAsia" w:ascii="宋体" w:hAnsi="宋体" w:cs="Calibri"/>
                <w:sz w:val="24"/>
                <w:highlight w:val="none"/>
              </w:rPr>
              <w:t>云平台控制软件</w:t>
            </w:r>
            <w:r>
              <w:rPr>
                <w:rFonts w:hint="eastAsia" w:ascii="宋体" w:hAnsi="宋体" w:cs="Calibri"/>
                <w:sz w:val="24"/>
                <w:highlight w:val="none"/>
                <w:lang w:eastAsia="zh-CN"/>
              </w:rPr>
              <w:t>厂商具有</w:t>
            </w:r>
            <w:r>
              <w:rPr>
                <w:rFonts w:hint="eastAsia" w:ascii="宋体" w:hAnsi="宋体" w:cs="Calibri"/>
                <w:sz w:val="24"/>
                <w:highlight w:val="none"/>
              </w:rPr>
              <w:t>中华人民共和国公安部信息系统安全等级3级保护。</w:t>
            </w:r>
            <w:r>
              <w:rPr>
                <w:rFonts w:hint="eastAsia" w:ascii="宋体" w:hAnsi="宋体" w:cs="Calibri"/>
                <w:sz w:val="24"/>
                <w:highlight w:val="none"/>
                <w:lang w:eastAsia="zh-CN"/>
              </w:rPr>
              <w:t>以上资料</w:t>
            </w:r>
            <w:r>
              <w:rPr>
                <w:rFonts w:hint="eastAsia" w:ascii="宋体" w:hAnsi="宋体" w:cs="Calibri"/>
                <w:sz w:val="24"/>
                <w:highlight w:val="none"/>
              </w:rPr>
              <w:t>提供复印件</w:t>
            </w:r>
            <w:r>
              <w:rPr>
                <w:rFonts w:hint="eastAsia" w:ascii="宋体" w:hAnsi="宋体" w:cs="宋体"/>
                <w:sz w:val="24"/>
                <w:highlight w:val="none"/>
              </w:rPr>
              <w:t>或相关证明或承诺</w:t>
            </w:r>
            <w:r>
              <w:rPr>
                <w:rFonts w:hint="eastAsia" w:ascii="宋体" w:hAnsi="宋体" w:cs="宋体"/>
                <w:sz w:val="24"/>
                <w:highlight w:val="none"/>
                <w:lang w:val="en-US" w:eastAsia="zh-CN"/>
              </w:rPr>
              <w:t>达到以上标准</w:t>
            </w:r>
            <w:r>
              <w:rPr>
                <w:rFonts w:hint="eastAsia" w:ascii="宋体" w:hAnsi="宋体" w:cs="宋体"/>
                <w:sz w:val="24"/>
                <w:highlight w:val="none"/>
              </w:rPr>
              <w:t>证明材料并加盖投标人公章，</w:t>
            </w:r>
            <w:r>
              <w:rPr>
                <w:rFonts w:hint="eastAsia" w:ascii="宋体" w:hAnsi="宋体" w:cs="Calibri"/>
                <w:sz w:val="24"/>
                <w:highlight w:val="none"/>
              </w:rPr>
              <w:t>每提供一份得0.5分，全部提供得</w:t>
            </w:r>
            <w:r>
              <w:rPr>
                <w:rFonts w:hint="eastAsia" w:ascii="宋体" w:hAnsi="宋体" w:cs="Calibri"/>
                <w:sz w:val="24"/>
                <w:highlight w:val="none"/>
                <w:lang w:val="en-US" w:eastAsia="zh-CN"/>
              </w:rPr>
              <w:t>4.5</w:t>
            </w:r>
            <w:r>
              <w:rPr>
                <w:rFonts w:hint="eastAsia" w:ascii="宋体" w:hAnsi="宋体" w:cs="Calibri"/>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57" w:type="dxa"/>
            <w:bottom w:w="0" w:type="dxa"/>
            <w:right w:w="0" w:type="dxa"/>
          </w:tblCellMar>
        </w:tblPrEx>
        <w:trPr>
          <w:trHeight w:val="1841" w:hRule="atLeast"/>
        </w:trPr>
        <w:tc>
          <w:tcPr>
            <w:tcW w:w="709" w:type="dxa"/>
            <w:vMerge w:val="restart"/>
            <w:vAlign w:val="center"/>
          </w:tcPr>
          <w:p>
            <w:pPr>
              <w:widowControl/>
              <w:spacing w:line="360" w:lineRule="auto"/>
              <w:ind w:left="184"/>
              <w:jc w:val="left"/>
              <w:rPr>
                <w:rFonts w:ascii="宋体" w:hAnsi="宋体" w:cs="Calibri"/>
                <w:sz w:val="24"/>
                <w:highlight w:val="none"/>
              </w:rPr>
            </w:pPr>
            <w:r>
              <w:rPr>
                <w:rFonts w:ascii="宋体" w:hAnsi="宋体" w:cs="宋体"/>
                <w:sz w:val="24"/>
                <w:highlight w:val="none"/>
              </w:rPr>
              <w:t>三</w:t>
            </w:r>
          </w:p>
        </w:tc>
        <w:tc>
          <w:tcPr>
            <w:tcW w:w="1276" w:type="dxa"/>
            <w:vMerge w:val="restart"/>
            <w:vAlign w:val="center"/>
          </w:tcPr>
          <w:p>
            <w:pPr>
              <w:widowControl/>
              <w:spacing w:line="360" w:lineRule="auto"/>
              <w:jc w:val="left"/>
              <w:rPr>
                <w:rFonts w:ascii="宋体" w:hAnsi="宋体" w:cs="Calibri"/>
                <w:sz w:val="24"/>
                <w:highlight w:val="none"/>
              </w:rPr>
            </w:pPr>
            <w:r>
              <w:rPr>
                <w:rFonts w:ascii="宋体" w:hAnsi="宋体" w:cs="宋体"/>
                <w:sz w:val="24"/>
                <w:highlight w:val="none"/>
              </w:rPr>
              <w:t>技术</w:t>
            </w:r>
            <w:r>
              <w:rPr>
                <w:rFonts w:hint="eastAsia" w:ascii="宋体" w:hAnsi="宋体" w:cs="宋体"/>
                <w:sz w:val="24"/>
                <w:highlight w:val="none"/>
              </w:rPr>
              <w:t>部分</w:t>
            </w:r>
            <w:r>
              <w:rPr>
                <w:rFonts w:ascii="宋体" w:hAnsi="宋体" w:cs="宋体"/>
                <w:sz w:val="24"/>
                <w:highlight w:val="none"/>
              </w:rPr>
              <w:t>（</w:t>
            </w:r>
            <w:r>
              <w:rPr>
                <w:rFonts w:hint="eastAsia" w:ascii="宋体" w:hAnsi="宋体" w:cs="宋体"/>
                <w:sz w:val="24"/>
                <w:highlight w:val="none"/>
              </w:rPr>
              <w:t>5</w:t>
            </w:r>
            <w:r>
              <w:rPr>
                <w:rFonts w:hint="eastAsia" w:ascii="宋体" w:hAnsi="宋体" w:cs="宋体"/>
                <w:sz w:val="24"/>
                <w:highlight w:val="none"/>
                <w:lang w:val="en-US" w:eastAsia="zh-CN"/>
              </w:rPr>
              <w:t>6</w:t>
            </w:r>
            <w:r>
              <w:rPr>
                <w:rFonts w:ascii="宋体" w:hAnsi="宋体" w:cs="宋体"/>
                <w:sz w:val="24"/>
                <w:highlight w:val="none"/>
              </w:rPr>
              <w:t>分）</w:t>
            </w:r>
          </w:p>
        </w:tc>
        <w:tc>
          <w:tcPr>
            <w:tcW w:w="709" w:type="dxa"/>
            <w:vAlign w:val="center"/>
          </w:tcPr>
          <w:p>
            <w:pPr>
              <w:widowControl/>
              <w:spacing w:line="360" w:lineRule="auto"/>
              <w:ind w:right="58"/>
              <w:jc w:val="center"/>
              <w:rPr>
                <w:rFonts w:ascii="宋体" w:hAnsi="宋体" w:cs="Calibri"/>
                <w:sz w:val="24"/>
                <w:highlight w:val="none"/>
              </w:rPr>
            </w:pPr>
            <w:r>
              <w:rPr>
                <w:rFonts w:hint="eastAsia" w:ascii="宋体" w:hAnsi="宋体" w:cs="宋体"/>
                <w:sz w:val="24"/>
                <w:highlight w:val="none"/>
              </w:rPr>
              <w:t>30</w:t>
            </w:r>
          </w:p>
        </w:tc>
        <w:tc>
          <w:tcPr>
            <w:tcW w:w="7087" w:type="dxa"/>
          </w:tcPr>
          <w:p>
            <w:pPr>
              <w:widowControl/>
              <w:spacing w:line="360" w:lineRule="auto"/>
              <w:jc w:val="left"/>
              <w:rPr>
                <w:rFonts w:ascii="宋体" w:hAnsi="宋体" w:cs="Calibri"/>
                <w:sz w:val="24"/>
                <w:highlight w:val="none"/>
              </w:rPr>
            </w:pPr>
            <w:r>
              <w:rPr>
                <w:rFonts w:hint="eastAsia" w:ascii="宋体" w:hAnsi="宋体" w:cs="宋体"/>
                <w:sz w:val="24"/>
                <w:highlight w:val="none"/>
              </w:rPr>
              <w:t>投标人投标设备主要技术性能、配置、技术参数、功能描述及投标设备规格、技术配置参数实质性指标均满足招标技术要求的得</w:t>
            </w:r>
            <w:r>
              <w:rPr>
                <w:rFonts w:ascii="宋体" w:hAnsi="宋体" w:cs="宋体"/>
                <w:sz w:val="24"/>
                <w:highlight w:val="none"/>
              </w:rPr>
              <w:t>30</w:t>
            </w:r>
            <w:r>
              <w:rPr>
                <w:rFonts w:hint="eastAsia" w:ascii="宋体" w:hAnsi="宋体" w:cs="宋体"/>
                <w:sz w:val="24"/>
                <w:highlight w:val="none"/>
              </w:rPr>
              <w:t>分，设备配置清单及技术参数中涉及</w:t>
            </w:r>
            <w:r>
              <w:rPr>
                <w:rFonts w:hint="eastAsia" w:ascii="宋体" w:hAnsi="宋体" w:cs="宋体"/>
                <w:sz w:val="24"/>
                <w:highlight w:val="none"/>
                <w:lang w:eastAsia="zh-CN"/>
              </w:rPr>
              <w:t>到相关</w:t>
            </w:r>
            <w:r>
              <w:rPr>
                <w:rFonts w:hint="eastAsia" w:ascii="宋体" w:hAnsi="宋体" w:cs="宋体"/>
                <w:sz w:val="24"/>
                <w:highlight w:val="none"/>
              </w:rPr>
              <w:t>产品功能的</w:t>
            </w:r>
            <w:r>
              <w:rPr>
                <w:rFonts w:hint="eastAsia" w:ascii="宋体" w:hAnsi="宋体" w:cs="宋体"/>
                <w:sz w:val="24"/>
                <w:highlight w:val="none"/>
                <w:lang w:eastAsia="zh-CN"/>
              </w:rPr>
              <w:t>，投标人须按招标技术要求及标准提供</w:t>
            </w:r>
            <w:r>
              <w:rPr>
                <w:rFonts w:hint="eastAsia" w:ascii="宋体" w:hAnsi="宋体" w:cs="宋体"/>
                <w:sz w:val="24"/>
                <w:highlight w:val="none"/>
              </w:rPr>
              <w:t>截图</w:t>
            </w:r>
            <w:r>
              <w:rPr>
                <w:rFonts w:hint="eastAsia" w:ascii="宋体" w:hAnsi="宋体" w:cs="宋体"/>
                <w:sz w:val="24"/>
                <w:highlight w:val="none"/>
                <w:lang w:eastAsia="zh-CN"/>
              </w:rPr>
              <w:t>或</w:t>
            </w:r>
            <w:r>
              <w:rPr>
                <w:rFonts w:hint="eastAsia" w:ascii="宋体" w:hAnsi="宋体" w:cs="宋体"/>
                <w:sz w:val="24"/>
                <w:highlight w:val="none"/>
              </w:rPr>
              <w:t>相关证明</w:t>
            </w:r>
            <w:r>
              <w:rPr>
                <w:rFonts w:hint="eastAsia" w:ascii="宋体" w:hAnsi="宋体" w:cs="宋体"/>
                <w:sz w:val="24"/>
                <w:highlight w:val="none"/>
                <w:lang w:eastAsia="zh-CN"/>
              </w:rPr>
              <w:t>为佐证</w:t>
            </w:r>
            <w:r>
              <w:rPr>
                <w:rFonts w:hint="eastAsia" w:ascii="宋体" w:hAnsi="宋体" w:cs="宋体"/>
                <w:sz w:val="24"/>
                <w:highlight w:val="none"/>
              </w:rPr>
              <w:t>材料</w:t>
            </w:r>
            <w:r>
              <w:rPr>
                <w:rFonts w:hint="eastAsia" w:ascii="宋体" w:hAnsi="宋体" w:cs="宋体"/>
                <w:sz w:val="24"/>
                <w:highlight w:val="none"/>
                <w:lang w:val="en-US" w:eastAsia="zh-CN"/>
              </w:rPr>
              <w:t>或承诺所投设备达到要求的材料并加盖投标人公章</w:t>
            </w:r>
            <w:r>
              <w:rPr>
                <w:rFonts w:hint="eastAsia" w:ascii="宋体" w:hAnsi="宋体" w:cs="宋体"/>
                <w:sz w:val="24"/>
                <w:highlight w:val="none"/>
                <w:lang w:eastAsia="zh-CN"/>
              </w:rPr>
              <w:t>，</w:t>
            </w:r>
            <w:r>
              <w:rPr>
                <w:rFonts w:hint="eastAsia" w:ascii="宋体" w:hAnsi="宋体" w:cs="宋体"/>
                <w:sz w:val="24"/>
                <w:highlight w:val="none"/>
              </w:rPr>
              <w:t>投标时</w:t>
            </w:r>
            <w:r>
              <w:rPr>
                <w:rFonts w:hint="eastAsia" w:ascii="宋体" w:hAnsi="宋体" w:cs="宋体"/>
                <w:sz w:val="24"/>
                <w:highlight w:val="none"/>
                <w:lang w:eastAsia="zh-CN"/>
              </w:rPr>
              <w:t>如有缺失</w:t>
            </w:r>
            <w:r>
              <w:rPr>
                <w:rFonts w:hint="eastAsia" w:ascii="宋体" w:hAnsi="宋体" w:cs="宋体"/>
                <w:sz w:val="24"/>
                <w:highlight w:val="none"/>
              </w:rPr>
              <w:t>，</w:t>
            </w:r>
            <w:r>
              <w:rPr>
                <w:rFonts w:hint="eastAsia" w:ascii="宋体" w:hAnsi="宋体" w:cs="宋体"/>
                <w:sz w:val="24"/>
                <w:highlight w:val="none"/>
                <w:lang w:eastAsia="zh-CN"/>
              </w:rPr>
              <w:t>则缺</w:t>
            </w:r>
            <w:r>
              <w:rPr>
                <w:rFonts w:hint="eastAsia" w:ascii="宋体" w:hAnsi="宋体" w:cs="宋体"/>
                <w:sz w:val="24"/>
                <w:highlight w:val="none"/>
              </w:rPr>
              <w:t>一项扣1分，扣完为止</w:t>
            </w:r>
            <w:r>
              <w:rPr>
                <w:rFonts w:hint="eastAsia" w:ascii="宋体" w:hAnsi="宋体" w:cs="宋体"/>
                <w:sz w:val="24"/>
                <w:highlight w:val="none"/>
                <w:lang w:eastAsia="zh-CN"/>
              </w:rPr>
              <w:t>，本项满分</w:t>
            </w:r>
            <w:r>
              <w:rPr>
                <w:rFonts w:hint="eastAsia" w:ascii="宋体" w:hAnsi="宋体" w:cs="宋体"/>
                <w:sz w:val="24"/>
                <w:highlight w:val="none"/>
                <w:lang w:val="en-US" w:eastAsia="zh-CN"/>
              </w:rPr>
              <w:t>30</w:t>
            </w:r>
            <w:r>
              <w:rPr>
                <w:rFonts w:hint="eastAsia" w:ascii="宋体" w:hAnsi="宋体" w:cs="宋体"/>
                <w:sz w:val="24"/>
                <w:highlight w:val="none"/>
              </w:rPr>
              <w:t>分</w:t>
            </w:r>
            <w:r>
              <w:rPr>
                <w:rFonts w:hint="eastAsia" w:ascii="宋体" w:hAnsi="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57" w:type="dxa"/>
            <w:bottom w:w="0" w:type="dxa"/>
            <w:right w:w="0" w:type="dxa"/>
          </w:tblCellMar>
        </w:tblPrEx>
        <w:trPr>
          <w:trHeight w:val="786" w:hRule="atLeast"/>
        </w:trPr>
        <w:tc>
          <w:tcPr>
            <w:tcW w:w="709" w:type="dxa"/>
            <w:vMerge w:val="continue"/>
          </w:tcPr>
          <w:p>
            <w:pPr>
              <w:widowControl/>
              <w:spacing w:after="160" w:line="360" w:lineRule="auto"/>
              <w:jc w:val="left"/>
              <w:rPr>
                <w:rFonts w:ascii="宋体" w:hAnsi="宋体" w:cs="Calibri"/>
                <w:sz w:val="24"/>
                <w:highlight w:val="none"/>
              </w:rPr>
            </w:pPr>
          </w:p>
        </w:tc>
        <w:tc>
          <w:tcPr>
            <w:tcW w:w="1276" w:type="dxa"/>
            <w:vMerge w:val="continue"/>
          </w:tcPr>
          <w:p>
            <w:pPr>
              <w:widowControl/>
              <w:spacing w:after="160" w:line="360" w:lineRule="auto"/>
              <w:jc w:val="left"/>
              <w:rPr>
                <w:rFonts w:ascii="宋体" w:hAnsi="宋体" w:cs="Calibri"/>
                <w:sz w:val="24"/>
                <w:highlight w:val="none"/>
              </w:rPr>
            </w:pPr>
          </w:p>
        </w:tc>
        <w:tc>
          <w:tcPr>
            <w:tcW w:w="709" w:type="dxa"/>
            <w:vAlign w:val="center"/>
          </w:tcPr>
          <w:p>
            <w:pPr>
              <w:widowControl/>
              <w:spacing w:line="360" w:lineRule="auto"/>
              <w:ind w:right="58"/>
              <w:jc w:val="center"/>
              <w:rPr>
                <w:rFonts w:hint="eastAsia" w:ascii="宋体" w:hAnsi="宋体" w:eastAsia="宋体" w:cs="Calibri"/>
                <w:sz w:val="24"/>
                <w:highlight w:val="none"/>
                <w:lang w:eastAsia="zh-CN"/>
              </w:rPr>
            </w:pPr>
            <w:r>
              <w:rPr>
                <w:rFonts w:hint="eastAsia" w:ascii="宋体" w:hAnsi="宋体" w:cs="宋体"/>
                <w:sz w:val="24"/>
                <w:highlight w:val="none"/>
              </w:rPr>
              <w:t>1</w:t>
            </w:r>
            <w:r>
              <w:rPr>
                <w:rFonts w:hint="eastAsia" w:ascii="宋体" w:hAnsi="宋体" w:cs="宋体"/>
                <w:sz w:val="24"/>
                <w:highlight w:val="none"/>
                <w:lang w:val="en-US" w:eastAsia="zh-CN"/>
              </w:rPr>
              <w:t>5</w:t>
            </w:r>
          </w:p>
        </w:tc>
        <w:tc>
          <w:tcPr>
            <w:tcW w:w="7087" w:type="dxa"/>
          </w:tcPr>
          <w:p>
            <w:pPr>
              <w:widowControl/>
              <w:spacing w:line="360" w:lineRule="auto"/>
              <w:rPr>
                <w:rFonts w:ascii="宋体" w:hAnsi="宋体" w:cs="Calibri"/>
                <w:sz w:val="24"/>
                <w:highlight w:val="none"/>
              </w:rPr>
            </w:pPr>
            <w:r>
              <w:rPr>
                <w:rFonts w:hint="eastAsia" w:ascii="宋体" w:hAnsi="宋体" w:cs="Calibri"/>
                <w:sz w:val="24"/>
                <w:highlight w:val="none"/>
              </w:rPr>
              <w:t>根据所有投标单位的实施方案，</w:t>
            </w:r>
            <w:r>
              <w:rPr>
                <w:rFonts w:hint="eastAsia" w:ascii="宋体" w:hAnsi="宋体" w:cs="宋体"/>
                <w:sz w:val="24"/>
                <w:highlight w:val="none"/>
              </w:rPr>
              <w:t>所投</w:t>
            </w:r>
            <w:r>
              <w:rPr>
                <w:rFonts w:ascii="宋体" w:hAnsi="宋体" w:cs="宋体"/>
                <w:sz w:val="24"/>
                <w:highlight w:val="none"/>
              </w:rPr>
              <w:t>产品的供货及供货期限的保证措施、产品的安装以及各项质量保证措施与安全保证措施</w:t>
            </w:r>
            <w:r>
              <w:rPr>
                <w:rFonts w:hint="eastAsia" w:ascii="宋体" w:hAnsi="宋体" w:cs="宋体"/>
                <w:sz w:val="24"/>
                <w:highlight w:val="none"/>
              </w:rPr>
              <w:t>，</w:t>
            </w:r>
            <w:r>
              <w:rPr>
                <w:rFonts w:hint="eastAsia" w:ascii="宋体" w:hAnsi="宋体" w:cs="Calibri"/>
                <w:sz w:val="24"/>
                <w:highlight w:val="none"/>
              </w:rPr>
              <w:t>整体方案先进性、进度计划的可行性、合理性、质量措施、完工后包边美化等打分，无施工组织方案与技术服务的不得分。（由评委根据投标文件横向对比进行评分，优1</w:t>
            </w:r>
            <w:r>
              <w:rPr>
                <w:rFonts w:hint="eastAsia" w:ascii="宋体" w:hAnsi="宋体" w:cs="Calibri"/>
                <w:sz w:val="24"/>
                <w:highlight w:val="none"/>
                <w:lang w:val="en-US" w:eastAsia="zh-CN"/>
              </w:rPr>
              <w:t>5</w:t>
            </w:r>
            <w:r>
              <w:rPr>
                <w:rFonts w:hint="eastAsia" w:ascii="宋体" w:hAnsi="宋体" w:cs="Calibri"/>
                <w:sz w:val="24"/>
                <w:highlight w:val="none"/>
              </w:rPr>
              <w:t>-1</w:t>
            </w:r>
            <w:r>
              <w:rPr>
                <w:rFonts w:hint="eastAsia" w:ascii="宋体" w:hAnsi="宋体" w:cs="Calibri"/>
                <w:sz w:val="24"/>
                <w:highlight w:val="none"/>
                <w:lang w:val="en-US" w:eastAsia="zh-CN"/>
              </w:rPr>
              <w:t>3</w:t>
            </w:r>
            <w:r>
              <w:rPr>
                <w:rFonts w:hint="eastAsia" w:ascii="宋体" w:hAnsi="宋体" w:cs="Calibri"/>
                <w:sz w:val="24"/>
                <w:highlight w:val="none"/>
              </w:rPr>
              <w:t>分，良1</w:t>
            </w:r>
            <w:r>
              <w:rPr>
                <w:rFonts w:hint="eastAsia" w:ascii="宋体" w:hAnsi="宋体" w:cs="Calibri"/>
                <w:sz w:val="24"/>
                <w:highlight w:val="none"/>
                <w:lang w:val="en-US" w:eastAsia="zh-CN"/>
              </w:rPr>
              <w:t>2</w:t>
            </w:r>
            <w:r>
              <w:rPr>
                <w:rFonts w:hint="eastAsia" w:ascii="宋体" w:hAnsi="宋体" w:cs="Calibri"/>
                <w:sz w:val="24"/>
                <w:highlight w:val="none"/>
              </w:rPr>
              <w:t>-10分，一般9-6分）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57" w:type="dxa"/>
            <w:bottom w:w="0" w:type="dxa"/>
            <w:right w:w="0" w:type="dxa"/>
          </w:tblCellMar>
        </w:tblPrEx>
        <w:trPr>
          <w:trHeight w:val="1210" w:hRule="atLeast"/>
        </w:trPr>
        <w:tc>
          <w:tcPr>
            <w:tcW w:w="709" w:type="dxa"/>
            <w:vMerge w:val="continue"/>
          </w:tcPr>
          <w:p>
            <w:pPr>
              <w:widowControl/>
              <w:spacing w:after="160" w:line="360" w:lineRule="auto"/>
              <w:jc w:val="left"/>
              <w:rPr>
                <w:rFonts w:ascii="宋体" w:hAnsi="宋体" w:cs="Calibri"/>
                <w:sz w:val="24"/>
                <w:highlight w:val="none"/>
              </w:rPr>
            </w:pPr>
          </w:p>
        </w:tc>
        <w:tc>
          <w:tcPr>
            <w:tcW w:w="1276" w:type="dxa"/>
            <w:vMerge w:val="continue"/>
          </w:tcPr>
          <w:p>
            <w:pPr>
              <w:widowControl/>
              <w:spacing w:after="160" w:line="360" w:lineRule="auto"/>
              <w:jc w:val="left"/>
              <w:rPr>
                <w:rFonts w:ascii="宋体" w:hAnsi="宋体" w:cs="Calibri"/>
                <w:sz w:val="24"/>
                <w:highlight w:val="none"/>
              </w:rPr>
            </w:pPr>
          </w:p>
        </w:tc>
        <w:tc>
          <w:tcPr>
            <w:tcW w:w="709" w:type="dxa"/>
            <w:vAlign w:val="center"/>
          </w:tcPr>
          <w:p>
            <w:pPr>
              <w:widowControl/>
              <w:spacing w:line="360" w:lineRule="auto"/>
              <w:ind w:right="58"/>
              <w:jc w:val="center"/>
              <w:rPr>
                <w:rFonts w:ascii="宋体" w:hAnsi="宋体" w:cs="Calibri"/>
                <w:sz w:val="24"/>
                <w:highlight w:val="none"/>
              </w:rPr>
            </w:pPr>
            <w:r>
              <w:rPr>
                <w:rFonts w:hint="eastAsia" w:ascii="宋体" w:hAnsi="宋体" w:cs="宋体"/>
                <w:sz w:val="24"/>
                <w:highlight w:val="none"/>
              </w:rPr>
              <w:t>9</w:t>
            </w:r>
          </w:p>
        </w:tc>
        <w:tc>
          <w:tcPr>
            <w:tcW w:w="7087" w:type="dxa"/>
          </w:tcPr>
          <w:p>
            <w:pPr>
              <w:widowControl/>
              <w:spacing w:line="360" w:lineRule="auto"/>
              <w:ind w:right="-33"/>
              <w:jc w:val="left"/>
              <w:rPr>
                <w:rFonts w:hint="eastAsia" w:ascii="宋体" w:hAnsi="宋体" w:cs="Calibri"/>
                <w:sz w:val="24"/>
                <w:highlight w:val="none"/>
              </w:rPr>
            </w:pPr>
            <w:r>
              <w:rPr>
                <w:rFonts w:hint="eastAsia" w:ascii="宋体" w:hAnsi="宋体" w:cs="Calibri"/>
                <w:sz w:val="24"/>
                <w:highlight w:val="none"/>
              </w:rPr>
              <w:t>1</w:t>
            </w:r>
            <w:r>
              <w:rPr>
                <w:rFonts w:hint="eastAsia" w:ascii="宋体" w:hAnsi="宋体" w:cs="Calibri"/>
                <w:sz w:val="24"/>
                <w:highlight w:val="none"/>
                <w:lang w:eastAsia="zh-CN"/>
              </w:rPr>
              <w:t>、</w:t>
            </w:r>
            <w:r>
              <w:rPr>
                <w:rFonts w:hint="eastAsia" w:ascii="宋体" w:hAnsi="宋体" w:cs="Calibri"/>
                <w:sz w:val="24"/>
                <w:highlight w:val="none"/>
              </w:rPr>
              <w:t>售后服务机构及人员配置0-</w:t>
            </w:r>
            <w:r>
              <w:rPr>
                <w:rFonts w:hint="eastAsia" w:ascii="宋体" w:hAnsi="宋体" w:cs="Calibri"/>
                <w:sz w:val="24"/>
                <w:highlight w:val="none"/>
                <w:lang w:val="en-US" w:eastAsia="zh-CN"/>
              </w:rPr>
              <w:t>3</w:t>
            </w:r>
            <w:r>
              <w:rPr>
                <w:rFonts w:hint="eastAsia" w:ascii="宋体" w:hAnsi="宋体" w:cs="Calibri"/>
                <w:sz w:val="24"/>
                <w:highlight w:val="none"/>
              </w:rPr>
              <w:t>分；</w:t>
            </w:r>
          </w:p>
          <w:p>
            <w:pPr>
              <w:widowControl/>
              <w:spacing w:line="360" w:lineRule="auto"/>
              <w:ind w:right="-33"/>
              <w:jc w:val="left"/>
              <w:rPr>
                <w:rFonts w:ascii="宋体" w:hAnsi="宋体" w:cs="Calibri"/>
                <w:sz w:val="24"/>
                <w:highlight w:val="none"/>
              </w:rPr>
            </w:pPr>
            <w:r>
              <w:rPr>
                <w:rFonts w:hint="eastAsia" w:ascii="宋体" w:hAnsi="宋体" w:cs="Calibri"/>
                <w:sz w:val="24"/>
                <w:highlight w:val="none"/>
                <w:lang w:eastAsia="zh-CN"/>
              </w:rPr>
              <w:t>提供</w:t>
            </w:r>
            <w:r>
              <w:rPr>
                <w:rFonts w:hint="eastAsia" w:ascii="宋体" w:hAnsi="宋体" w:cs="Calibri"/>
                <w:sz w:val="24"/>
                <w:highlight w:val="none"/>
              </w:rPr>
              <w:t>售后服务机构及人员配置</w:t>
            </w:r>
            <w:r>
              <w:rPr>
                <w:rFonts w:hint="eastAsia" w:ascii="宋体" w:hAnsi="宋体" w:cs="Calibri"/>
                <w:sz w:val="24"/>
                <w:highlight w:val="none"/>
                <w:lang w:eastAsia="zh-CN"/>
              </w:rPr>
              <w:t>明细的得</w:t>
            </w:r>
            <w:r>
              <w:rPr>
                <w:rFonts w:hint="eastAsia" w:ascii="宋体" w:hAnsi="宋体" w:cs="Calibri"/>
                <w:sz w:val="24"/>
                <w:highlight w:val="none"/>
                <w:lang w:val="en-US" w:eastAsia="zh-CN"/>
              </w:rPr>
              <w:t>1分；</w:t>
            </w:r>
            <w:r>
              <w:rPr>
                <w:rFonts w:hint="eastAsia" w:ascii="宋体" w:hAnsi="宋体" w:cs="Calibri"/>
                <w:sz w:val="24"/>
                <w:highlight w:val="none"/>
                <w:lang w:eastAsia="zh-CN"/>
              </w:rPr>
              <w:t>本项目项目组成</w:t>
            </w:r>
            <w:r>
              <w:rPr>
                <w:rFonts w:hint="eastAsia" w:ascii="宋体" w:hAnsi="宋体" w:cs="Calibri"/>
                <w:sz w:val="24"/>
                <w:highlight w:val="none"/>
              </w:rPr>
              <w:t>人员为投标单位员工</w:t>
            </w:r>
            <w:r>
              <w:rPr>
                <w:rFonts w:hint="eastAsia" w:ascii="宋体" w:hAnsi="宋体" w:cs="Calibri"/>
                <w:sz w:val="24"/>
                <w:highlight w:val="none"/>
                <w:lang w:eastAsia="zh-CN"/>
              </w:rPr>
              <w:t>（以提供本单位缴纳保险证明为准）的得</w:t>
            </w:r>
            <w:r>
              <w:rPr>
                <w:rFonts w:hint="eastAsia" w:ascii="宋体" w:hAnsi="宋体" w:cs="Calibri"/>
                <w:sz w:val="24"/>
                <w:highlight w:val="none"/>
                <w:lang w:val="en-US" w:eastAsia="zh-CN"/>
              </w:rPr>
              <w:t>1分</w:t>
            </w:r>
            <w:r>
              <w:rPr>
                <w:rFonts w:hint="eastAsia" w:ascii="宋体" w:hAnsi="宋体" w:cs="Calibri"/>
                <w:sz w:val="24"/>
                <w:highlight w:val="none"/>
                <w:lang w:eastAsia="zh-CN"/>
              </w:rPr>
              <w:t>；本项目负责人具备相关网络工程类别专业职称</w:t>
            </w:r>
            <w:r>
              <w:rPr>
                <w:rFonts w:hint="eastAsia" w:ascii="宋体" w:hAnsi="宋体" w:cs="Calibri"/>
                <w:sz w:val="24"/>
                <w:highlight w:val="none"/>
                <w:lang w:val="en-US" w:eastAsia="zh-CN"/>
              </w:rPr>
              <w:t>（</w:t>
            </w:r>
            <w:r>
              <w:rPr>
                <w:rFonts w:hint="eastAsia" w:ascii="宋体" w:hAnsi="宋体" w:cs="Calibri"/>
                <w:sz w:val="24"/>
                <w:highlight w:val="none"/>
                <w:lang w:eastAsia="zh-CN"/>
              </w:rPr>
              <w:t>以</w:t>
            </w:r>
            <w:r>
              <w:rPr>
                <w:rFonts w:hint="eastAsia" w:ascii="宋体" w:hAnsi="宋体" w:cs="Calibri"/>
                <w:sz w:val="24"/>
                <w:highlight w:val="none"/>
              </w:rPr>
              <w:t>提供</w:t>
            </w:r>
            <w:r>
              <w:rPr>
                <w:rFonts w:hint="eastAsia" w:ascii="宋体" w:hAnsi="宋体" w:cs="Calibri"/>
                <w:sz w:val="24"/>
                <w:highlight w:val="none"/>
                <w:lang w:eastAsia="zh-CN"/>
              </w:rPr>
              <w:t>本人证书为准的得</w:t>
            </w:r>
            <w:r>
              <w:rPr>
                <w:rFonts w:hint="eastAsia" w:ascii="宋体" w:hAnsi="宋体" w:cs="Calibri"/>
                <w:sz w:val="24"/>
                <w:highlight w:val="none"/>
                <w:lang w:val="en-US" w:eastAsia="zh-CN"/>
              </w:rPr>
              <w:t>1分。</w:t>
            </w:r>
          </w:p>
          <w:p>
            <w:pPr>
              <w:widowControl/>
              <w:spacing w:line="360" w:lineRule="auto"/>
              <w:ind w:right="-33"/>
              <w:jc w:val="left"/>
              <w:rPr>
                <w:rFonts w:hint="eastAsia" w:ascii="宋体" w:hAnsi="宋体" w:eastAsia="宋体" w:cs="Calibri"/>
                <w:sz w:val="24"/>
                <w:highlight w:val="none"/>
                <w:lang w:eastAsia="zh-CN"/>
              </w:rPr>
            </w:pPr>
            <w:r>
              <w:rPr>
                <w:rFonts w:hint="eastAsia" w:ascii="宋体" w:hAnsi="宋体" w:cs="Calibri"/>
                <w:sz w:val="24"/>
                <w:highlight w:val="none"/>
              </w:rPr>
              <w:t>2</w:t>
            </w:r>
            <w:r>
              <w:rPr>
                <w:rFonts w:hint="eastAsia" w:ascii="宋体" w:hAnsi="宋体" w:cs="Calibri"/>
                <w:sz w:val="24"/>
                <w:highlight w:val="none"/>
                <w:lang w:eastAsia="zh-CN"/>
              </w:rPr>
              <w:t>、</w:t>
            </w:r>
            <w:r>
              <w:rPr>
                <w:rFonts w:hint="eastAsia" w:ascii="宋体" w:hAnsi="宋体" w:cs="Calibri"/>
                <w:sz w:val="24"/>
                <w:highlight w:val="none"/>
              </w:rPr>
              <w:t>售后服务内容、售后服务响应时间及方式</w:t>
            </w:r>
            <w:r>
              <w:rPr>
                <w:rFonts w:hint="eastAsia" w:ascii="宋体" w:hAnsi="宋体" w:cs="Calibri"/>
                <w:sz w:val="24"/>
                <w:highlight w:val="none"/>
                <w:lang w:val="en-US" w:eastAsia="zh-CN"/>
              </w:rPr>
              <w:t>1</w:t>
            </w:r>
            <w:r>
              <w:rPr>
                <w:rFonts w:hint="eastAsia" w:ascii="宋体" w:hAnsi="宋体" w:cs="Calibri"/>
                <w:sz w:val="24"/>
                <w:highlight w:val="none"/>
              </w:rPr>
              <w:t>-2分</w:t>
            </w:r>
            <w:r>
              <w:rPr>
                <w:rFonts w:hint="eastAsia" w:ascii="宋体" w:hAnsi="宋体" w:cs="Calibri"/>
                <w:sz w:val="24"/>
                <w:highlight w:val="none"/>
                <w:lang w:eastAsia="zh-CN"/>
              </w:rPr>
              <w:t>；</w:t>
            </w:r>
          </w:p>
          <w:p>
            <w:pPr>
              <w:widowControl/>
              <w:spacing w:line="360" w:lineRule="auto"/>
              <w:ind w:right="-33"/>
              <w:jc w:val="left"/>
              <w:rPr>
                <w:rFonts w:hint="eastAsia" w:ascii="宋体" w:hAnsi="宋体" w:eastAsia="宋体" w:cs="Calibri"/>
                <w:sz w:val="24"/>
                <w:highlight w:val="none"/>
                <w:lang w:eastAsia="zh-CN"/>
              </w:rPr>
            </w:pPr>
            <w:r>
              <w:rPr>
                <w:rFonts w:hint="eastAsia" w:ascii="宋体" w:hAnsi="宋体" w:cs="Calibri"/>
                <w:sz w:val="24"/>
                <w:highlight w:val="none"/>
              </w:rPr>
              <w:t>3</w:t>
            </w:r>
            <w:r>
              <w:rPr>
                <w:rFonts w:hint="eastAsia" w:ascii="宋体" w:hAnsi="宋体" w:cs="Calibri"/>
                <w:sz w:val="24"/>
                <w:highlight w:val="none"/>
                <w:lang w:eastAsia="zh-CN"/>
              </w:rPr>
              <w:t>、</w:t>
            </w:r>
            <w:r>
              <w:rPr>
                <w:rFonts w:hint="eastAsia" w:ascii="宋体" w:hAnsi="宋体" w:cs="Calibri"/>
                <w:sz w:val="24"/>
                <w:highlight w:val="none"/>
              </w:rPr>
              <w:t>售后服务机构具备</w:t>
            </w:r>
            <w:r>
              <w:rPr>
                <w:rFonts w:hint="eastAsia" w:ascii="宋体" w:hAnsi="宋体" w:cs="Calibri"/>
                <w:sz w:val="24"/>
                <w:highlight w:val="none"/>
                <w:lang w:eastAsia="zh-CN"/>
              </w:rPr>
              <w:t>诚信、</w:t>
            </w:r>
            <w:r>
              <w:rPr>
                <w:rFonts w:hint="eastAsia" w:ascii="宋体" w:hAnsi="宋体" w:cs="Calibri"/>
                <w:sz w:val="24"/>
                <w:highlight w:val="none"/>
              </w:rPr>
              <w:t>服务认证</w:t>
            </w:r>
            <w:r>
              <w:rPr>
                <w:rFonts w:hint="eastAsia" w:ascii="宋体" w:hAnsi="宋体" w:cs="Calibri"/>
                <w:sz w:val="24"/>
                <w:highlight w:val="none"/>
                <w:lang w:eastAsia="zh-CN"/>
              </w:rPr>
              <w:t>或获得信用等级相关证书的</w:t>
            </w:r>
            <w:r>
              <w:rPr>
                <w:rFonts w:hint="eastAsia" w:ascii="宋体" w:hAnsi="宋体" w:cs="Calibri"/>
                <w:sz w:val="24"/>
                <w:highlight w:val="none"/>
              </w:rPr>
              <w:t>得</w:t>
            </w:r>
            <w:r>
              <w:rPr>
                <w:rFonts w:hint="eastAsia" w:ascii="宋体" w:hAnsi="宋体" w:cs="Calibri"/>
                <w:sz w:val="24"/>
                <w:highlight w:val="none"/>
                <w:lang w:val="en-US" w:eastAsia="zh-CN"/>
              </w:rPr>
              <w:t>1.5</w:t>
            </w:r>
            <w:r>
              <w:rPr>
                <w:rFonts w:hint="eastAsia" w:ascii="宋体" w:hAnsi="宋体" w:cs="Calibri"/>
                <w:sz w:val="24"/>
                <w:highlight w:val="none"/>
              </w:rPr>
              <w:t>分</w:t>
            </w:r>
            <w:r>
              <w:rPr>
                <w:rFonts w:hint="eastAsia" w:ascii="宋体" w:hAnsi="宋体" w:cs="Calibri"/>
                <w:sz w:val="24"/>
                <w:highlight w:val="none"/>
                <w:lang w:eastAsia="zh-CN"/>
              </w:rPr>
              <w:t>，不提供不得分；</w:t>
            </w:r>
          </w:p>
          <w:p>
            <w:pPr>
              <w:widowControl/>
              <w:spacing w:line="360" w:lineRule="auto"/>
              <w:ind w:right="-33"/>
              <w:jc w:val="left"/>
              <w:rPr>
                <w:rFonts w:hint="eastAsia" w:ascii="宋体" w:hAnsi="宋体" w:eastAsia="宋体" w:cs="Calibri"/>
                <w:sz w:val="24"/>
                <w:highlight w:val="none"/>
                <w:lang w:eastAsia="zh-CN"/>
              </w:rPr>
            </w:pPr>
            <w:r>
              <w:rPr>
                <w:rFonts w:hint="eastAsia" w:ascii="宋体" w:hAnsi="宋体" w:cs="Calibri"/>
                <w:sz w:val="24"/>
                <w:highlight w:val="none"/>
              </w:rPr>
              <w:t>4</w:t>
            </w:r>
            <w:r>
              <w:rPr>
                <w:rFonts w:hint="eastAsia" w:ascii="宋体" w:hAnsi="宋体" w:cs="Calibri"/>
                <w:sz w:val="24"/>
                <w:highlight w:val="none"/>
                <w:lang w:eastAsia="zh-CN"/>
              </w:rPr>
              <w:t>、</w:t>
            </w:r>
            <w:r>
              <w:rPr>
                <w:rFonts w:hint="eastAsia" w:ascii="宋体" w:hAnsi="宋体" w:cs="Calibri"/>
                <w:sz w:val="24"/>
                <w:highlight w:val="none"/>
              </w:rPr>
              <w:t>对使用方人员的培训计划</w:t>
            </w:r>
            <w:r>
              <w:rPr>
                <w:rFonts w:hint="eastAsia" w:ascii="宋体" w:hAnsi="宋体" w:cs="Calibri"/>
                <w:sz w:val="24"/>
                <w:highlight w:val="none"/>
                <w:lang w:val="en-US" w:eastAsia="zh-CN"/>
              </w:rPr>
              <w:t>1</w:t>
            </w:r>
            <w:r>
              <w:rPr>
                <w:rFonts w:hint="eastAsia" w:ascii="宋体" w:hAnsi="宋体" w:cs="Calibri"/>
                <w:sz w:val="24"/>
                <w:highlight w:val="none"/>
              </w:rPr>
              <w:t>-2</w:t>
            </w:r>
            <w:r>
              <w:rPr>
                <w:rFonts w:hint="eastAsia" w:ascii="宋体" w:hAnsi="宋体" w:cs="Calibri"/>
                <w:sz w:val="24"/>
                <w:highlight w:val="none"/>
                <w:lang w:val="en-US" w:eastAsia="zh-CN"/>
              </w:rPr>
              <w:t>.5</w:t>
            </w:r>
            <w:r>
              <w:rPr>
                <w:rFonts w:hint="eastAsia" w:ascii="宋体" w:hAnsi="宋体" w:cs="Calibri"/>
                <w:sz w:val="24"/>
                <w:highlight w:val="none"/>
              </w:rPr>
              <w:t>分</w:t>
            </w:r>
            <w:r>
              <w:rPr>
                <w:rFonts w:hint="eastAsia" w:ascii="宋体" w:hAnsi="宋体" w:cs="Calibri"/>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57" w:type="dxa"/>
            <w:bottom w:w="0" w:type="dxa"/>
            <w:right w:w="0" w:type="dxa"/>
          </w:tblCellMar>
        </w:tblPrEx>
        <w:trPr>
          <w:trHeight w:val="1224" w:hRule="atLeast"/>
        </w:trPr>
        <w:tc>
          <w:tcPr>
            <w:tcW w:w="709" w:type="dxa"/>
            <w:vMerge w:val="continue"/>
          </w:tcPr>
          <w:p>
            <w:pPr>
              <w:widowControl/>
              <w:spacing w:after="160" w:line="360" w:lineRule="auto"/>
              <w:jc w:val="left"/>
              <w:rPr>
                <w:rFonts w:ascii="宋体" w:hAnsi="宋体" w:cs="Calibri"/>
                <w:sz w:val="24"/>
                <w:highlight w:val="none"/>
              </w:rPr>
            </w:pPr>
          </w:p>
        </w:tc>
        <w:tc>
          <w:tcPr>
            <w:tcW w:w="1276" w:type="dxa"/>
            <w:vMerge w:val="continue"/>
          </w:tcPr>
          <w:p>
            <w:pPr>
              <w:widowControl/>
              <w:spacing w:after="160" w:line="360" w:lineRule="auto"/>
              <w:jc w:val="left"/>
              <w:rPr>
                <w:rFonts w:ascii="宋体" w:hAnsi="宋体" w:cs="Calibri"/>
                <w:sz w:val="24"/>
                <w:highlight w:val="none"/>
              </w:rPr>
            </w:pPr>
          </w:p>
        </w:tc>
        <w:tc>
          <w:tcPr>
            <w:tcW w:w="709" w:type="dxa"/>
            <w:vAlign w:val="center"/>
          </w:tcPr>
          <w:p>
            <w:pPr>
              <w:widowControl/>
              <w:spacing w:line="360" w:lineRule="auto"/>
              <w:ind w:right="58"/>
              <w:jc w:val="center"/>
              <w:rPr>
                <w:rFonts w:ascii="宋体" w:hAnsi="宋体" w:cs="Calibri"/>
                <w:sz w:val="24"/>
                <w:highlight w:val="none"/>
              </w:rPr>
            </w:pPr>
            <w:r>
              <w:rPr>
                <w:rFonts w:ascii="宋体" w:hAnsi="宋体" w:cs="宋体"/>
                <w:sz w:val="24"/>
                <w:highlight w:val="none"/>
              </w:rPr>
              <w:t>2</w:t>
            </w:r>
          </w:p>
        </w:tc>
        <w:tc>
          <w:tcPr>
            <w:tcW w:w="7087" w:type="dxa"/>
          </w:tcPr>
          <w:p>
            <w:pPr>
              <w:widowControl/>
              <w:spacing w:line="360" w:lineRule="auto"/>
              <w:jc w:val="left"/>
              <w:rPr>
                <w:rFonts w:ascii="宋体" w:hAnsi="宋体" w:cs="宋体"/>
                <w:sz w:val="24"/>
                <w:highlight w:val="none"/>
              </w:rPr>
            </w:pPr>
            <w:r>
              <w:rPr>
                <w:rFonts w:ascii="宋体" w:hAnsi="宋体" w:cs="宋体"/>
                <w:sz w:val="24"/>
                <w:highlight w:val="none"/>
              </w:rPr>
              <w:t>标书编制：</w:t>
            </w:r>
          </w:p>
          <w:p>
            <w:pPr>
              <w:widowControl/>
              <w:spacing w:line="360" w:lineRule="auto"/>
              <w:jc w:val="left"/>
              <w:rPr>
                <w:rFonts w:ascii="宋体" w:hAnsi="宋体" w:cs="宋体"/>
                <w:sz w:val="24"/>
                <w:highlight w:val="none"/>
              </w:rPr>
            </w:pPr>
            <w:r>
              <w:rPr>
                <w:rFonts w:ascii="宋体" w:hAnsi="宋体" w:cs="宋体"/>
                <w:sz w:val="24"/>
                <w:highlight w:val="none"/>
              </w:rPr>
              <w:t xml:space="preserve">投标人投标文件按顺序装订，最高得0.5分；      </w:t>
            </w:r>
          </w:p>
          <w:p>
            <w:pPr>
              <w:widowControl/>
              <w:spacing w:line="360" w:lineRule="auto"/>
              <w:jc w:val="left"/>
              <w:rPr>
                <w:rFonts w:ascii="宋体" w:hAnsi="宋体" w:cs="宋体"/>
                <w:sz w:val="24"/>
                <w:highlight w:val="none"/>
              </w:rPr>
            </w:pPr>
            <w:r>
              <w:rPr>
                <w:rFonts w:ascii="宋体" w:hAnsi="宋体" w:cs="宋体"/>
                <w:sz w:val="24"/>
                <w:highlight w:val="none"/>
              </w:rPr>
              <w:t xml:space="preserve">是否按招标文件规定提供所有内容 ，最高为0.5分；         </w:t>
            </w:r>
          </w:p>
          <w:p>
            <w:pPr>
              <w:widowControl/>
              <w:spacing w:line="360" w:lineRule="auto"/>
              <w:jc w:val="left"/>
              <w:rPr>
                <w:rFonts w:ascii="宋体" w:hAnsi="宋体" w:cs="宋体"/>
                <w:sz w:val="24"/>
                <w:highlight w:val="none"/>
              </w:rPr>
            </w:pPr>
            <w:r>
              <w:rPr>
                <w:rFonts w:ascii="宋体" w:hAnsi="宋体" w:cs="宋体"/>
                <w:sz w:val="24"/>
                <w:highlight w:val="none"/>
              </w:rPr>
              <w:t xml:space="preserve">投标文件具备目录 、页码，最高得0.5分；                 </w:t>
            </w:r>
          </w:p>
          <w:p>
            <w:pPr>
              <w:widowControl/>
              <w:spacing w:line="360" w:lineRule="auto"/>
              <w:jc w:val="left"/>
              <w:rPr>
                <w:rFonts w:ascii="宋体" w:hAnsi="宋体" w:cs="Calibri"/>
                <w:sz w:val="24"/>
                <w:highlight w:val="none"/>
              </w:rPr>
            </w:pPr>
            <w:r>
              <w:rPr>
                <w:rFonts w:ascii="宋体" w:hAnsi="宋体" w:cs="宋体"/>
                <w:sz w:val="24"/>
                <w:highlight w:val="none"/>
              </w:rPr>
              <w:t>投标文件具备 “ 评标索引表”，有利于评委评审</w:t>
            </w:r>
            <w:r>
              <w:rPr>
                <w:rFonts w:hint="eastAsia" w:ascii="宋体" w:hAnsi="宋体" w:cs="宋体"/>
                <w:sz w:val="24"/>
                <w:highlight w:val="none"/>
              </w:rPr>
              <w:t>最高</w:t>
            </w:r>
            <w:r>
              <w:rPr>
                <w:rFonts w:ascii="宋体" w:hAnsi="宋体" w:cs="宋体"/>
                <w:sz w:val="24"/>
                <w:highlight w:val="none"/>
              </w:rPr>
              <w:t>得0.5分。</w:t>
            </w:r>
          </w:p>
        </w:tc>
      </w:tr>
    </w:tbl>
    <w:p>
      <w:pPr>
        <w:pStyle w:val="4"/>
        <w:spacing w:line="560" w:lineRule="exact"/>
        <w:rPr>
          <w:rFonts w:ascii="宋体" w:hAnsi="宋体" w:eastAsia="宋体" w:cs="宋体"/>
          <w:sz w:val="24"/>
          <w:szCs w:val="24"/>
        </w:rPr>
      </w:pPr>
      <w:bookmarkStart w:id="437" w:name="_Toc448306461"/>
      <w:bookmarkStart w:id="438" w:name="_Toc25437"/>
      <w:bookmarkStart w:id="439" w:name="_Toc397928605"/>
      <w:bookmarkStart w:id="440" w:name="_Toc184635095"/>
      <w:r>
        <w:rPr>
          <w:rFonts w:hint="eastAsia" w:ascii="宋体" w:hAnsi="宋体" w:eastAsia="宋体" w:cs="宋体"/>
          <w:sz w:val="24"/>
          <w:szCs w:val="24"/>
        </w:rPr>
        <w:t>3． 评标程序</w:t>
      </w:r>
      <w:bookmarkEnd w:id="437"/>
      <w:bookmarkEnd w:id="438"/>
      <w:bookmarkEnd w:id="439"/>
      <w:bookmarkEnd w:id="440"/>
    </w:p>
    <w:p>
      <w:pPr>
        <w:pStyle w:val="5"/>
        <w:spacing w:before="240" w:line="560" w:lineRule="exact"/>
        <w:ind w:firstLine="118"/>
        <w:jc w:val="left"/>
        <w:rPr>
          <w:rFonts w:ascii="宋体" w:hAnsi="宋体" w:eastAsia="宋体" w:cs="宋体"/>
        </w:rPr>
      </w:pPr>
      <w:bookmarkStart w:id="441" w:name="_Toc448306462"/>
      <w:bookmarkStart w:id="442" w:name="_Toc397928606"/>
      <w:bookmarkStart w:id="443" w:name="_Toc22907"/>
      <w:r>
        <w:rPr>
          <w:rFonts w:hint="eastAsia" w:ascii="宋体" w:hAnsi="宋体" w:eastAsia="宋体" w:cs="宋体"/>
          <w:kern w:val="0"/>
        </w:rPr>
        <w:t>3.1 评标准备</w:t>
      </w:r>
      <w:bookmarkEnd w:id="441"/>
      <w:bookmarkEnd w:id="442"/>
      <w:bookmarkEnd w:id="443"/>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3.1.1 评标委员会成员到达评标现场时应在签到表上签到（或通过门禁系统签到）以证明其出席。</w:t>
      </w:r>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3.1.2 评标委员会成员首先推选一名评标委员会负责人，负责评标活动的组织领导工作。</w:t>
      </w:r>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3.1.3 招标人或招标代理机构应向评标委员会提供评标所需的信息和数据。评标委员会负责人应组织评标委员会成员认真研究招标文件，未在招标文件中规定的标准和方法不得作为评标的依据。</w:t>
      </w:r>
    </w:p>
    <w:p>
      <w:pPr>
        <w:pStyle w:val="5"/>
        <w:spacing w:before="240" w:line="560" w:lineRule="exact"/>
        <w:ind w:firstLine="118"/>
        <w:jc w:val="left"/>
        <w:rPr>
          <w:rFonts w:ascii="宋体" w:hAnsi="宋体" w:eastAsia="宋体" w:cs="宋体"/>
        </w:rPr>
      </w:pPr>
      <w:bookmarkStart w:id="444" w:name="_Toc397928607"/>
      <w:bookmarkStart w:id="445" w:name="_Toc448306463"/>
      <w:bookmarkStart w:id="446" w:name="_Toc6331"/>
      <w:r>
        <w:rPr>
          <w:rFonts w:hint="eastAsia" w:ascii="宋体" w:hAnsi="宋体" w:eastAsia="宋体" w:cs="宋体"/>
        </w:rPr>
        <w:t>3.2 初步评审</w:t>
      </w:r>
      <w:bookmarkEnd w:id="444"/>
      <w:bookmarkEnd w:id="445"/>
      <w:bookmarkEnd w:id="446"/>
    </w:p>
    <w:p>
      <w:pPr>
        <w:spacing w:line="560" w:lineRule="exact"/>
        <w:ind w:firstLine="480" w:firstLineChars="200"/>
        <w:rPr>
          <w:rFonts w:ascii="宋体" w:hAnsi="宋体" w:cs="宋体"/>
          <w:sz w:val="24"/>
        </w:rPr>
      </w:pPr>
      <w:r>
        <w:rPr>
          <w:rFonts w:hint="eastAsia" w:ascii="宋体" w:hAnsi="宋体" w:cs="宋体"/>
          <w:sz w:val="24"/>
        </w:rPr>
        <w:t>3.2.1评标委员会依据本章第2.1 款规定的标准对投标文件进行初步评审。</w:t>
      </w:r>
    </w:p>
    <w:p>
      <w:pPr>
        <w:spacing w:line="560" w:lineRule="exact"/>
        <w:ind w:firstLine="480" w:firstLineChars="200"/>
        <w:rPr>
          <w:rFonts w:ascii="宋体" w:hAnsi="宋体" w:cs="宋体"/>
          <w:sz w:val="24"/>
        </w:rPr>
      </w:pPr>
      <w:r>
        <w:rPr>
          <w:rFonts w:hint="eastAsia" w:ascii="宋体" w:hAnsi="宋体" w:cs="宋体"/>
          <w:sz w:val="24"/>
        </w:rPr>
        <w:t>3.2.2投标文件不符合本章第2.1款评审标准的，属于重大偏差，视为未能对招标文件作出实质性响应，应当作为无效投标予以否决。</w:t>
      </w:r>
    </w:p>
    <w:p>
      <w:pPr>
        <w:spacing w:line="560" w:lineRule="exact"/>
        <w:ind w:firstLine="480" w:firstLineChars="200"/>
        <w:rPr>
          <w:rFonts w:ascii="宋体" w:hAnsi="宋体" w:cs="宋体"/>
          <w:sz w:val="24"/>
        </w:rPr>
      </w:pPr>
      <w:r>
        <w:rPr>
          <w:rFonts w:hint="eastAsia" w:ascii="宋体" w:hAnsi="宋体" w:cs="宋体"/>
          <w:sz w:val="24"/>
        </w:rPr>
        <w:t>3.2.3对照投标人须知6.5款，投标文件有上述情况之一，视为未能对招标文件作出实质性响应，凡招标文件未明确标明无效标条款的，评标委员会不得作为判定无效投标的依据。</w:t>
      </w:r>
    </w:p>
    <w:p>
      <w:pPr>
        <w:spacing w:line="560" w:lineRule="exact"/>
        <w:ind w:firstLine="480" w:firstLineChars="200"/>
        <w:rPr>
          <w:rFonts w:ascii="宋体" w:hAnsi="宋体" w:cs="宋体"/>
          <w:sz w:val="24"/>
        </w:rPr>
      </w:pPr>
      <w:r>
        <w:rPr>
          <w:rFonts w:hint="eastAsia" w:ascii="宋体" w:hAnsi="宋体" w:cs="宋体"/>
          <w:sz w:val="24"/>
        </w:rPr>
        <w:t>3.2.4 投标报价有算术错误的，评标委员会按以下原则对投标报价进行修正，修正的价格经投标人书面确认后具有约束力。</w:t>
      </w:r>
    </w:p>
    <w:p>
      <w:pPr>
        <w:spacing w:line="560" w:lineRule="exact"/>
        <w:ind w:firstLine="480" w:firstLineChars="200"/>
        <w:rPr>
          <w:rFonts w:ascii="宋体" w:hAnsi="宋体" w:cs="宋体"/>
          <w:sz w:val="24"/>
        </w:rPr>
      </w:pPr>
      <w:r>
        <w:rPr>
          <w:rFonts w:hint="eastAsia" w:ascii="宋体" w:hAnsi="宋体" w:cs="宋体"/>
          <w:sz w:val="24"/>
        </w:rPr>
        <w:t>(1）投标文件中的大写金额与小写金额不一致的，以大写金额为准；</w:t>
      </w:r>
    </w:p>
    <w:p>
      <w:pPr>
        <w:spacing w:line="560" w:lineRule="exact"/>
        <w:ind w:firstLine="480" w:firstLineChars="200"/>
        <w:rPr>
          <w:rFonts w:ascii="宋体" w:hAnsi="宋体" w:cs="宋体"/>
          <w:sz w:val="24"/>
        </w:rPr>
      </w:pPr>
      <w:r>
        <w:rPr>
          <w:rFonts w:hint="eastAsia" w:ascii="宋体" w:hAnsi="宋体" w:cs="宋体"/>
          <w:sz w:val="24"/>
        </w:rPr>
        <w:t>(2）总价金额与依据单价计算出的结果不一致的，以单价金额为准修正总价，但单价金额小数点有明显错误的除外。</w:t>
      </w:r>
    </w:p>
    <w:p>
      <w:pPr>
        <w:spacing w:line="560" w:lineRule="exact"/>
        <w:ind w:firstLine="480" w:firstLineChars="200"/>
        <w:rPr>
          <w:rFonts w:ascii="宋体" w:hAnsi="宋体" w:cs="宋体"/>
          <w:sz w:val="24"/>
        </w:rPr>
      </w:pPr>
      <w:r>
        <w:rPr>
          <w:rFonts w:hint="eastAsia" w:ascii="宋体" w:hAnsi="宋体" w:cs="宋体"/>
          <w:sz w:val="24"/>
        </w:rPr>
        <w:t>3.2.5只有通过初步评审的投标文件才能进入详细评审。</w:t>
      </w:r>
    </w:p>
    <w:p>
      <w:pPr>
        <w:pStyle w:val="5"/>
        <w:spacing w:before="240" w:line="560" w:lineRule="exact"/>
        <w:ind w:firstLine="118"/>
        <w:jc w:val="left"/>
        <w:rPr>
          <w:rFonts w:ascii="宋体" w:hAnsi="宋体" w:eastAsia="宋体" w:cs="宋体"/>
        </w:rPr>
      </w:pPr>
      <w:bookmarkStart w:id="447" w:name="_Toc7389"/>
      <w:bookmarkStart w:id="448" w:name="_Toc448306464"/>
      <w:bookmarkStart w:id="449" w:name="_Toc397928608"/>
      <w:r>
        <w:rPr>
          <w:rFonts w:hint="eastAsia" w:ascii="宋体" w:hAnsi="宋体" w:eastAsia="宋体" w:cs="宋体"/>
        </w:rPr>
        <w:t>3.3 详细评审</w:t>
      </w:r>
      <w:bookmarkEnd w:id="447"/>
      <w:bookmarkEnd w:id="448"/>
      <w:bookmarkEnd w:id="449"/>
    </w:p>
    <w:p>
      <w:pPr>
        <w:spacing w:line="560" w:lineRule="exact"/>
        <w:ind w:firstLine="480" w:firstLineChars="200"/>
        <w:rPr>
          <w:rFonts w:ascii="宋体" w:hAnsi="宋体" w:cs="宋体"/>
          <w:sz w:val="24"/>
        </w:rPr>
      </w:pPr>
      <w:r>
        <w:rPr>
          <w:rFonts w:hint="eastAsia" w:ascii="宋体" w:hAnsi="宋体" w:cs="宋体"/>
          <w:sz w:val="24"/>
        </w:rPr>
        <w:t>3.3.1 在详细评审发现符合“无效标书条款”的，应当作为无效投标予以否决，其投标报价亦不作为评标基准价A值的依据。</w:t>
      </w:r>
    </w:p>
    <w:p>
      <w:pPr>
        <w:spacing w:line="560" w:lineRule="exact"/>
        <w:ind w:firstLine="480" w:firstLineChars="200"/>
        <w:rPr>
          <w:rFonts w:ascii="宋体" w:hAnsi="宋体" w:cs="宋体"/>
          <w:sz w:val="24"/>
        </w:rPr>
      </w:pPr>
      <w:r>
        <w:rPr>
          <w:rFonts w:hint="eastAsia" w:ascii="宋体" w:hAnsi="宋体" w:cs="宋体"/>
          <w:sz w:val="24"/>
        </w:rPr>
        <w:t>3.3.2 评标委员会按本章第2.2款规定的量化因素和分值进行打分，并计算出综合评估得分。</w:t>
      </w:r>
    </w:p>
    <w:p>
      <w:pPr>
        <w:spacing w:line="560" w:lineRule="exact"/>
        <w:ind w:firstLine="480" w:firstLineChars="200"/>
        <w:rPr>
          <w:rFonts w:ascii="宋体" w:hAnsi="宋体" w:cs="宋体"/>
          <w:sz w:val="24"/>
        </w:rPr>
      </w:pPr>
      <w:r>
        <w:rPr>
          <w:rFonts w:hint="eastAsia" w:ascii="宋体" w:hAnsi="宋体" w:cs="宋体"/>
          <w:sz w:val="24"/>
        </w:rPr>
        <w:t>3.3.3 评分分值计算保留小数点后两位，小数点后第三位“四舍五入”。</w:t>
      </w:r>
    </w:p>
    <w:p>
      <w:pPr>
        <w:pStyle w:val="5"/>
        <w:spacing w:before="240" w:line="560" w:lineRule="exact"/>
        <w:ind w:firstLine="118"/>
        <w:jc w:val="left"/>
        <w:rPr>
          <w:rFonts w:ascii="宋体" w:hAnsi="宋体" w:eastAsia="宋体" w:cs="宋体"/>
        </w:rPr>
      </w:pPr>
      <w:bookmarkStart w:id="450" w:name="_Toc448306465"/>
      <w:bookmarkStart w:id="451" w:name="_Toc397928609"/>
      <w:bookmarkStart w:id="452" w:name="_Toc5826"/>
      <w:r>
        <w:rPr>
          <w:rFonts w:hint="eastAsia" w:ascii="宋体" w:hAnsi="宋体" w:eastAsia="宋体" w:cs="宋体"/>
        </w:rPr>
        <w:t>3.4 投标文件的澄清和补正</w:t>
      </w:r>
      <w:bookmarkEnd w:id="450"/>
      <w:bookmarkEnd w:id="451"/>
      <w:bookmarkEnd w:id="452"/>
    </w:p>
    <w:p>
      <w:pPr>
        <w:spacing w:line="560" w:lineRule="exact"/>
        <w:ind w:firstLine="480" w:firstLineChars="200"/>
        <w:rPr>
          <w:rFonts w:ascii="宋体" w:hAnsi="宋体" w:cs="宋体"/>
          <w:sz w:val="24"/>
        </w:rPr>
      </w:pPr>
      <w:r>
        <w:rPr>
          <w:rFonts w:hint="eastAsia" w:ascii="宋体" w:hAnsi="宋体" w:cs="宋体"/>
          <w:sz w:val="24"/>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560" w:lineRule="exact"/>
        <w:ind w:firstLine="480" w:firstLineChars="200"/>
        <w:rPr>
          <w:rFonts w:ascii="宋体" w:hAnsi="宋体" w:cs="宋体"/>
          <w:sz w:val="24"/>
        </w:rPr>
      </w:pPr>
      <w:r>
        <w:rPr>
          <w:rFonts w:hint="eastAsia" w:ascii="宋体" w:hAnsi="宋体" w:cs="宋体"/>
          <w:sz w:val="24"/>
        </w:rPr>
        <w:t>3.4.2 澄清、说明和补正不得改变投标文件的实质性内容（算术性错误修正的除外）。投标人的书面澄清、说明和补正属于投标文件的组成部分。</w:t>
      </w:r>
    </w:p>
    <w:p>
      <w:pPr>
        <w:spacing w:line="560" w:lineRule="exact"/>
        <w:ind w:firstLine="480" w:firstLineChars="200"/>
        <w:rPr>
          <w:rFonts w:ascii="宋体" w:hAnsi="宋体" w:cs="宋体"/>
          <w:sz w:val="24"/>
        </w:rPr>
      </w:pPr>
      <w:r>
        <w:rPr>
          <w:rFonts w:hint="eastAsia" w:ascii="宋体" w:hAnsi="宋体" w:cs="宋体"/>
          <w:sz w:val="24"/>
        </w:rPr>
        <w:t>3.4.3 评标委员会对投标人提交的澄清、说明或补正有疑问的，可以要求投标人进一步澄清、说明或补正。</w:t>
      </w:r>
    </w:p>
    <w:p>
      <w:pPr>
        <w:pStyle w:val="5"/>
        <w:spacing w:before="240" w:line="560" w:lineRule="exact"/>
        <w:ind w:firstLine="118"/>
        <w:jc w:val="left"/>
        <w:rPr>
          <w:rFonts w:ascii="宋体" w:hAnsi="宋体" w:eastAsia="宋体" w:cs="宋体"/>
          <w:b/>
          <w:kern w:val="0"/>
        </w:rPr>
      </w:pPr>
      <w:bookmarkStart w:id="453" w:name="_Toc397928610"/>
      <w:bookmarkStart w:id="454" w:name="_Toc29288"/>
      <w:bookmarkStart w:id="455" w:name="_Toc448306466"/>
      <w:r>
        <w:rPr>
          <w:rFonts w:hint="eastAsia" w:ascii="宋体" w:hAnsi="宋体" w:eastAsia="宋体" w:cs="宋体"/>
        </w:rPr>
        <w:t>3.5 推荐中标候选人或直接确定中标人</w:t>
      </w:r>
      <w:bookmarkEnd w:id="453"/>
      <w:bookmarkEnd w:id="454"/>
      <w:bookmarkEnd w:id="455"/>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3.5.1 除投标人须知前附表授权直接确定中标人外，评标委员会在推荐中标候选人时，应遵照以下原则:</w:t>
      </w:r>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评标委员会按照最终得分由高至低的次序排列，并根据投标人须知前附表规定的中标候选人数量，将排序在前的投标人推荐为中标候选人。</w:t>
      </w:r>
    </w:p>
    <w:p>
      <w:pPr>
        <w:pStyle w:val="5"/>
        <w:spacing w:before="240" w:line="560" w:lineRule="exact"/>
        <w:ind w:firstLine="118"/>
        <w:jc w:val="left"/>
        <w:rPr>
          <w:rFonts w:ascii="宋体" w:hAnsi="宋体" w:eastAsia="宋体" w:cs="宋体"/>
        </w:rPr>
      </w:pPr>
      <w:bookmarkStart w:id="456" w:name="_Toc397928611"/>
      <w:bookmarkStart w:id="457" w:name="_Toc448306467"/>
      <w:r>
        <w:rPr>
          <w:rFonts w:hint="eastAsia" w:ascii="宋体" w:hAnsi="宋体" w:eastAsia="宋体" w:cs="宋体"/>
        </w:rPr>
        <w:t>3.6 提交评标报告</w:t>
      </w:r>
      <w:bookmarkEnd w:id="456"/>
      <w:bookmarkEnd w:id="457"/>
    </w:p>
    <w:p>
      <w:pPr>
        <w:autoSpaceDE w:val="0"/>
        <w:autoSpaceDN w:val="0"/>
        <w:spacing w:line="560" w:lineRule="exact"/>
        <w:ind w:firstLine="480" w:firstLineChars="200"/>
        <w:jc w:val="left"/>
        <w:rPr>
          <w:rFonts w:ascii="宋体" w:hAnsi="宋体" w:cs="宋体"/>
          <w:kern w:val="0"/>
          <w:sz w:val="24"/>
        </w:rPr>
      </w:pPr>
      <w:r>
        <w:rPr>
          <w:rFonts w:hint="eastAsia" w:ascii="宋体" w:hAnsi="宋体" w:cs="宋体"/>
          <w:kern w:val="0"/>
          <w:sz w:val="24"/>
        </w:rPr>
        <w:t>评标委员会完成评标后，应当向招标人提交书面评标报告。评标报告应当由全体评标委员会成员签字，并于评标结束时抄送有关行政监督部门。</w:t>
      </w:r>
    </w:p>
    <w:p>
      <w:pPr>
        <w:pStyle w:val="4"/>
        <w:spacing w:line="560" w:lineRule="exact"/>
        <w:rPr>
          <w:rFonts w:ascii="宋体" w:hAnsi="宋体" w:eastAsia="宋体" w:cs="宋体"/>
          <w:sz w:val="24"/>
          <w:szCs w:val="24"/>
        </w:rPr>
      </w:pPr>
      <w:bookmarkStart w:id="458" w:name="_Toc448306468"/>
      <w:r>
        <w:rPr>
          <w:rFonts w:hint="eastAsia" w:ascii="宋体" w:hAnsi="宋体" w:eastAsia="宋体" w:cs="宋体"/>
          <w:sz w:val="24"/>
          <w:szCs w:val="24"/>
        </w:rPr>
        <w:t>4． 通用评标规则</w:t>
      </w:r>
      <w:bookmarkEnd w:id="458"/>
    </w:p>
    <w:p>
      <w:pPr>
        <w:pStyle w:val="5"/>
        <w:spacing w:before="240" w:line="560" w:lineRule="exact"/>
        <w:ind w:firstLine="118"/>
        <w:jc w:val="left"/>
        <w:rPr>
          <w:rFonts w:ascii="宋体" w:hAnsi="宋体" w:eastAsia="宋体" w:cs="宋体"/>
        </w:rPr>
      </w:pPr>
      <w:bookmarkStart w:id="459" w:name="_Toc448306469"/>
      <w:r>
        <w:rPr>
          <w:rFonts w:hint="eastAsia" w:ascii="宋体" w:hAnsi="宋体" w:eastAsia="宋体" w:cs="宋体"/>
        </w:rPr>
        <w:t>4.1 评标程序</w:t>
      </w:r>
      <w:bookmarkEnd w:id="459"/>
    </w:p>
    <w:p>
      <w:pPr>
        <w:spacing w:line="560" w:lineRule="exact"/>
        <w:ind w:firstLine="480" w:firstLineChars="200"/>
        <w:rPr>
          <w:rFonts w:ascii="宋体" w:hAnsi="宋体" w:cs="宋体"/>
          <w:kern w:val="0"/>
          <w:sz w:val="24"/>
        </w:rPr>
      </w:pPr>
      <w:r>
        <w:rPr>
          <w:rFonts w:hint="eastAsia" w:ascii="宋体" w:hAnsi="宋体" w:cs="宋体"/>
          <w:kern w:val="0"/>
          <w:sz w:val="24"/>
        </w:rPr>
        <w:t>资质标、商务标、技术标应分别评审，评审后不得更改。</w:t>
      </w:r>
    </w:p>
    <w:p>
      <w:pPr>
        <w:pStyle w:val="5"/>
        <w:spacing w:before="240" w:line="560" w:lineRule="exact"/>
        <w:ind w:firstLine="118"/>
        <w:jc w:val="left"/>
        <w:rPr>
          <w:rFonts w:ascii="宋体" w:hAnsi="宋体" w:eastAsia="宋体" w:cs="宋体"/>
        </w:rPr>
      </w:pPr>
      <w:bookmarkStart w:id="460" w:name="_Toc448306470"/>
      <w:r>
        <w:rPr>
          <w:rFonts w:hint="eastAsia" w:ascii="宋体" w:hAnsi="宋体" w:eastAsia="宋体" w:cs="宋体"/>
        </w:rPr>
        <w:t>4.2不规范标书</w:t>
      </w:r>
      <w:bookmarkEnd w:id="460"/>
    </w:p>
    <w:p>
      <w:pPr>
        <w:spacing w:line="560" w:lineRule="exact"/>
        <w:ind w:firstLine="480" w:firstLineChars="200"/>
        <w:rPr>
          <w:rFonts w:ascii="宋体" w:hAnsi="宋体" w:cs="宋体"/>
          <w:kern w:val="0"/>
          <w:sz w:val="24"/>
        </w:rPr>
      </w:pPr>
      <w:r>
        <w:rPr>
          <w:rFonts w:hint="eastAsia" w:ascii="宋体" w:hAnsi="宋体" w:cs="宋体"/>
          <w:kern w:val="0"/>
          <w:sz w:val="24"/>
        </w:rPr>
        <w:t>评标审查中有发现投标书或投标人行为属不规范者，评标办法采用综合评分法的，且无法形成无效投标的，经评标委员会认定后扣减0.3—2分。</w:t>
      </w:r>
    </w:p>
    <w:p>
      <w:pPr>
        <w:pStyle w:val="5"/>
        <w:spacing w:before="240" w:line="560" w:lineRule="exact"/>
        <w:ind w:firstLine="118"/>
        <w:jc w:val="left"/>
        <w:rPr>
          <w:rFonts w:ascii="宋体" w:hAnsi="宋体" w:eastAsia="宋体" w:cs="宋体"/>
          <w:kern w:val="0"/>
        </w:rPr>
      </w:pPr>
      <w:bookmarkStart w:id="461" w:name="_Toc448306471"/>
      <w:r>
        <w:rPr>
          <w:rFonts w:hint="eastAsia" w:ascii="宋体" w:hAnsi="宋体" w:eastAsia="宋体" w:cs="宋体"/>
        </w:rPr>
        <w:t>4.3计价文件评审规定</w:t>
      </w:r>
      <w:bookmarkEnd w:id="461"/>
    </w:p>
    <w:p>
      <w:pPr>
        <w:spacing w:line="560" w:lineRule="exact"/>
        <w:ind w:firstLine="480" w:firstLineChars="200"/>
        <w:rPr>
          <w:rFonts w:ascii="宋体" w:hAnsi="宋体" w:cs="宋体"/>
          <w:kern w:val="0"/>
          <w:sz w:val="24"/>
        </w:rPr>
      </w:pPr>
      <w:r>
        <w:rPr>
          <w:rFonts w:hint="eastAsia" w:ascii="宋体" w:hAnsi="宋体" w:cs="宋体"/>
          <w:kern w:val="0"/>
          <w:sz w:val="24"/>
        </w:rPr>
        <w:t>评标委员会认为投标人的投标报价有可能低于其个别成本时，应当要求投标人以书面方式作出澄清，并提供相关证明材料后再进行认定。</w:t>
      </w:r>
    </w:p>
    <w:p>
      <w:pPr>
        <w:pStyle w:val="5"/>
        <w:spacing w:before="240" w:line="560" w:lineRule="exact"/>
        <w:ind w:firstLine="118"/>
        <w:jc w:val="left"/>
        <w:rPr>
          <w:rFonts w:ascii="宋体" w:hAnsi="宋体" w:eastAsia="宋体" w:cs="宋体"/>
        </w:rPr>
      </w:pPr>
      <w:bookmarkStart w:id="462" w:name="_Toc448306472"/>
      <w:r>
        <w:rPr>
          <w:rFonts w:hint="eastAsia" w:ascii="宋体" w:hAnsi="宋体" w:eastAsia="宋体" w:cs="宋体"/>
        </w:rPr>
        <w:t>4.4打分</w:t>
      </w:r>
      <w:bookmarkEnd w:id="462"/>
    </w:p>
    <w:p>
      <w:pPr>
        <w:spacing w:line="560" w:lineRule="exact"/>
        <w:ind w:firstLine="480" w:firstLineChars="200"/>
        <w:rPr>
          <w:rFonts w:ascii="宋体" w:hAnsi="宋体" w:cs="宋体"/>
          <w:kern w:val="0"/>
          <w:sz w:val="24"/>
        </w:rPr>
      </w:pPr>
      <w:r>
        <w:rPr>
          <w:rFonts w:hint="eastAsia" w:ascii="宋体" w:hAnsi="宋体" w:cs="宋体"/>
          <w:kern w:val="0"/>
          <w:sz w:val="24"/>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pPr>
        <w:pStyle w:val="5"/>
        <w:spacing w:before="240" w:line="560" w:lineRule="exact"/>
        <w:ind w:firstLine="118"/>
        <w:jc w:val="left"/>
        <w:rPr>
          <w:rFonts w:ascii="宋体" w:hAnsi="宋体" w:eastAsia="宋体" w:cs="宋体"/>
        </w:rPr>
      </w:pPr>
      <w:bookmarkStart w:id="463" w:name="_Toc448306473"/>
      <w:r>
        <w:rPr>
          <w:rFonts w:hint="eastAsia" w:ascii="宋体" w:hAnsi="宋体" w:eastAsia="宋体" w:cs="宋体"/>
        </w:rPr>
        <w:t>4.5争议处理</w:t>
      </w:r>
      <w:bookmarkEnd w:id="463"/>
    </w:p>
    <w:p>
      <w:pPr>
        <w:spacing w:line="560" w:lineRule="exact"/>
        <w:rPr>
          <w:rFonts w:ascii="宋体" w:hAnsi="宋体" w:cs="宋体"/>
          <w:kern w:val="0"/>
          <w:sz w:val="24"/>
        </w:rPr>
      </w:pPr>
      <w:r>
        <w:rPr>
          <w:rFonts w:hint="eastAsia" w:ascii="宋体" w:hAnsi="宋体" w:cs="宋体"/>
          <w:kern w:val="0"/>
          <w:sz w:val="24"/>
        </w:rPr>
        <w:t xml:space="preserve">    评标中发生重大情况或重大争议，需要进一步调查了解、协调处理的，现场监督人员报招标投标管理部门同意后可暂时休会，待有关问题得到澄清后再行复会。休会期间，所有招投标资料一律封存盐城市大丰区行政审批局档案室，所有与会人员一律不得泄露评标情况。</w:t>
      </w:r>
    </w:p>
    <w:p>
      <w:pPr>
        <w:pStyle w:val="5"/>
        <w:spacing w:before="240" w:line="560" w:lineRule="exact"/>
        <w:ind w:firstLine="118"/>
        <w:jc w:val="left"/>
        <w:rPr>
          <w:rFonts w:ascii="宋体" w:hAnsi="宋体" w:eastAsia="宋体" w:cs="宋体"/>
        </w:rPr>
      </w:pPr>
      <w:bookmarkStart w:id="464" w:name="_Toc448306474"/>
      <w:r>
        <w:rPr>
          <w:rFonts w:hint="eastAsia" w:ascii="宋体" w:hAnsi="宋体" w:eastAsia="宋体" w:cs="宋体"/>
        </w:rPr>
        <w:t>4.6违法违纪行为</w:t>
      </w:r>
      <w:bookmarkEnd w:id="464"/>
    </w:p>
    <w:p>
      <w:pPr>
        <w:spacing w:line="560" w:lineRule="exact"/>
        <w:ind w:firstLine="480" w:firstLineChars="200"/>
        <w:rPr>
          <w:rFonts w:ascii="宋体" w:hAnsi="宋体" w:cs="宋体"/>
          <w:kern w:val="0"/>
          <w:sz w:val="24"/>
        </w:rPr>
      </w:pPr>
      <w:r>
        <w:rPr>
          <w:rFonts w:hint="eastAsia" w:ascii="宋体" w:hAnsi="宋体" w:cs="宋体"/>
          <w:kern w:val="0"/>
          <w:sz w:val="24"/>
        </w:rPr>
        <w:t>在招投标过程中发生行贿受贿、扰乱招投标活动秩序及其他严重违法违纪行为的，一律取消有关责任人参与招投标活动的资格；影响评审结果的，应宣布评审结果无效。</w:t>
      </w:r>
    </w:p>
    <w:p>
      <w:pPr>
        <w:pStyle w:val="5"/>
        <w:spacing w:before="240" w:line="560" w:lineRule="exact"/>
        <w:ind w:firstLine="118"/>
        <w:jc w:val="left"/>
        <w:rPr>
          <w:rFonts w:ascii="宋体" w:hAnsi="宋体" w:eastAsia="宋体" w:cs="宋体"/>
        </w:rPr>
      </w:pPr>
      <w:bookmarkStart w:id="465" w:name="_Toc448306475"/>
      <w:r>
        <w:rPr>
          <w:rFonts w:hint="eastAsia" w:ascii="宋体" w:hAnsi="宋体" w:eastAsia="宋体" w:cs="宋体"/>
        </w:rPr>
        <w:t>4.7其它</w:t>
      </w:r>
      <w:bookmarkEnd w:id="465"/>
    </w:p>
    <w:p>
      <w:pPr>
        <w:spacing w:line="560" w:lineRule="exact"/>
        <w:ind w:firstLine="482" w:firstLineChars="200"/>
        <w:rPr>
          <w:rFonts w:ascii="宋体" w:hAnsi="宋体" w:cs="宋体"/>
          <w:b/>
          <w:kern w:val="0"/>
          <w:sz w:val="24"/>
        </w:rPr>
      </w:pPr>
      <w:r>
        <w:rPr>
          <w:rFonts w:hint="eastAsia" w:ascii="宋体" w:hAnsi="宋体" w:cs="宋体"/>
          <w:b/>
          <w:kern w:val="0"/>
          <w:sz w:val="24"/>
        </w:rPr>
        <w:t>在评审过程中，一旦发现招标文件中发现以下现象的，经评标委员会认定，删除该项评审或记分。</w:t>
      </w:r>
    </w:p>
    <w:p>
      <w:pPr>
        <w:spacing w:line="560" w:lineRule="exact"/>
        <w:ind w:firstLine="482" w:firstLineChars="200"/>
        <w:rPr>
          <w:rFonts w:ascii="宋体" w:hAnsi="宋体" w:cs="宋体"/>
          <w:b/>
          <w:kern w:val="0"/>
          <w:sz w:val="24"/>
        </w:rPr>
      </w:pPr>
      <w:r>
        <w:rPr>
          <w:rFonts w:hint="eastAsia" w:ascii="宋体" w:hAnsi="宋体" w:cs="宋体"/>
          <w:b/>
          <w:kern w:val="0"/>
          <w:sz w:val="24"/>
        </w:rPr>
        <w:t>（1）招标文件内容中某项条款，有明显倾向或歧视的；</w:t>
      </w:r>
    </w:p>
    <w:p>
      <w:pPr>
        <w:spacing w:line="560" w:lineRule="exact"/>
        <w:ind w:firstLine="482" w:firstLineChars="200"/>
        <w:rPr>
          <w:rFonts w:ascii="宋体" w:hAnsi="宋体" w:cs="宋体"/>
          <w:b/>
          <w:kern w:val="0"/>
          <w:sz w:val="24"/>
        </w:rPr>
      </w:pPr>
      <w:r>
        <w:rPr>
          <w:rFonts w:hint="eastAsia" w:ascii="宋体" w:hAnsi="宋体" w:cs="宋体"/>
          <w:b/>
          <w:kern w:val="0"/>
          <w:sz w:val="24"/>
        </w:rPr>
        <w:t>（2）招标文件内容中某项条款有多种解释的。</w:t>
      </w:r>
    </w:p>
    <w:p>
      <w:pPr>
        <w:spacing w:line="560" w:lineRule="exact"/>
        <w:ind w:firstLine="480" w:firstLineChars="200"/>
        <w:jc w:val="left"/>
        <w:rPr>
          <w:rFonts w:ascii="宋体" w:hAnsi="宋体" w:cs="宋体"/>
          <w:kern w:val="0"/>
          <w:szCs w:val="21"/>
        </w:rPr>
      </w:pPr>
      <w:r>
        <w:rPr>
          <w:rFonts w:hint="eastAsia" w:ascii="宋体" w:hAnsi="宋体" w:cs="宋体"/>
          <w:kern w:val="0"/>
          <w:sz w:val="24"/>
        </w:rPr>
        <w:t>评标委员会对优、良、中分档记分的，必须先确定优、良、中档次，再独立记分。评标委员会在评审中意见不统一并可能影响结果的，请评委各自留下书面意见，并以少数服从多数形成结论。</w:t>
      </w:r>
    </w:p>
    <w:p>
      <w:pPr>
        <w:spacing w:line="560" w:lineRule="exact"/>
        <w:ind w:firstLine="480" w:firstLineChars="200"/>
        <w:jc w:val="left"/>
        <w:rPr>
          <w:rFonts w:ascii="宋体" w:hAnsi="宋体" w:cs="宋体"/>
          <w:b/>
          <w:bCs/>
          <w:kern w:val="44"/>
          <w:sz w:val="32"/>
          <w:szCs w:val="32"/>
        </w:rPr>
      </w:pPr>
      <w:r>
        <w:rPr>
          <w:rFonts w:hint="eastAsia" w:ascii="宋体" w:hAnsi="宋体" w:cs="宋体"/>
          <w:kern w:val="0"/>
          <w:sz w:val="24"/>
          <w:lang w:val="zh-CN"/>
        </w:rPr>
        <w:t>经</w:t>
      </w:r>
      <w:r>
        <w:rPr>
          <w:rFonts w:hint="eastAsia" w:ascii="宋体" w:hAnsi="宋体"/>
          <w:sz w:val="24"/>
        </w:rPr>
        <w:t>评审委员会评审，认为所有投标都不符合招标文件要求的，或符合的投标人少于三家的，可以否决所有投标；也可以根据相关法律法规规定：“在评标期间，出现符合专业条件的供应商或者对招标文件作出实质性响应的供应商不足三家情形的，经相关主管部门同意，可以采取竞争性谈判方式、单一来源采购方式”等条款评审，具体依据相关法律法规执行。</w:t>
      </w:r>
      <w:bookmarkStart w:id="466" w:name="_Toc179632627"/>
      <w:bookmarkStart w:id="467" w:name="_Toc17692"/>
      <w:bookmarkStart w:id="468" w:name="_Toc152045609"/>
      <w:bookmarkStart w:id="469" w:name="_Toc387526436"/>
      <w:bookmarkStart w:id="470" w:name="_Toc144974577"/>
      <w:bookmarkStart w:id="471" w:name="_Toc152042387"/>
      <w:bookmarkStart w:id="472" w:name="_Toc387526240"/>
      <w:bookmarkStart w:id="473" w:name="_Toc247085767"/>
      <w:bookmarkStart w:id="474" w:name="_Toc397928625"/>
      <w:bookmarkStart w:id="475" w:name="_Toc387526344"/>
      <w:bookmarkStart w:id="476" w:name="_Toc366679736"/>
      <w:bookmarkStart w:id="477" w:name="_Toc246996252"/>
      <w:bookmarkStart w:id="478" w:name="_Toc246996995"/>
      <w:bookmarkStart w:id="479" w:name="_Toc445046883"/>
    </w:p>
    <w:p>
      <w:pPr>
        <w:spacing w:line="360" w:lineRule="auto"/>
        <w:jc w:val="center"/>
        <w:rPr>
          <w:rFonts w:ascii="宋体" w:hAnsi="宋体" w:cs="宋体"/>
          <w:b/>
          <w:bCs/>
          <w:kern w:val="44"/>
          <w:sz w:val="32"/>
          <w:szCs w:val="32"/>
        </w:rPr>
      </w:pPr>
      <w:r>
        <w:rPr>
          <w:rFonts w:hint="eastAsia" w:ascii="宋体" w:hAnsi="宋体" w:cs="宋体"/>
          <w:b/>
          <w:bCs/>
          <w:kern w:val="44"/>
          <w:sz w:val="32"/>
          <w:szCs w:val="32"/>
        </w:rPr>
        <w:t>第四章 合同条款及格式</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snapToGrid w:val="0"/>
        <w:spacing w:before="120" w:after="120" w:line="420" w:lineRule="exact"/>
        <w:rPr>
          <w:rFonts w:ascii="宋体" w:hAnsi="宋体"/>
          <w:szCs w:val="21"/>
          <w:u w:val="single"/>
        </w:rPr>
      </w:pPr>
      <w:r>
        <w:rPr>
          <w:rFonts w:hint="eastAsia" w:ascii="宋体" w:hAnsi="宋体"/>
          <w:szCs w:val="21"/>
        </w:rPr>
        <w:t>甲方：</w:t>
      </w:r>
      <w:r>
        <w:rPr>
          <w:rFonts w:hint="eastAsia" w:ascii="宋体" w:hAnsi="宋体"/>
          <w:szCs w:val="21"/>
          <w:u w:val="single"/>
        </w:rPr>
        <w:t>盐城市大丰区幸福路小学（买方）</w:t>
      </w:r>
    </w:p>
    <w:p>
      <w:pPr>
        <w:snapToGrid w:val="0"/>
        <w:spacing w:before="120" w:after="120" w:line="420" w:lineRule="exact"/>
        <w:rPr>
          <w:rFonts w:ascii="宋体" w:hAnsi="宋体"/>
          <w:szCs w:val="21"/>
        </w:rPr>
      </w:pPr>
      <w:r>
        <w:rPr>
          <w:rFonts w:hint="eastAsia" w:ascii="宋体" w:hAnsi="宋体"/>
          <w:szCs w:val="21"/>
        </w:rPr>
        <w:t>乙方：</w:t>
      </w:r>
      <w:r>
        <w:rPr>
          <w:rFonts w:hint="eastAsia" w:ascii="宋体" w:hAnsi="宋体"/>
          <w:szCs w:val="21"/>
          <w:u w:val="single"/>
        </w:rPr>
        <w:t>中标人名称（卖方）</w:t>
      </w:r>
    </w:p>
    <w:p>
      <w:pPr>
        <w:snapToGrid w:val="0"/>
        <w:spacing w:before="120" w:after="120" w:line="420" w:lineRule="exact"/>
        <w:rPr>
          <w:rFonts w:ascii="宋体" w:hAnsi="宋体"/>
          <w:b/>
          <w:szCs w:val="21"/>
        </w:rPr>
      </w:pPr>
      <w:r>
        <w:rPr>
          <w:rFonts w:hint="eastAsia" w:ascii="宋体" w:hAnsi="宋体"/>
          <w:szCs w:val="21"/>
        </w:rPr>
        <w:t>甲、乙双方根据公开招标的中标结果及中标通知书，签署本合同。</w:t>
      </w:r>
    </w:p>
    <w:p>
      <w:pPr>
        <w:snapToGrid w:val="0"/>
        <w:spacing w:before="163" w:after="163" w:line="460" w:lineRule="exact"/>
        <w:rPr>
          <w:rFonts w:ascii="Arial" w:hAnsi="宋体" w:cs="Arial"/>
          <w:szCs w:val="21"/>
        </w:rPr>
      </w:pPr>
      <w:r>
        <w:rPr>
          <w:rFonts w:ascii="Arial" w:hAnsi="宋体" w:cs="Arial"/>
          <w:szCs w:val="21"/>
        </w:rPr>
        <w:t>一、合同内容</w:t>
      </w:r>
    </w:p>
    <w:p>
      <w:pPr>
        <w:snapToGrid w:val="0"/>
        <w:spacing w:before="163" w:after="163" w:line="460" w:lineRule="exact"/>
        <w:ind w:firstLine="420" w:firstLineChars="200"/>
        <w:rPr>
          <w:rFonts w:ascii="Arial" w:hAnsi="宋体" w:cs="Arial"/>
          <w:szCs w:val="21"/>
        </w:rPr>
      </w:pPr>
      <w:r>
        <w:rPr>
          <w:rFonts w:ascii="Arial" w:hAnsi="宋体" w:cs="Arial"/>
          <w:szCs w:val="21"/>
        </w:rPr>
        <w:t>1.项目名称：</w:t>
      </w:r>
    </w:p>
    <w:p>
      <w:pPr>
        <w:snapToGrid w:val="0"/>
        <w:spacing w:before="163" w:after="163" w:line="460" w:lineRule="exact"/>
        <w:ind w:firstLine="420" w:firstLineChars="200"/>
        <w:rPr>
          <w:rFonts w:ascii="Arial" w:hAnsi="宋体" w:cs="Arial"/>
          <w:szCs w:val="21"/>
        </w:rPr>
      </w:pPr>
      <w:r>
        <w:rPr>
          <w:rFonts w:ascii="Arial" w:hAnsi="宋体" w:cs="Arial"/>
          <w:szCs w:val="21"/>
        </w:rPr>
        <w:t>2.项目内容：本项目招标文件规定的全部工作内容</w:t>
      </w:r>
    </w:p>
    <w:p>
      <w:pPr>
        <w:snapToGrid w:val="0"/>
        <w:spacing w:before="163" w:after="163" w:line="460" w:lineRule="exact"/>
        <w:rPr>
          <w:rFonts w:ascii="Arial" w:hAnsi="宋体" w:cs="Arial"/>
          <w:szCs w:val="21"/>
        </w:rPr>
      </w:pPr>
      <w:r>
        <w:rPr>
          <w:rFonts w:ascii="Arial" w:hAnsi="宋体" w:cs="Arial"/>
          <w:szCs w:val="21"/>
        </w:rPr>
        <w:t>二、合同金额</w:t>
      </w:r>
    </w:p>
    <w:p>
      <w:pPr>
        <w:snapToGrid w:val="0"/>
        <w:spacing w:before="163" w:after="163" w:line="460" w:lineRule="exact"/>
        <w:ind w:firstLine="420" w:firstLineChars="200"/>
        <w:rPr>
          <w:rFonts w:ascii="Arial" w:hAnsi="宋体" w:cs="Arial"/>
          <w:szCs w:val="21"/>
        </w:rPr>
      </w:pPr>
      <w:r>
        <w:rPr>
          <w:rFonts w:ascii="Arial" w:hAnsi="宋体" w:cs="Arial"/>
          <w:szCs w:val="21"/>
        </w:rPr>
        <w:t>1、本合同金额为人民币（大写）：元（￥元）。</w:t>
      </w:r>
    </w:p>
    <w:p>
      <w:pPr>
        <w:snapToGrid w:val="0"/>
        <w:spacing w:before="163" w:after="163" w:line="460" w:lineRule="exact"/>
        <w:rPr>
          <w:rFonts w:ascii="Arial" w:hAnsi="宋体" w:cs="Arial"/>
          <w:szCs w:val="21"/>
        </w:rPr>
      </w:pPr>
      <w:r>
        <w:rPr>
          <w:rFonts w:ascii="Arial" w:hAnsi="宋体" w:cs="Arial"/>
          <w:szCs w:val="21"/>
        </w:rPr>
        <w:t>三、技术性能和技术资料</w:t>
      </w:r>
    </w:p>
    <w:p>
      <w:pPr>
        <w:spacing w:line="500" w:lineRule="exact"/>
        <w:ind w:firstLine="420" w:firstLineChars="200"/>
        <w:rPr>
          <w:rFonts w:ascii="Arial" w:hAnsi="宋体" w:cs="Arial"/>
          <w:szCs w:val="21"/>
        </w:rPr>
      </w:pPr>
      <w:r>
        <w:rPr>
          <w:rFonts w:hint="eastAsia" w:ascii="Arial" w:hAnsi="宋体" w:cs="Arial"/>
          <w:szCs w:val="21"/>
        </w:rPr>
        <w:t>1. 乙方所提供货物、软件和服务的技术规格、内容应与招标文件规定的技术规范和需要相一致；符合国家有关部门最新颁布的标准及规范，乙方在投标文件中承诺的标准或技术参数高于（或优于）招标文件要求的按乙方投标文件执行。</w:t>
      </w:r>
    </w:p>
    <w:p>
      <w:pPr>
        <w:snapToGrid w:val="0"/>
        <w:spacing w:before="163" w:after="163" w:line="460" w:lineRule="exact"/>
        <w:ind w:firstLine="420" w:firstLineChars="200"/>
        <w:rPr>
          <w:rFonts w:ascii="Arial" w:hAnsi="宋体" w:cs="Arial"/>
          <w:szCs w:val="21"/>
        </w:rPr>
      </w:pPr>
      <w:r>
        <w:rPr>
          <w:rFonts w:ascii="Arial" w:hAnsi="宋体" w:cs="Arial"/>
          <w:szCs w:val="21"/>
        </w:rPr>
        <w:t>2. 没有招标人事先书面同意，乙方不得将由招标人提供的有关合同或任何合同条文、规格、计划、图纸、样品或资料提供给与履行本合同无关的任何其他人。即使向履行本合同有关的人员提供，也应注意保密并限于履行合同的必需范围。</w:t>
      </w:r>
    </w:p>
    <w:p>
      <w:pPr>
        <w:snapToGrid w:val="0"/>
        <w:spacing w:before="163" w:after="163" w:line="460" w:lineRule="exact"/>
        <w:ind w:left="359" w:hanging="359" w:hangingChars="171"/>
        <w:rPr>
          <w:rFonts w:ascii="Arial" w:hAnsi="宋体" w:cs="Arial"/>
          <w:szCs w:val="21"/>
        </w:rPr>
      </w:pPr>
      <w:r>
        <w:rPr>
          <w:rFonts w:ascii="Arial" w:hAnsi="宋体" w:cs="Arial"/>
          <w:szCs w:val="21"/>
        </w:rPr>
        <w:t>四、知识产权</w:t>
      </w:r>
    </w:p>
    <w:p>
      <w:pPr>
        <w:snapToGrid w:val="0"/>
        <w:spacing w:before="163" w:after="163" w:line="460" w:lineRule="exact"/>
        <w:ind w:firstLine="420" w:firstLineChars="200"/>
        <w:rPr>
          <w:rFonts w:ascii="Arial" w:hAnsi="宋体" w:cs="Arial"/>
          <w:szCs w:val="21"/>
        </w:rPr>
      </w:pPr>
      <w:r>
        <w:rPr>
          <w:rFonts w:ascii="Arial" w:hAnsi="宋体" w:cs="Arial"/>
          <w:szCs w:val="21"/>
        </w:rPr>
        <w:t>乙方应保证所提供的货物及服务或其任何一部分均不会侵犯任何第三方的知识产权，乙方对买方提供的业务资料、技术资料应严格保密，不得扩散。乙方应保证买方在使用、接受本合同货物和服务或其任何一部分时不受乙方及第三方提出侵犯其专利权、版权、商标权和工业设计权等知识产权的起诉。一旦出现侵权，由乙方</w:t>
      </w:r>
      <w:r>
        <w:rPr>
          <w:rFonts w:hint="eastAsia" w:ascii="Arial" w:hAnsi="宋体" w:cs="Arial"/>
          <w:szCs w:val="21"/>
        </w:rPr>
        <w:t>承担相应</w:t>
      </w:r>
      <w:r>
        <w:rPr>
          <w:rFonts w:ascii="Arial" w:hAnsi="宋体" w:cs="Arial"/>
          <w:szCs w:val="21"/>
        </w:rPr>
        <w:t>责任</w:t>
      </w:r>
      <w:r>
        <w:rPr>
          <w:rFonts w:hint="eastAsia" w:ascii="Arial" w:hAnsi="宋体" w:cs="Arial"/>
          <w:szCs w:val="21"/>
        </w:rPr>
        <w:t>并赔偿甲方损失，构成违约的，按合同约定计取违约金</w:t>
      </w:r>
      <w:r>
        <w:rPr>
          <w:rFonts w:ascii="Arial" w:hAnsi="宋体" w:cs="Arial"/>
          <w:szCs w:val="21"/>
        </w:rPr>
        <w:t>。</w:t>
      </w:r>
    </w:p>
    <w:p>
      <w:pPr>
        <w:pStyle w:val="30"/>
        <w:keepNext w:val="0"/>
        <w:keepLines w:val="0"/>
        <w:pageBreakBefore w:val="0"/>
        <w:widowControl w:val="0"/>
        <w:kinsoku/>
        <w:wordWrap/>
        <w:overflowPunct/>
        <w:topLinePunct w:val="0"/>
        <w:bidi w:val="0"/>
        <w:spacing w:line="460" w:lineRule="exact"/>
        <w:ind w:firstLine="210"/>
        <w:textAlignment w:val="auto"/>
        <w:rPr>
          <w:rFonts w:ascii="Arial" w:hAnsi="宋体" w:eastAsia="宋体" w:cs="Arial"/>
          <w:kern w:val="2"/>
          <w:sz w:val="21"/>
          <w:szCs w:val="21"/>
          <w:highlight w:val="yellow"/>
          <w:lang w:val="en-US" w:eastAsia="zh-CN" w:bidi="ar-SA"/>
        </w:rPr>
      </w:pPr>
      <w:r>
        <w:rPr>
          <w:rFonts w:hint="eastAsia" w:ascii="Arial" w:hAnsi="宋体" w:cs="Arial"/>
          <w:kern w:val="2"/>
          <w:sz w:val="21"/>
          <w:szCs w:val="21"/>
          <w:highlight w:val="none"/>
          <w:lang w:val="en-US" w:eastAsia="zh-CN" w:bidi="ar-SA"/>
        </w:rPr>
        <w:t xml:space="preserve">  为了保证设备质量及技术性能，</w:t>
      </w:r>
      <w:r>
        <w:rPr>
          <w:rFonts w:hint="eastAsia" w:ascii="Arial" w:hAnsi="宋体" w:eastAsia="宋体" w:cs="Arial"/>
          <w:kern w:val="2"/>
          <w:sz w:val="21"/>
          <w:szCs w:val="21"/>
          <w:highlight w:val="none"/>
          <w:lang w:val="en-US" w:eastAsia="zh-CN" w:bidi="ar-SA"/>
        </w:rPr>
        <w:t>签合同签前中标人在</w:t>
      </w:r>
      <w:r>
        <w:rPr>
          <w:rFonts w:hint="eastAsia" w:ascii="Arial" w:hAnsi="宋体" w:cs="Arial"/>
          <w:kern w:val="2"/>
          <w:sz w:val="21"/>
          <w:szCs w:val="21"/>
          <w:highlight w:val="none"/>
          <w:lang w:val="en-US" w:eastAsia="zh-CN" w:bidi="ar-SA"/>
        </w:rPr>
        <w:t>中标公示之日起3</w:t>
      </w:r>
      <w:r>
        <w:rPr>
          <w:rFonts w:hint="eastAsia" w:ascii="Arial" w:hAnsi="宋体" w:eastAsia="宋体" w:cs="Arial"/>
          <w:kern w:val="2"/>
          <w:sz w:val="21"/>
          <w:szCs w:val="21"/>
          <w:highlight w:val="none"/>
          <w:lang w:val="en-US" w:eastAsia="zh-CN" w:bidi="ar-SA"/>
        </w:rPr>
        <w:t>个日历天内须提供投标时所投</w:t>
      </w:r>
      <w:r>
        <w:rPr>
          <w:rFonts w:hint="eastAsia" w:ascii="Arial" w:hAnsi="宋体" w:cs="Arial"/>
          <w:kern w:val="2"/>
          <w:sz w:val="21"/>
          <w:szCs w:val="21"/>
          <w:highlight w:val="none"/>
          <w:lang w:val="en-US" w:eastAsia="zh-CN" w:bidi="ar-SA"/>
        </w:rPr>
        <w:t>所投</w:t>
      </w:r>
      <w:r>
        <w:rPr>
          <w:rFonts w:hint="eastAsia" w:ascii="Arial" w:hAnsi="宋体" w:eastAsia="宋体" w:cs="Arial"/>
          <w:kern w:val="2"/>
          <w:sz w:val="21"/>
          <w:szCs w:val="21"/>
          <w:highlight w:val="none"/>
          <w:lang w:val="en-US" w:eastAsia="zh-CN" w:bidi="ar-SA"/>
        </w:rPr>
        <w:t>产品</w:t>
      </w:r>
      <w:r>
        <w:rPr>
          <w:rFonts w:hint="eastAsia" w:ascii="Arial" w:hAnsi="宋体" w:cs="Arial"/>
          <w:kern w:val="2"/>
          <w:sz w:val="21"/>
          <w:szCs w:val="21"/>
          <w:highlight w:val="none"/>
          <w:lang w:val="en-US" w:eastAsia="zh-CN" w:bidi="ar-SA"/>
        </w:rPr>
        <w:t>生产厂家</w:t>
      </w:r>
      <w:r>
        <w:rPr>
          <w:rFonts w:hint="eastAsia" w:ascii="Arial" w:hAnsi="宋体" w:eastAsia="宋体" w:cs="Arial"/>
          <w:kern w:val="2"/>
          <w:sz w:val="21"/>
          <w:szCs w:val="21"/>
          <w:highlight w:val="none"/>
          <w:lang w:val="en-US" w:eastAsia="zh-CN" w:bidi="ar-SA"/>
        </w:rPr>
        <w:t>的参数功能截图或</w:t>
      </w:r>
      <w:r>
        <w:rPr>
          <w:rFonts w:hint="eastAsia" w:ascii="Arial" w:hAnsi="宋体" w:cs="Arial"/>
          <w:kern w:val="2"/>
          <w:sz w:val="21"/>
          <w:szCs w:val="21"/>
          <w:highlight w:val="none"/>
          <w:lang w:val="en-US" w:eastAsia="zh-CN" w:bidi="ar-SA"/>
        </w:rPr>
        <w:t>厂家最近</w:t>
      </w:r>
      <w:r>
        <w:rPr>
          <w:rFonts w:hint="eastAsia" w:ascii="Arial" w:hAnsi="宋体" w:eastAsia="宋体" w:cs="Arial"/>
          <w:kern w:val="2"/>
          <w:sz w:val="21"/>
          <w:szCs w:val="21"/>
          <w:highlight w:val="none"/>
          <w:lang w:val="en-US" w:eastAsia="zh-CN" w:bidi="ar-SA"/>
        </w:rPr>
        <w:t>检测报告或参数证明材料并加</w:t>
      </w:r>
      <w:r>
        <w:rPr>
          <w:rFonts w:hint="eastAsia" w:ascii="Arial" w:hAnsi="宋体" w:cs="Arial"/>
          <w:kern w:val="2"/>
          <w:sz w:val="21"/>
          <w:szCs w:val="21"/>
          <w:highlight w:val="none"/>
          <w:lang w:val="en-US" w:eastAsia="zh-CN" w:bidi="ar-SA"/>
        </w:rPr>
        <w:t>盖</w:t>
      </w:r>
      <w:r>
        <w:rPr>
          <w:rFonts w:hint="eastAsia" w:ascii="Arial" w:hAnsi="宋体" w:eastAsia="宋体" w:cs="Arial"/>
          <w:kern w:val="2"/>
          <w:sz w:val="21"/>
          <w:szCs w:val="21"/>
          <w:highlight w:val="none"/>
          <w:lang w:val="en-US" w:eastAsia="zh-CN" w:bidi="ar-SA"/>
        </w:rPr>
        <w:t>厂</w:t>
      </w:r>
      <w:r>
        <w:rPr>
          <w:rFonts w:hint="eastAsia" w:ascii="Arial" w:hAnsi="宋体" w:cs="Arial"/>
          <w:kern w:val="2"/>
          <w:sz w:val="21"/>
          <w:szCs w:val="21"/>
          <w:highlight w:val="none"/>
          <w:lang w:val="en-US" w:eastAsia="zh-CN" w:bidi="ar-SA"/>
        </w:rPr>
        <w:t>方</w:t>
      </w:r>
      <w:r>
        <w:rPr>
          <w:rFonts w:hint="eastAsia" w:ascii="Arial" w:hAnsi="宋体" w:eastAsia="宋体" w:cs="Arial"/>
          <w:kern w:val="2"/>
          <w:sz w:val="21"/>
          <w:szCs w:val="21"/>
          <w:highlight w:val="none"/>
          <w:lang w:val="en-US" w:eastAsia="zh-CN" w:bidi="ar-SA"/>
        </w:rPr>
        <w:t>公章的有效文件作为合同签署附件材料存档。否则视为自动放弃中标资格。</w:t>
      </w:r>
    </w:p>
    <w:p>
      <w:pPr>
        <w:keepNext w:val="0"/>
        <w:keepLines w:val="0"/>
        <w:pageBreakBefore w:val="0"/>
        <w:widowControl w:val="0"/>
        <w:kinsoku/>
        <w:wordWrap/>
        <w:overflowPunct/>
        <w:topLinePunct w:val="0"/>
        <w:bidi w:val="0"/>
        <w:snapToGrid w:val="0"/>
        <w:spacing w:before="163" w:after="163" w:line="460" w:lineRule="exact"/>
        <w:textAlignment w:val="auto"/>
        <w:rPr>
          <w:rFonts w:ascii="Arial" w:hAnsi="宋体" w:cs="Arial"/>
          <w:szCs w:val="21"/>
        </w:rPr>
      </w:pPr>
      <w:r>
        <w:rPr>
          <w:rFonts w:ascii="Arial" w:hAnsi="宋体" w:cs="Arial"/>
          <w:szCs w:val="21"/>
        </w:rPr>
        <w:t>五、产权担保</w:t>
      </w:r>
    </w:p>
    <w:p>
      <w:pPr>
        <w:snapToGrid w:val="0"/>
        <w:spacing w:before="163" w:after="163" w:line="460" w:lineRule="exact"/>
        <w:ind w:firstLine="420" w:firstLineChars="200"/>
        <w:rPr>
          <w:rFonts w:ascii="Arial" w:hAnsi="宋体" w:cs="Arial"/>
          <w:szCs w:val="21"/>
        </w:rPr>
      </w:pPr>
      <w:r>
        <w:rPr>
          <w:rFonts w:ascii="Arial" w:hAnsi="宋体" w:cs="Arial"/>
          <w:szCs w:val="21"/>
        </w:rPr>
        <w:t>乙方保证所交付的货物的所有权完全属于乙方且无任何抵押、查封等产权瑕疵。</w:t>
      </w:r>
    </w:p>
    <w:p>
      <w:pPr>
        <w:snapToGrid w:val="0"/>
        <w:spacing w:before="163" w:after="163" w:line="460" w:lineRule="exact"/>
        <w:ind w:left="357" w:hanging="357" w:hangingChars="170"/>
        <w:rPr>
          <w:rFonts w:ascii="Arial" w:hAnsi="宋体" w:cs="Arial"/>
          <w:szCs w:val="21"/>
        </w:rPr>
      </w:pPr>
      <w:r>
        <w:rPr>
          <w:rFonts w:ascii="Arial" w:hAnsi="宋体" w:cs="Arial"/>
          <w:szCs w:val="21"/>
        </w:rPr>
        <w:t>六、履约保证金</w:t>
      </w:r>
    </w:p>
    <w:p>
      <w:pPr>
        <w:snapToGrid w:val="0"/>
        <w:spacing w:before="163" w:after="163" w:line="460" w:lineRule="exact"/>
        <w:ind w:firstLine="420" w:firstLineChars="200"/>
        <w:rPr>
          <w:rFonts w:ascii="Arial" w:hAnsi="宋体" w:cs="Arial"/>
          <w:szCs w:val="21"/>
        </w:rPr>
      </w:pPr>
      <w:r>
        <w:rPr>
          <w:rFonts w:ascii="Arial" w:hAnsi="宋体" w:cs="Arial"/>
          <w:szCs w:val="21"/>
        </w:rPr>
        <w:t>乙方交纳人民币（项目中标价的</w:t>
      </w:r>
      <w:r>
        <w:rPr>
          <w:rFonts w:ascii="Arial" w:hAnsi="宋体" w:cs="Arial"/>
          <w:szCs w:val="21"/>
          <w:u w:val="single"/>
        </w:rPr>
        <w:t>10</w:t>
      </w:r>
      <w:r>
        <w:rPr>
          <w:rFonts w:ascii="Arial" w:hAnsi="宋体" w:cs="Arial"/>
          <w:szCs w:val="21"/>
        </w:rPr>
        <w:t>%）元作为本合同的履约保证金，履约保证金在完成全部项目经验收合格后无息退还</w:t>
      </w:r>
      <w:r>
        <w:rPr>
          <w:rFonts w:hint="eastAsia" w:ascii="Arial" w:hAnsi="宋体" w:cs="Arial"/>
          <w:szCs w:val="21"/>
        </w:rPr>
        <w:t>，履约保证金也可转为质量保证金，质量保证金按本合同相应条款执行</w:t>
      </w:r>
      <w:r>
        <w:rPr>
          <w:rFonts w:ascii="Arial" w:hAnsi="宋体" w:cs="Arial"/>
          <w:szCs w:val="21"/>
        </w:rPr>
        <w:t>。</w:t>
      </w:r>
    </w:p>
    <w:p>
      <w:pPr>
        <w:snapToGrid w:val="0"/>
        <w:spacing w:before="163" w:after="163" w:line="460" w:lineRule="exact"/>
        <w:ind w:left="357" w:hanging="357" w:hangingChars="170"/>
        <w:rPr>
          <w:rFonts w:ascii="Arial" w:hAnsi="宋体" w:cs="Arial"/>
          <w:szCs w:val="21"/>
        </w:rPr>
      </w:pPr>
      <w:r>
        <w:rPr>
          <w:rFonts w:ascii="Arial" w:hAnsi="宋体" w:cs="Arial"/>
          <w:szCs w:val="21"/>
        </w:rPr>
        <w:t>七、转包或分包</w:t>
      </w:r>
    </w:p>
    <w:p>
      <w:pPr>
        <w:snapToGrid w:val="0"/>
        <w:spacing w:before="120" w:beforeLines="50" w:after="120" w:afterLines="50" w:line="460" w:lineRule="exact"/>
        <w:ind w:firstLine="420" w:firstLineChars="200"/>
        <w:rPr>
          <w:rFonts w:ascii="Arial" w:hAnsi="宋体" w:cs="Arial"/>
          <w:szCs w:val="21"/>
        </w:rPr>
      </w:pPr>
      <w:r>
        <w:rPr>
          <w:rFonts w:hint="eastAsia" w:ascii="Arial" w:hAnsi="宋体" w:cs="Arial"/>
          <w:szCs w:val="21"/>
        </w:rPr>
        <w:t>1.本合同范围的货物，应由乙方直接供应，不得转让他人供应；</w:t>
      </w:r>
    </w:p>
    <w:p>
      <w:pPr>
        <w:snapToGrid w:val="0"/>
        <w:spacing w:before="120" w:beforeLines="50" w:after="120" w:afterLines="50" w:line="460" w:lineRule="exact"/>
        <w:ind w:firstLine="420" w:firstLineChars="200"/>
        <w:rPr>
          <w:rFonts w:ascii="Arial" w:hAnsi="宋体" w:cs="Arial"/>
          <w:szCs w:val="21"/>
        </w:rPr>
      </w:pPr>
      <w:r>
        <w:rPr>
          <w:rFonts w:hint="eastAsia" w:ascii="Arial" w:hAnsi="宋体" w:cs="Arial"/>
          <w:szCs w:val="21"/>
        </w:rPr>
        <w:t>2.除非得到招标人的书面同意，乙方不得将本合同范围的货物全部或部分分包给他人供应；</w:t>
      </w:r>
    </w:p>
    <w:p>
      <w:pPr>
        <w:snapToGrid w:val="0"/>
        <w:spacing w:before="120" w:beforeLines="50" w:after="120" w:afterLines="50" w:line="460" w:lineRule="exact"/>
        <w:ind w:firstLine="420" w:firstLineChars="200"/>
        <w:rPr>
          <w:rFonts w:ascii="Arial" w:hAnsi="宋体" w:cs="Arial"/>
          <w:szCs w:val="21"/>
        </w:rPr>
      </w:pPr>
      <w:r>
        <w:rPr>
          <w:rFonts w:hint="eastAsia" w:ascii="Arial" w:hAnsi="宋体" w:cs="Arial"/>
          <w:szCs w:val="21"/>
        </w:rPr>
        <w:t>3.如有转让和未经招标人同意的分包行为，招标人有权解除合同，没收履约保证金并追究乙方的违约责任。</w:t>
      </w:r>
    </w:p>
    <w:p>
      <w:pPr>
        <w:snapToGrid w:val="0"/>
        <w:spacing w:before="163" w:after="163" w:line="460" w:lineRule="exact"/>
        <w:rPr>
          <w:rFonts w:ascii="Arial" w:hAnsi="宋体" w:cs="Arial"/>
          <w:szCs w:val="21"/>
        </w:rPr>
      </w:pPr>
      <w:r>
        <w:rPr>
          <w:rFonts w:ascii="Arial" w:hAnsi="宋体" w:cs="Arial"/>
          <w:szCs w:val="21"/>
        </w:rPr>
        <w:t>八、质保金</w:t>
      </w:r>
    </w:p>
    <w:p>
      <w:pPr>
        <w:snapToGrid w:val="0"/>
        <w:spacing w:before="163" w:after="163" w:line="460" w:lineRule="exact"/>
        <w:ind w:firstLine="420" w:firstLineChars="200"/>
        <w:rPr>
          <w:rFonts w:ascii="Arial" w:hAnsi="宋体" w:cs="Arial"/>
          <w:szCs w:val="21"/>
        </w:rPr>
      </w:pPr>
      <w:r>
        <w:rPr>
          <w:rFonts w:ascii="Arial" w:hAnsi="宋体" w:cs="Arial"/>
          <w:szCs w:val="21"/>
        </w:rPr>
        <w:t>1.本项目质保金为项目合同价款的</w:t>
      </w:r>
      <w:r>
        <w:rPr>
          <w:rFonts w:hint="eastAsia" w:ascii="Arial" w:hAnsi="宋体" w:cs="Arial"/>
          <w:szCs w:val="21"/>
          <w:lang w:val="en-US" w:eastAsia="zh-CN"/>
        </w:rPr>
        <w:t>10</w:t>
      </w:r>
      <w:r>
        <w:rPr>
          <w:rFonts w:ascii="Arial" w:hAnsi="宋体" w:cs="Arial"/>
          <w:szCs w:val="21"/>
        </w:rPr>
        <w:t>%。质保金的返还：</w:t>
      </w:r>
      <w:r>
        <w:rPr>
          <w:rFonts w:hint="eastAsia" w:ascii="Arial" w:hAnsi="宋体" w:cs="Arial"/>
          <w:szCs w:val="21"/>
          <w:u w:val="single"/>
        </w:rPr>
        <w:t>在质保期满后且运行无质量问题的条件下结清（不计利息）</w:t>
      </w:r>
      <w:r>
        <w:rPr>
          <w:rFonts w:ascii="Arial" w:hAnsi="宋体" w:cs="Arial"/>
          <w:szCs w:val="21"/>
        </w:rPr>
        <w:t>。</w:t>
      </w:r>
    </w:p>
    <w:p>
      <w:pPr>
        <w:pStyle w:val="2"/>
        <w:rPr>
          <w:rFonts w:ascii="Arial" w:hAnsi="宋体" w:eastAsia="宋体" w:cs="Arial"/>
          <w:color w:val="auto"/>
          <w:kern w:val="2"/>
          <w:sz w:val="21"/>
          <w:szCs w:val="21"/>
          <w:highlight w:val="none"/>
          <w:lang w:val="en-US" w:eastAsia="zh-CN" w:bidi="ar-SA"/>
        </w:rPr>
      </w:pPr>
      <w:r>
        <w:rPr>
          <w:rFonts w:hint="eastAsia" w:ascii="Arial" w:hAnsi="宋体" w:eastAsia="宋体" w:cs="Arial"/>
          <w:color w:val="auto"/>
          <w:kern w:val="2"/>
          <w:sz w:val="21"/>
          <w:szCs w:val="21"/>
          <w:lang w:val="en-US" w:eastAsia="zh-CN" w:bidi="ar-SA"/>
        </w:rPr>
        <w:t xml:space="preserve">   </w:t>
      </w:r>
      <w:r>
        <w:rPr>
          <w:rFonts w:hint="eastAsia" w:ascii="Arial" w:hAnsi="宋体" w:eastAsia="宋体" w:cs="Arial"/>
          <w:color w:val="auto"/>
          <w:kern w:val="2"/>
          <w:sz w:val="21"/>
          <w:szCs w:val="21"/>
          <w:highlight w:val="none"/>
          <w:lang w:val="en-US" w:eastAsia="zh-CN" w:bidi="ar-SA"/>
        </w:rPr>
        <w:t xml:space="preserve"> 2.本项目质保时间</w:t>
      </w:r>
      <w:r>
        <w:rPr>
          <w:rFonts w:hint="eastAsia" w:ascii="Arial" w:hAnsi="宋体" w:eastAsia="宋体" w:cs="Arial"/>
          <w:color w:val="auto"/>
          <w:kern w:val="2"/>
          <w:sz w:val="21"/>
          <w:szCs w:val="21"/>
          <w:highlight w:val="none"/>
          <w:u w:val="single"/>
          <w:lang w:val="en-US" w:eastAsia="zh-CN" w:bidi="ar-SA"/>
        </w:rPr>
        <w:t xml:space="preserve"> </w:t>
      </w:r>
      <w:r>
        <w:rPr>
          <w:rFonts w:ascii="Arial" w:hAnsi="宋体" w:eastAsia="宋体" w:cs="Arial"/>
          <w:color w:val="auto"/>
          <w:kern w:val="2"/>
          <w:sz w:val="21"/>
          <w:szCs w:val="21"/>
          <w:highlight w:val="none"/>
          <w:u w:val="single"/>
          <w:lang w:val="en-US" w:eastAsia="zh-CN" w:bidi="ar-SA"/>
        </w:rPr>
        <w:t xml:space="preserve">    </w:t>
      </w:r>
      <w:r>
        <w:rPr>
          <w:rFonts w:hint="eastAsia" w:ascii="Arial" w:hAnsi="宋体" w:eastAsia="宋体" w:cs="Arial"/>
          <w:color w:val="auto"/>
          <w:kern w:val="2"/>
          <w:sz w:val="21"/>
          <w:szCs w:val="21"/>
          <w:highlight w:val="none"/>
          <w:lang w:val="en-US" w:eastAsia="zh-CN" w:bidi="ar-SA"/>
        </w:rPr>
        <w:t>年，签合时须提供显示屏和计算机厂家质保承诺函（作为合同组成部分）。</w:t>
      </w:r>
    </w:p>
    <w:p>
      <w:pPr>
        <w:snapToGrid w:val="0"/>
        <w:spacing w:before="163" w:after="163" w:line="460" w:lineRule="exact"/>
        <w:rPr>
          <w:rFonts w:ascii="Arial" w:hAnsi="宋体" w:eastAsia="宋体" w:cs="Arial"/>
          <w:color w:val="auto"/>
          <w:kern w:val="2"/>
          <w:sz w:val="21"/>
          <w:szCs w:val="21"/>
          <w:lang w:val="en-US" w:eastAsia="zh-CN" w:bidi="ar-SA"/>
        </w:rPr>
      </w:pPr>
      <w:r>
        <w:rPr>
          <w:rFonts w:ascii="Arial" w:hAnsi="宋体" w:eastAsia="宋体" w:cs="Arial"/>
          <w:color w:val="auto"/>
          <w:kern w:val="2"/>
          <w:sz w:val="21"/>
          <w:szCs w:val="21"/>
          <w:lang w:val="en-US" w:eastAsia="zh-CN" w:bidi="ar-SA"/>
        </w:rPr>
        <w:t>九、项目完成时间、交货方式及交货地点</w:t>
      </w:r>
    </w:p>
    <w:p>
      <w:pPr>
        <w:snapToGrid w:val="0"/>
        <w:spacing w:before="163" w:after="163" w:line="460" w:lineRule="exact"/>
        <w:ind w:firstLine="420" w:firstLineChars="200"/>
        <w:rPr>
          <w:rFonts w:ascii="Arial" w:hAnsi="宋体" w:cs="Arial"/>
          <w:szCs w:val="21"/>
        </w:rPr>
      </w:pPr>
      <w:r>
        <w:rPr>
          <w:rFonts w:ascii="Arial" w:hAnsi="宋体" w:cs="Arial"/>
          <w:szCs w:val="21"/>
        </w:rPr>
        <w:t>1. 项目完成时间：（投标人承诺时间）。</w:t>
      </w:r>
    </w:p>
    <w:p>
      <w:pPr>
        <w:snapToGrid w:val="0"/>
        <w:spacing w:before="163" w:after="163" w:line="460" w:lineRule="exact"/>
        <w:ind w:firstLine="420" w:firstLineChars="200"/>
        <w:rPr>
          <w:rFonts w:ascii="Arial" w:hAnsi="宋体" w:cs="Arial"/>
          <w:szCs w:val="21"/>
        </w:rPr>
      </w:pPr>
      <w:r>
        <w:rPr>
          <w:rFonts w:ascii="Arial" w:hAnsi="宋体" w:cs="Arial"/>
          <w:szCs w:val="21"/>
        </w:rPr>
        <w:t>2. 交货方式：</w:t>
      </w:r>
    </w:p>
    <w:p>
      <w:pPr>
        <w:snapToGrid w:val="0"/>
        <w:spacing w:before="163" w:after="163" w:line="460" w:lineRule="exact"/>
        <w:ind w:firstLine="462" w:firstLineChars="220"/>
        <w:rPr>
          <w:rFonts w:ascii="Arial" w:hAnsi="宋体" w:cs="Arial"/>
          <w:szCs w:val="21"/>
        </w:rPr>
      </w:pPr>
      <w:r>
        <w:rPr>
          <w:rFonts w:ascii="Arial" w:hAnsi="宋体" w:cs="Arial"/>
          <w:szCs w:val="21"/>
        </w:rPr>
        <w:t>（1）乙方交货前应对产品作出全面检查和对验收文件进行整理，并列出清单，作为招标人收货验收和使用的技术条件依据，检验的结果应随货物交招标人。</w:t>
      </w:r>
    </w:p>
    <w:p>
      <w:pPr>
        <w:snapToGrid w:val="0"/>
        <w:spacing w:before="163" w:after="163" w:line="460" w:lineRule="exact"/>
        <w:ind w:firstLine="462" w:firstLineChars="220"/>
        <w:rPr>
          <w:rFonts w:ascii="Arial" w:hAnsi="宋体" w:cs="Arial"/>
          <w:szCs w:val="21"/>
        </w:rPr>
      </w:pPr>
      <w:r>
        <w:rPr>
          <w:rFonts w:ascii="Arial" w:hAnsi="宋体" w:cs="Arial"/>
          <w:szCs w:val="21"/>
        </w:rPr>
        <w:t>（2）货物、材料运抵现场后，甲方对乙方提交的货物依据招标文件上的技术规格要求和国家有关质量标准进行现场初步验收，外观、说明书符合招标文件技术要求的，给予签收，初步验收不合格的不予签收。</w:t>
      </w:r>
    </w:p>
    <w:p>
      <w:pPr>
        <w:snapToGrid w:val="0"/>
        <w:spacing w:before="163" w:after="163" w:line="460" w:lineRule="exact"/>
        <w:ind w:firstLine="462" w:firstLineChars="220"/>
        <w:rPr>
          <w:rFonts w:ascii="Arial" w:hAnsi="宋体" w:cs="Arial"/>
          <w:szCs w:val="21"/>
        </w:rPr>
      </w:pPr>
      <w:r>
        <w:rPr>
          <w:rFonts w:ascii="Arial" w:hAnsi="宋体" w:cs="Arial"/>
          <w:szCs w:val="21"/>
        </w:rPr>
        <w:t>（3）对设备、材料的品牌、型号、数量、产地等进行检查和清点，同类型的所有设备和材料应属同一制造商的同一地产品。如检验中发现短缺、损坏或假冒伪劣商品，乙方应立即采取补救措施，不得因此影响施工，否则一切损失由乙方负责</w:t>
      </w:r>
      <w:r>
        <w:rPr>
          <w:rFonts w:hint="eastAsia" w:ascii="Arial" w:hAnsi="宋体" w:cs="Arial"/>
          <w:szCs w:val="21"/>
        </w:rPr>
        <w:t>承担相应责任</w:t>
      </w:r>
      <w:r>
        <w:rPr>
          <w:rFonts w:ascii="Arial" w:hAnsi="宋体" w:cs="Arial"/>
          <w:szCs w:val="21"/>
        </w:rPr>
        <w:t>。</w:t>
      </w:r>
    </w:p>
    <w:p>
      <w:pPr>
        <w:snapToGrid w:val="0"/>
        <w:spacing w:before="163" w:after="163" w:line="460" w:lineRule="exact"/>
        <w:ind w:firstLine="462" w:firstLineChars="220"/>
        <w:rPr>
          <w:rFonts w:ascii="Arial" w:hAnsi="宋体" w:cs="Arial"/>
          <w:szCs w:val="21"/>
        </w:rPr>
      </w:pPr>
      <w:r>
        <w:rPr>
          <w:rFonts w:ascii="Arial" w:hAnsi="宋体" w:cs="Arial"/>
          <w:szCs w:val="21"/>
        </w:rPr>
        <w:t>（4）所有税费均由乙方承担。</w:t>
      </w:r>
    </w:p>
    <w:p>
      <w:pPr>
        <w:snapToGrid w:val="0"/>
        <w:spacing w:before="163" w:after="163" w:line="460" w:lineRule="exact"/>
        <w:rPr>
          <w:rFonts w:ascii="Arial" w:hAnsi="宋体" w:cs="Arial"/>
          <w:szCs w:val="21"/>
        </w:rPr>
      </w:pPr>
      <w:r>
        <w:rPr>
          <w:rFonts w:ascii="Arial" w:hAnsi="宋体" w:cs="Arial"/>
          <w:szCs w:val="21"/>
        </w:rPr>
        <w:t>十、合同价款与支付</w:t>
      </w:r>
    </w:p>
    <w:p>
      <w:pPr>
        <w:snapToGrid w:val="0"/>
        <w:spacing w:before="163" w:after="163" w:line="460" w:lineRule="exact"/>
        <w:ind w:firstLine="422" w:firstLineChars="200"/>
        <w:rPr>
          <w:rFonts w:ascii="Arial" w:hAnsi="宋体" w:cs="Arial"/>
          <w:b/>
          <w:bCs/>
          <w:szCs w:val="21"/>
        </w:rPr>
      </w:pPr>
      <w:r>
        <w:rPr>
          <w:rFonts w:ascii="Arial" w:hAnsi="宋体" w:cs="Arial"/>
          <w:b/>
          <w:bCs/>
          <w:szCs w:val="21"/>
        </w:rPr>
        <w:t>1、付款方式：</w:t>
      </w:r>
      <w:r>
        <w:rPr>
          <w:rFonts w:hint="eastAsia" w:ascii="Arial" w:hAnsi="宋体" w:cs="Arial"/>
          <w:b/>
          <w:bCs/>
          <w:szCs w:val="21"/>
        </w:rPr>
        <w:t>详见投标人须知。</w:t>
      </w:r>
    </w:p>
    <w:p>
      <w:pPr>
        <w:snapToGrid w:val="0"/>
        <w:spacing w:before="163" w:after="163" w:line="460" w:lineRule="exact"/>
        <w:ind w:firstLine="422" w:firstLineChars="200"/>
        <w:rPr>
          <w:rFonts w:ascii="Arial" w:hAnsi="宋体" w:cs="Arial"/>
          <w:b/>
          <w:bCs/>
          <w:szCs w:val="21"/>
        </w:rPr>
      </w:pPr>
    </w:p>
    <w:p>
      <w:pPr>
        <w:snapToGrid w:val="0"/>
        <w:spacing w:before="163" w:after="163" w:line="460" w:lineRule="exact"/>
        <w:ind w:firstLine="420" w:firstLineChars="200"/>
        <w:rPr>
          <w:rFonts w:ascii="Arial" w:hAnsi="宋体" w:cs="Arial"/>
          <w:szCs w:val="21"/>
        </w:rPr>
      </w:pPr>
      <w:r>
        <w:rPr>
          <w:rFonts w:hint="eastAsia" w:ascii="Arial" w:hAnsi="宋体" w:cs="Arial"/>
          <w:szCs w:val="21"/>
        </w:rPr>
        <w:t>2、结算方式：</w:t>
      </w:r>
    </w:p>
    <w:p>
      <w:pPr>
        <w:spacing w:line="520" w:lineRule="exact"/>
        <w:ind w:firstLine="420" w:firstLineChars="200"/>
        <w:rPr>
          <w:rFonts w:ascii="Arial" w:hAnsi="宋体" w:cs="Arial"/>
          <w:szCs w:val="21"/>
        </w:rPr>
      </w:pPr>
      <w:r>
        <w:rPr>
          <w:rFonts w:hint="eastAsia" w:ascii="Arial" w:hAnsi="宋体" w:cs="Arial"/>
          <w:szCs w:val="21"/>
        </w:rPr>
        <w:t>本项目为交钥匙工程，除设计变更、业主签证外，其他因素均视为可预见的风险包括在合同风险范围之内（不论材料价格的涨跌、政策性文件是否调整，结算时一律不调整）。</w:t>
      </w:r>
    </w:p>
    <w:p>
      <w:pPr>
        <w:snapToGrid w:val="0"/>
        <w:spacing w:before="120" w:beforeLines="50" w:after="120" w:afterLines="50" w:line="460" w:lineRule="exact"/>
        <w:rPr>
          <w:rFonts w:ascii="Arial" w:hAnsi="宋体" w:cs="Arial"/>
          <w:szCs w:val="21"/>
        </w:rPr>
      </w:pPr>
      <w:r>
        <w:rPr>
          <w:rFonts w:hint="eastAsia" w:ascii="Arial" w:hAnsi="宋体" w:cs="Arial"/>
          <w:szCs w:val="21"/>
        </w:rPr>
        <w:t>十一、税费</w:t>
      </w:r>
    </w:p>
    <w:p>
      <w:pPr>
        <w:snapToGrid w:val="0"/>
        <w:spacing w:before="120" w:beforeLines="50" w:after="120" w:afterLines="50" w:line="460" w:lineRule="exact"/>
        <w:ind w:firstLine="420" w:firstLineChars="200"/>
        <w:rPr>
          <w:rFonts w:ascii="Arial" w:hAnsi="宋体" w:cs="Arial"/>
          <w:szCs w:val="21"/>
        </w:rPr>
      </w:pPr>
      <w:r>
        <w:rPr>
          <w:rFonts w:hint="eastAsia" w:ascii="Arial" w:hAnsi="宋体" w:cs="Arial"/>
          <w:szCs w:val="21"/>
        </w:rPr>
        <w:t>本合同执行中相关的一切税费均由乙方负担。</w:t>
      </w:r>
    </w:p>
    <w:p>
      <w:pPr>
        <w:snapToGrid w:val="0"/>
        <w:spacing w:before="163" w:after="163" w:line="460" w:lineRule="exact"/>
        <w:ind w:left="359" w:hanging="359" w:hangingChars="171"/>
        <w:rPr>
          <w:rFonts w:ascii="Arial" w:hAnsi="宋体" w:cs="Arial"/>
          <w:szCs w:val="21"/>
        </w:rPr>
      </w:pPr>
      <w:r>
        <w:rPr>
          <w:rFonts w:ascii="Arial" w:hAnsi="宋体" w:cs="Arial"/>
          <w:szCs w:val="21"/>
        </w:rPr>
        <w:t>十二、质量保证及售后服务</w:t>
      </w:r>
    </w:p>
    <w:p>
      <w:pPr>
        <w:spacing w:line="360" w:lineRule="auto"/>
        <w:ind w:firstLine="420" w:firstLineChars="200"/>
        <w:rPr>
          <w:rFonts w:ascii="Arial" w:hAnsi="宋体" w:cs="Arial"/>
          <w:szCs w:val="21"/>
        </w:rPr>
      </w:pPr>
      <w:r>
        <w:rPr>
          <w:rFonts w:hint="eastAsia" w:ascii="Arial" w:hAnsi="宋体" w:cs="Arial"/>
          <w:szCs w:val="21"/>
        </w:rPr>
        <w:t>1、乙方负责提供本项目范围内所使用的所有设备、材料、装置的原产地证明、质保、售后文件和相应的等级标准证明并承诺向甲方提供有关制造业的质保证明。</w:t>
      </w:r>
    </w:p>
    <w:p>
      <w:pPr>
        <w:spacing w:line="360" w:lineRule="auto"/>
        <w:ind w:firstLine="420" w:firstLineChars="200"/>
        <w:rPr>
          <w:rFonts w:ascii="Arial" w:hAnsi="宋体" w:cs="Arial"/>
          <w:szCs w:val="21"/>
        </w:rPr>
      </w:pPr>
      <w:r>
        <w:rPr>
          <w:rFonts w:hint="eastAsia" w:ascii="Arial" w:hAnsi="宋体" w:cs="Arial"/>
          <w:szCs w:val="21"/>
        </w:rPr>
        <w:t>2、乙方应保证货物是全新、未使用过的，经过相关行政主管部门、社会机构论证、检验、检测合格（如无相关论证、检验、检测的，则经由生产企业检验合格），通过合法渠道进货的正宗、原装合格正品，并完全符合合同规定的质量、规格和性能的要求，符合本合同订立目的。乙方应保证其货物在正确安装、正常使用和保养条件下，在其使用寿命期内应具有的性能。货物最终验收后，在质量保证期内，乙方应对由于设计、工艺或材料的缺陷而发生的任何不足或故障负责更换或维修，费用由乙方负担。</w:t>
      </w:r>
    </w:p>
    <w:p>
      <w:pPr>
        <w:spacing w:line="360" w:lineRule="auto"/>
        <w:ind w:firstLine="420" w:firstLineChars="200"/>
        <w:rPr>
          <w:rFonts w:ascii="Arial" w:hAnsi="宋体" w:cs="Arial"/>
          <w:szCs w:val="21"/>
        </w:rPr>
      </w:pPr>
      <w:r>
        <w:rPr>
          <w:rFonts w:hint="eastAsia" w:ascii="Arial" w:hAnsi="宋体" w:cs="Arial"/>
          <w:szCs w:val="21"/>
        </w:rPr>
        <w:t>3、在质量保证期内，如果货物的数量、质量或规格与合同及招标需求不符，或证明货物是有缺陷的，包括潜在的缺陷或使用不符合要求的材料等，甲方以书面形式向乙方提出维修、更换和索赔。</w:t>
      </w:r>
    </w:p>
    <w:p>
      <w:pPr>
        <w:spacing w:line="360" w:lineRule="auto"/>
        <w:ind w:firstLine="420" w:firstLineChars="200"/>
        <w:rPr>
          <w:rFonts w:ascii="Arial" w:hAnsi="宋体" w:cs="Arial"/>
          <w:szCs w:val="21"/>
        </w:rPr>
      </w:pPr>
      <w:r>
        <w:rPr>
          <w:rFonts w:hint="eastAsia" w:ascii="Arial" w:hAnsi="宋体" w:cs="Arial"/>
          <w:szCs w:val="21"/>
        </w:rPr>
        <w:t>4、乙方在收到通知后，应在合同中所附服务承诺约定的时间内必须对设备免费更换有缺陷的货物或部件。</w:t>
      </w:r>
    </w:p>
    <w:p>
      <w:pPr>
        <w:spacing w:line="360" w:lineRule="auto"/>
        <w:ind w:firstLine="420" w:firstLineChars="200"/>
        <w:rPr>
          <w:rFonts w:ascii="Arial" w:hAnsi="宋体" w:cs="Arial"/>
          <w:szCs w:val="21"/>
        </w:rPr>
      </w:pPr>
      <w:r>
        <w:rPr>
          <w:rFonts w:hint="eastAsia" w:ascii="Arial" w:hAnsi="宋体" w:cs="Arial"/>
          <w:szCs w:val="21"/>
        </w:rPr>
        <w:t>5、如果乙方在收到通知后，在合同中所附服务承诺约定的时间内没有弥补缺陷，甲方可采取必要的补救措施，但风险和费用将由乙方承担，并且造成的损失由乙方负责赔偿。</w:t>
      </w:r>
    </w:p>
    <w:p>
      <w:pPr>
        <w:snapToGrid w:val="0"/>
        <w:spacing w:line="460" w:lineRule="exact"/>
        <w:ind w:firstLine="420" w:firstLineChars="200"/>
        <w:rPr>
          <w:rFonts w:ascii="Arial" w:hAnsi="宋体" w:cs="Arial"/>
          <w:szCs w:val="21"/>
        </w:rPr>
      </w:pPr>
      <w:r>
        <w:rPr>
          <w:rFonts w:ascii="Arial" w:hAnsi="宋体" w:cs="Arial"/>
          <w:szCs w:val="21"/>
        </w:rPr>
        <w:t>6、在质保期内，乙方应对货物出现的质量及安全问题负责处理解决并承担一切费用。</w:t>
      </w:r>
    </w:p>
    <w:p>
      <w:pPr>
        <w:snapToGrid w:val="0"/>
        <w:spacing w:before="163" w:after="163" w:line="460" w:lineRule="exact"/>
        <w:ind w:firstLine="420" w:firstLineChars="200"/>
        <w:rPr>
          <w:rFonts w:ascii="Arial" w:hAnsi="宋体" w:cs="Arial"/>
          <w:szCs w:val="21"/>
        </w:rPr>
      </w:pPr>
      <w:r>
        <w:rPr>
          <w:rFonts w:ascii="Arial" w:hAnsi="宋体" w:cs="Arial"/>
          <w:szCs w:val="21"/>
        </w:rPr>
        <w:t>7、质量保证及售后服务要求：本项目质保期为</w:t>
      </w:r>
      <w:r>
        <w:rPr>
          <w:rFonts w:ascii="Arial" w:hAnsi="宋体" w:cs="Arial"/>
          <w:szCs w:val="21"/>
          <w:u w:val="single"/>
        </w:rPr>
        <w:t>（以投标时限为准）</w:t>
      </w:r>
      <w:r>
        <w:rPr>
          <w:rFonts w:ascii="Arial" w:hAnsi="宋体" w:cs="Arial"/>
          <w:szCs w:val="21"/>
        </w:rPr>
        <w:t>，对所建设的项目在质保期内提供技术支持、备品备件及维保服务。质保期过后仅收工本费，对设备故障保证在</w:t>
      </w:r>
      <w:r>
        <w:rPr>
          <w:rFonts w:hint="eastAsia" w:ascii="Arial" w:hAnsi="宋体" w:cs="Arial"/>
          <w:szCs w:val="21"/>
          <w:u w:val="single"/>
        </w:rPr>
        <w:t xml:space="preserve">  </w:t>
      </w:r>
      <w:r>
        <w:rPr>
          <w:rFonts w:ascii="Arial" w:hAnsi="宋体" w:cs="Arial"/>
          <w:szCs w:val="21"/>
        </w:rPr>
        <w:t>小时内到场处理，修复时间不超过</w:t>
      </w:r>
      <w:r>
        <w:rPr>
          <w:rFonts w:hint="eastAsia" w:ascii="Arial" w:hAnsi="宋体" w:cs="Arial"/>
          <w:szCs w:val="21"/>
          <w:u w:val="single"/>
        </w:rPr>
        <w:t xml:space="preserve">  </w:t>
      </w:r>
      <w:r>
        <w:rPr>
          <w:rFonts w:ascii="Arial" w:hAnsi="宋体" w:cs="Arial"/>
          <w:szCs w:val="21"/>
        </w:rPr>
        <w:t>小时。每年对所供设备免费巡检、保养不少于三次。</w:t>
      </w:r>
    </w:p>
    <w:p>
      <w:pPr>
        <w:spacing w:line="360" w:lineRule="auto"/>
        <w:ind w:firstLine="422" w:firstLineChars="200"/>
        <w:rPr>
          <w:rFonts w:ascii="Arial" w:hAnsi="宋体" w:cs="Arial"/>
          <w:b/>
          <w:szCs w:val="21"/>
        </w:rPr>
      </w:pPr>
      <w:r>
        <w:rPr>
          <w:rFonts w:hint="eastAsia" w:ascii="Arial" w:hAnsi="宋体" w:cs="Arial"/>
          <w:b/>
          <w:szCs w:val="21"/>
        </w:rPr>
        <w:t>8、</w:t>
      </w:r>
      <w:r>
        <w:rPr>
          <w:rFonts w:ascii="Arial" w:hAnsi="宋体" w:cs="Arial"/>
          <w:szCs w:val="21"/>
        </w:rPr>
        <w:t>售后服务计划：</w:t>
      </w:r>
    </w:p>
    <w:p>
      <w:pPr>
        <w:snapToGrid w:val="0"/>
        <w:spacing w:before="163" w:after="163" w:line="460" w:lineRule="exact"/>
        <w:rPr>
          <w:rFonts w:ascii="Arial" w:hAnsi="宋体" w:cs="Arial"/>
          <w:szCs w:val="21"/>
          <w:u w:val="single"/>
        </w:rPr>
      </w:pPr>
      <w:r>
        <w:rPr>
          <w:rFonts w:ascii="Arial" w:hAnsi="宋体" w:cs="Arial"/>
          <w:szCs w:val="21"/>
        </w:rPr>
        <w:t>售后服务机构地址：</w:t>
      </w:r>
    </w:p>
    <w:p>
      <w:pPr>
        <w:snapToGrid w:val="0"/>
        <w:spacing w:before="163" w:after="163" w:line="460" w:lineRule="exact"/>
        <w:rPr>
          <w:rFonts w:ascii="Arial" w:hAnsi="宋体" w:cs="Arial"/>
          <w:szCs w:val="21"/>
        </w:rPr>
      </w:pPr>
      <w:r>
        <w:rPr>
          <w:rFonts w:ascii="Arial" w:hAnsi="宋体" w:cs="Arial"/>
          <w:szCs w:val="21"/>
        </w:rPr>
        <w:t>联系电话：</w:t>
      </w:r>
    </w:p>
    <w:p>
      <w:pPr>
        <w:snapToGrid w:val="0"/>
        <w:spacing w:before="163" w:after="163" w:line="460" w:lineRule="exact"/>
        <w:rPr>
          <w:rFonts w:ascii="Arial" w:hAnsi="宋体" w:cs="Arial"/>
          <w:szCs w:val="21"/>
        </w:rPr>
      </w:pPr>
      <w:r>
        <w:rPr>
          <w:rFonts w:ascii="Arial" w:hAnsi="宋体" w:cs="Arial"/>
          <w:szCs w:val="21"/>
        </w:rPr>
        <w:t>其他服务承诺：</w:t>
      </w:r>
    </w:p>
    <w:p>
      <w:pPr>
        <w:snapToGrid w:val="0"/>
        <w:spacing w:before="163" w:after="163" w:line="460" w:lineRule="exact"/>
        <w:ind w:firstLine="420" w:firstLineChars="200"/>
        <w:rPr>
          <w:rFonts w:ascii="Arial" w:hAnsi="宋体" w:cs="Arial"/>
          <w:szCs w:val="21"/>
        </w:rPr>
      </w:pPr>
      <w:r>
        <w:rPr>
          <w:rFonts w:ascii="Arial" w:hAnsi="宋体" w:cs="Arial"/>
          <w:szCs w:val="21"/>
        </w:rPr>
        <w:t>9、人员培训：</w:t>
      </w:r>
      <w:r>
        <w:rPr>
          <w:rFonts w:hint="eastAsia" w:ascii="Arial" w:hAnsi="宋体" w:cs="Arial"/>
          <w:szCs w:val="21"/>
        </w:rPr>
        <w:t>乙方</w:t>
      </w:r>
      <w:r>
        <w:rPr>
          <w:rFonts w:ascii="Arial" w:hAnsi="宋体" w:cs="Arial"/>
          <w:szCs w:val="21"/>
        </w:rPr>
        <w:t>免费对</w:t>
      </w:r>
      <w:r>
        <w:rPr>
          <w:rFonts w:hint="eastAsia" w:ascii="Arial" w:hAnsi="宋体" w:cs="Arial"/>
          <w:szCs w:val="21"/>
        </w:rPr>
        <w:t>甲方</w:t>
      </w:r>
      <w:r>
        <w:rPr>
          <w:rFonts w:ascii="Arial" w:hAnsi="宋体" w:cs="Arial"/>
          <w:szCs w:val="21"/>
        </w:rPr>
        <w:t>人员进行技术培训，直到</w:t>
      </w:r>
      <w:r>
        <w:rPr>
          <w:rFonts w:hint="eastAsia" w:ascii="Arial" w:hAnsi="宋体" w:cs="Arial"/>
          <w:szCs w:val="21"/>
        </w:rPr>
        <w:t>甲方</w:t>
      </w:r>
      <w:r>
        <w:rPr>
          <w:rFonts w:ascii="Arial" w:hAnsi="宋体" w:cs="Arial"/>
          <w:szCs w:val="21"/>
        </w:rPr>
        <w:t>人员熟练操作或掌握为准。</w:t>
      </w:r>
    </w:p>
    <w:p>
      <w:pPr>
        <w:snapToGrid w:val="0"/>
        <w:spacing w:before="163" w:after="163" w:line="460" w:lineRule="exact"/>
        <w:ind w:firstLine="420" w:firstLineChars="200"/>
        <w:rPr>
          <w:rFonts w:ascii="Arial" w:hAnsi="宋体" w:cs="Arial"/>
          <w:szCs w:val="21"/>
        </w:rPr>
      </w:pPr>
      <w:r>
        <w:rPr>
          <w:rFonts w:hint="eastAsia" w:ascii="Arial" w:hAnsi="宋体" w:cs="Arial"/>
          <w:szCs w:val="21"/>
        </w:rPr>
        <w:t>1</w:t>
      </w:r>
      <w:r>
        <w:rPr>
          <w:rFonts w:ascii="Arial" w:hAnsi="宋体" w:cs="Arial"/>
          <w:szCs w:val="21"/>
        </w:rPr>
        <w:t>0</w:t>
      </w:r>
      <w:r>
        <w:rPr>
          <w:rFonts w:hint="eastAsia" w:ascii="Arial" w:hAnsi="宋体" w:cs="Arial"/>
          <w:szCs w:val="21"/>
        </w:rPr>
        <w:t>、项目实施时不得随意改变招标技术参数，否则所有后果均由中标单位承担。</w:t>
      </w:r>
    </w:p>
    <w:p>
      <w:pPr>
        <w:snapToGrid w:val="0"/>
        <w:spacing w:before="163" w:after="163" w:line="460" w:lineRule="exact"/>
        <w:ind w:firstLine="420" w:firstLineChars="200"/>
        <w:rPr>
          <w:rFonts w:ascii="Arial" w:hAnsi="宋体" w:cs="Arial"/>
          <w:szCs w:val="21"/>
        </w:rPr>
      </w:pPr>
      <w:r>
        <w:rPr>
          <w:rFonts w:hint="eastAsia" w:ascii="Arial" w:hAnsi="宋体" w:cs="Arial"/>
          <w:szCs w:val="21"/>
        </w:rPr>
        <w:t>1</w:t>
      </w:r>
      <w:r>
        <w:rPr>
          <w:rFonts w:ascii="Arial" w:hAnsi="宋体" w:cs="Arial"/>
          <w:szCs w:val="21"/>
        </w:rPr>
        <w:t>1</w:t>
      </w:r>
      <w:r>
        <w:rPr>
          <w:rFonts w:hint="eastAsia" w:ascii="Arial" w:hAnsi="宋体" w:cs="Arial"/>
          <w:szCs w:val="21"/>
        </w:rPr>
        <w:t>、项目实施安装前，须向招标人汇报，由招标人代表负责人现场监督安装，否则所有后果均由中标单位承担。</w:t>
      </w:r>
    </w:p>
    <w:p>
      <w:pPr>
        <w:snapToGrid w:val="0"/>
        <w:spacing w:before="163" w:after="163" w:line="460" w:lineRule="exact"/>
        <w:ind w:firstLine="420" w:firstLineChars="200"/>
        <w:rPr>
          <w:rFonts w:ascii="Arial" w:hAnsi="宋体" w:cs="Arial"/>
          <w:szCs w:val="21"/>
        </w:rPr>
      </w:pPr>
      <w:r>
        <w:rPr>
          <w:rFonts w:hint="eastAsia" w:ascii="Arial" w:hAnsi="宋体" w:cs="Arial"/>
          <w:szCs w:val="21"/>
        </w:rPr>
        <w:t>1</w:t>
      </w:r>
      <w:r>
        <w:rPr>
          <w:rFonts w:ascii="Arial" w:hAnsi="宋体" w:cs="Arial"/>
          <w:szCs w:val="21"/>
        </w:rPr>
        <w:t>2</w:t>
      </w:r>
      <w:r>
        <w:rPr>
          <w:rFonts w:hint="eastAsia" w:ascii="Arial" w:hAnsi="宋体" w:cs="Arial"/>
          <w:szCs w:val="21"/>
        </w:rPr>
        <w:t>、施工过程中不影响招标人相关单位的正常工作秩序。安装过程中产生的废弃物等应及时清理干净。安全责任自负。</w:t>
      </w:r>
    </w:p>
    <w:p>
      <w:pPr>
        <w:snapToGrid w:val="0"/>
        <w:spacing w:before="163" w:after="163" w:line="460" w:lineRule="exact"/>
        <w:rPr>
          <w:rFonts w:ascii="Arial" w:hAnsi="宋体" w:cs="Arial"/>
          <w:szCs w:val="21"/>
        </w:rPr>
      </w:pPr>
      <w:r>
        <w:rPr>
          <w:rFonts w:ascii="Arial" w:hAnsi="宋体" w:cs="Arial"/>
          <w:szCs w:val="21"/>
        </w:rPr>
        <w:t>十三、调试和验收</w:t>
      </w:r>
    </w:p>
    <w:p>
      <w:pPr>
        <w:snapToGrid w:val="0"/>
        <w:spacing w:before="163" w:after="163" w:line="460" w:lineRule="exact"/>
        <w:ind w:firstLine="420" w:firstLineChars="200"/>
        <w:rPr>
          <w:rFonts w:ascii="Arial" w:hAnsi="宋体" w:cs="Arial"/>
          <w:szCs w:val="21"/>
        </w:rPr>
      </w:pPr>
      <w:r>
        <w:rPr>
          <w:rFonts w:ascii="Arial" w:hAnsi="宋体" w:cs="Arial"/>
          <w:szCs w:val="21"/>
        </w:rPr>
        <w:t>1、本项目在使用前进行调试时，乙方需负责安装并培训</w:t>
      </w:r>
      <w:r>
        <w:rPr>
          <w:rFonts w:hint="eastAsia" w:ascii="Arial" w:hAnsi="宋体" w:cs="Arial"/>
          <w:szCs w:val="21"/>
        </w:rPr>
        <w:t>甲方</w:t>
      </w:r>
      <w:r>
        <w:rPr>
          <w:rFonts w:ascii="Arial" w:hAnsi="宋体" w:cs="Arial"/>
          <w:szCs w:val="21"/>
        </w:rPr>
        <w:t>的使用操作人员，并协助</w:t>
      </w:r>
      <w:r>
        <w:rPr>
          <w:rFonts w:hint="eastAsia" w:ascii="Arial" w:hAnsi="宋体" w:cs="Arial"/>
          <w:szCs w:val="21"/>
        </w:rPr>
        <w:t>甲方</w:t>
      </w:r>
      <w:r>
        <w:rPr>
          <w:rFonts w:ascii="Arial" w:hAnsi="宋体" w:cs="Arial"/>
          <w:szCs w:val="21"/>
        </w:rPr>
        <w:t>一起调试，直到符合技术要求，</w:t>
      </w:r>
      <w:r>
        <w:rPr>
          <w:rFonts w:hint="eastAsia" w:ascii="Arial" w:hAnsi="宋体" w:cs="Arial"/>
          <w:szCs w:val="21"/>
        </w:rPr>
        <w:t>甲方</w:t>
      </w:r>
      <w:r>
        <w:rPr>
          <w:rFonts w:ascii="Arial" w:hAnsi="宋体" w:cs="Arial"/>
          <w:szCs w:val="21"/>
        </w:rPr>
        <w:t>才做最终验收。</w:t>
      </w:r>
    </w:p>
    <w:p>
      <w:pPr>
        <w:snapToGrid w:val="0"/>
        <w:spacing w:before="163" w:after="163" w:line="460" w:lineRule="exact"/>
        <w:ind w:firstLine="420" w:firstLineChars="200"/>
        <w:rPr>
          <w:rFonts w:ascii="Arial" w:hAnsi="宋体" w:cs="Arial"/>
          <w:szCs w:val="21"/>
        </w:rPr>
      </w:pPr>
      <w:r>
        <w:rPr>
          <w:rFonts w:ascii="Arial" w:hAnsi="宋体" w:cs="Arial"/>
          <w:szCs w:val="21"/>
        </w:rPr>
        <w:t>2、乙方在安装调试过程中必须确保安全，乙方自行承担设备安装调试过程中的质量、任何状况下的安全责任，发生的一切问题和责任与</w:t>
      </w:r>
      <w:r>
        <w:rPr>
          <w:rFonts w:hint="eastAsia" w:ascii="Arial" w:hAnsi="宋体" w:cs="Arial"/>
          <w:szCs w:val="21"/>
        </w:rPr>
        <w:t>甲方</w:t>
      </w:r>
      <w:r>
        <w:rPr>
          <w:rFonts w:ascii="Arial" w:hAnsi="宋体" w:cs="Arial"/>
          <w:szCs w:val="21"/>
        </w:rPr>
        <w:t>无关，相关一切费用或民事、刑事责任均由乙方自理。若乙方不能及时处理所发生的问题和责任，并且影响到系统总体进度时，</w:t>
      </w:r>
      <w:r>
        <w:rPr>
          <w:rFonts w:hint="eastAsia" w:ascii="Arial" w:hAnsi="宋体" w:cs="Arial"/>
          <w:szCs w:val="21"/>
        </w:rPr>
        <w:t>甲方</w:t>
      </w:r>
      <w:r>
        <w:rPr>
          <w:rFonts w:ascii="Arial" w:hAnsi="宋体" w:cs="Arial"/>
          <w:szCs w:val="21"/>
        </w:rPr>
        <w:t>有权处理相关事务，所发生的费用在支付合同款时扣除。</w:t>
      </w:r>
    </w:p>
    <w:p>
      <w:pPr>
        <w:snapToGrid w:val="0"/>
        <w:spacing w:before="163" w:after="163" w:line="460" w:lineRule="exact"/>
        <w:ind w:firstLine="420" w:firstLineChars="200"/>
        <w:rPr>
          <w:rFonts w:ascii="Arial" w:hAnsi="宋体" w:cs="Arial"/>
          <w:szCs w:val="21"/>
        </w:rPr>
      </w:pPr>
      <w:r>
        <w:rPr>
          <w:rFonts w:ascii="Arial" w:hAnsi="宋体" w:cs="Arial"/>
          <w:szCs w:val="21"/>
        </w:rPr>
        <w:t>3.本项目涉及验收标准</w:t>
      </w:r>
      <w:r>
        <w:rPr>
          <w:rFonts w:hint="eastAsia" w:ascii="Arial" w:hAnsi="宋体" w:cs="Arial"/>
          <w:szCs w:val="21"/>
        </w:rPr>
        <w:t>依据招投标文件规定及本合同约定执行，</w:t>
      </w:r>
      <w:r>
        <w:rPr>
          <w:rFonts w:ascii="Arial" w:hAnsi="宋体" w:cs="Arial"/>
          <w:szCs w:val="21"/>
        </w:rPr>
        <w:t>包括但不限于教育部门、行业部门有关标准规范。</w:t>
      </w:r>
    </w:p>
    <w:p>
      <w:pPr>
        <w:snapToGrid w:val="0"/>
        <w:spacing w:before="163" w:after="163" w:line="460" w:lineRule="exact"/>
        <w:rPr>
          <w:rFonts w:ascii="Arial" w:hAnsi="宋体" w:cs="Arial"/>
          <w:szCs w:val="21"/>
        </w:rPr>
      </w:pPr>
      <w:r>
        <w:rPr>
          <w:rFonts w:ascii="Arial" w:hAnsi="宋体" w:cs="Arial"/>
          <w:szCs w:val="21"/>
        </w:rPr>
        <w:t>十四、货物包装、发运及运输</w:t>
      </w:r>
    </w:p>
    <w:p>
      <w:pPr>
        <w:snapToGrid w:val="0"/>
        <w:spacing w:before="163" w:after="163" w:line="460" w:lineRule="exact"/>
        <w:ind w:firstLine="420" w:firstLineChars="200"/>
        <w:rPr>
          <w:rFonts w:ascii="Arial" w:hAnsi="宋体" w:cs="Arial"/>
          <w:szCs w:val="21"/>
        </w:rPr>
      </w:pPr>
      <w:r>
        <w:rPr>
          <w:rFonts w:ascii="Arial" w:hAnsi="宋体" w:cs="Arial"/>
          <w:szCs w:val="21"/>
        </w:rPr>
        <w:t>1. 乙方应在货物发运前对其进行满足运输距离、防潮、防震、防锈和防破损装卸等要求包装，以保证货物安全运达</w:t>
      </w:r>
      <w:r>
        <w:rPr>
          <w:rFonts w:hint="eastAsia" w:ascii="Arial" w:hAnsi="宋体" w:cs="Arial"/>
          <w:szCs w:val="21"/>
        </w:rPr>
        <w:t>甲方</w:t>
      </w:r>
      <w:r>
        <w:rPr>
          <w:rFonts w:ascii="Arial" w:hAnsi="宋体" w:cs="Arial"/>
          <w:szCs w:val="21"/>
        </w:rPr>
        <w:t>指定地点。</w:t>
      </w:r>
    </w:p>
    <w:p>
      <w:pPr>
        <w:snapToGrid w:val="0"/>
        <w:spacing w:before="163" w:after="163" w:line="460" w:lineRule="exact"/>
        <w:ind w:firstLine="420" w:firstLineChars="200"/>
        <w:rPr>
          <w:rFonts w:ascii="Arial" w:hAnsi="宋体" w:cs="Arial"/>
          <w:szCs w:val="21"/>
        </w:rPr>
      </w:pPr>
      <w:r>
        <w:rPr>
          <w:rFonts w:ascii="Arial" w:hAnsi="宋体" w:cs="Arial"/>
          <w:szCs w:val="21"/>
        </w:rPr>
        <w:t>2. 使用说明书、质量检验证明书、随配附件和工具、质量合格凭证及装箱清单一并附于货物内，安装调试完毕后按设备清单逐一按序交付给</w:t>
      </w:r>
      <w:r>
        <w:rPr>
          <w:rFonts w:hint="eastAsia" w:ascii="Arial" w:hAnsi="宋体" w:cs="Arial"/>
          <w:szCs w:val="21"/>
        </w:rPr>
        <w:t>甲方</w:t>
      </w:r>
      <w:r>
        <w:rPr>
          <w:rFonts w:ascii="Arial" w:hAnsi="宋体" w:cs="Arial"/>
          <w:szCs w:val="21"/>
        </w:rPr>
        <w:t>。</w:t>
      </w:r>
    </w:p>
    <w:p>
      <w:pPr>
        <w:snapToGrid w:val="0"/>
        <w:spacing w:before="163" w:after="163" w:line="460" w:lineRule="exact"/>
        <w:ind w:firstLine="420" w:firstLineChars="200"/>
        <w:rPr>
          <w:rFonts w:ascii="Arial" w:hAnsi="宋体" w:cs="Arial"/>
          <w:szCs w:val="21"/>
        </w:rPr>
      </w:pPr>
      <w:r>
        <w:rPr>
          <w:rFonts w:ascii="Arial" w:hAnsi="宋体" w:cs="Arial"/>
          <w:szCs w:val="21"/>
        </w:rPr>
        <w:t>3. 所供货物必须首先符合有关国家强制性规定、国家（行业）标准或相关法律法规要求，同时满足招标文件规定的质量要求和使用需求。</w:t>
      </w:r>
      <w:r>
        <w:rPr>
          <w:rFonts w:hint="eastAsia" w:ascii="Arial" w:hAnsi="宋体" w:cs="Arial"/>
          <w:szCs w:val="21"/>
        </w:rPr>
        <w:t>乙方</w:t>
      </w:r>
      <w:r>
        <w:rPr>
          <w:rFonts w:ascii="Arial" w:hAnsi="宋体" w:cs="Arial"/>
          <w:szCs w:val="21"/>
        </w:rPr>
        <w:t>应提供全新未拆封产品（包括零部件、附件、备品备件），如确需拆封的，应在供货前征得</w:t>
      </w:r>
      <w:r>
        <w:rPr>
          <w:rFonts w:hint="eastAsia" w:ascii="Arial" w:hAnsi="宋体" w:cs="Arial"/>
          <w:szCs w:val="21"/>
        </w:rPr>
        <w:t>甲方</w:t>
      </w:r>
      <w:r>
        <w:rPr>
          <w:rFonts w:ascii="Arial" w:hAnsi="宋体" w:cs="Arial"/>
          <w:szCs w:val="21"/>
        </w:rPr>
        <w:t>同意，否则视为不能交货。</w:t>
      </w:r>
      <w:r>
        <w:rPr>
          <w:rFonts w:hint="eastAsia" w:ascii="Arial" w:hAnsi="宋体" w:cs="Arial"/>
          <w:szCs w:val="21"/>
        </w:rPr>
        <w:t>乙方</w:t>
      </w:r>
      <w:r>
        <w:rPr>
          <w:rFonts w:ascii="Arial" w:hAnsi="宋体" w:cs="Arial"/>
          <w:szCs w:val="21"/>
        </w:rPr>
        <w:t>保证全部按照合同规定的时间和方式向</w:t>
      </w:r>
      <w:r>
        <w:rPr>
          <w:rFonts w:hint="eastAsia" w:ascii="Arial" w:hAnsi="宋体" w:cs="Arial"/>
          <w:szCs w:val="21"/>
        </w:rPr>
        <w:t>甲方</w:t>
      </w:r>
      <w:r>
        <w:rPr>
          <w:rFonts w:ascii="Arial" w:hAnsi="宋体" w:cs="Arial"/>
          <w:szCs w:val="21"/>
        </w:rPr>
        <w:t>提供货物和服务，并负责可能的弥补缺陷。</w:t>
      </w:r>
    </w:p>
    <w:p>
      <w:pPr>
        <w:snapToGrid w:val="0"/>
        <w:spacing w:before="163" w:after="163" w:line="460" w:lineRule="exact"/>
        <w:ind w:firstLine="420" w:firstLineChars="200"/>
        <w:rPr>
          <w:rFonts w:ascii="Arial" w:hAnsi="宋体" w:cs="Arial"/>
          <w:szCs w:val="21"/>
        </w:rPr>
      </w:pPr>
      <w:r>
        <w:rPr>
          <w:rFonts w:ascii="Arial" w:hAnsi="宋体" w:cs="Arial"/>
          <w:szCs w:val="21"/>
        </w:rPr>
        <w:t>4. 货物在交付甲方前发生的风险均由乙方</w:t>
      </w:r>
      <w:r>
        <w:rPr>
          <w:rFonts w:hint="eastAsia" w:ascii="Arial" w:hAnsi="宋体" w:cs="Arial"/>
          <w:szCs w:val="21"/>
        </w:rPr>
        <w:t>承担</w:t>
      </w:r>
      <w:r>
        <w:rPr>
          <w:rFonts w:ascii="Arial" w:hAnsi="宋体" w:cs="Arial"/>
          <w:szCs w:val="21"/>
        </w:rPr>
        <w:t>。</w:t>
      </w:r>
    </w:p>
    <w:p>
      <w:pPr>
        <w:snapToGrid w:val="0"/>
        <w:spacing w:before="163" w:after="163" w:line="460" w:lineRule="exact"/>
        <w:rPr>
          <w:rFonts w:ascii="Arial" w:hAnsi="宋体" w:cs="Arial"/>
          <w:szCs w:val="21"/>
        </w:rPr>
      </w:pPr>
      <w:r>
        <w:rPr>
          <w:rFonts w:ascii="Arial" w:hAnsi="宋体" w:cs="Arial"/>
          <w:szCs w:val="21"/>
        </w:rPr>
        <w:t>十五、违约责任</w:t>
      </w:r>
    </w:p>
    <w:p>
      <w:pPr>
        <w:snapToGrid w:val="0"/>
        <w:spacing w:before="163" w:after="163" w:line="460" w:lineRule="exact"/>
        <w:ind w:firstLine="420" w:firstLineChars="200"/>
        <w:rPr>
          <w:rFonts w:ascii="Arial" w:hAnsi="宋体" w:cs="Arial"/>
          <w:szCs w:val="21"/>
        </w:rPr>
      </w:pPr>
      <w:r>
        <w:rPr>
          <w:rFonts w:ascii="Arial" w:hAnsi="宋体" w:cs="Arial"/>
          <w:szCs w:val="21"/>
        </w:rPr>
        <w:t>1、完成时间：乙方应在投标文件承诺完成期限前完成全部工作内容，并经相关部门验收合格</w:t>
      </w:r>
      <w:r>
        <w:rPr>
          <w:rFonts w:hint="eastAsia" w:ascii="Arial" w:hAnsi="宋体" w:cs="Arial"/>
          <w:szCs w:val="21"/>
        </w:rPr>
        <w:t>。</w:t>
      </w:r>
      <w:r>
        <w:rPr>
          <w:rFonts w:ascii="Arial" w:hAnsi="宋体" w:cs="Arial"/>
          <w:szCs w:val="21"/>
        </w:rPr>
        <w:t>不能按期完成的，每拖延一天</w:t>
      </w:r>
      <w:r>
        <w:rPr>
          <w:rFonts w:hint="eastAsia" w:ascii="Arial" w:hAnsi="宋体" w:cs="Arial"/>
          <w:szCs w:val="21"/>
        </w:rPr>
        <w:t>，向甲方支付违约金</w:t>
      </w:r>
      <w:r>
        <w:rPr>
          <w:rFonts w:ascii="Arial" w:hAnsi="宋体" w:cs="Arial"/>
          <w:szCs w:val="21"/>
        </w:rPr>
        <w:t>4000元。</w:t>
      </w:r>
    </w:p>
    <w:p>
      <w:pPr>
        <w:snapToGrid w:val="0"/>
        <w:spacing w:before="163" w:after="163" w:line="460" w:lineRule="exact"/>
        <w:ind w:firstLine="420" w:firstLineChars="200"/>
        <w:rPr>
          <w:rFonts w:ascii="Arial" w:hAnsi="宋体" w:cs="Arial"/>
          <w:szCs w:val="21"/>
        </w:rPr>
      </w:pPr>
      <w:r>
        <w:rPr>
          <w:rFonts w:ascii="Arial" w:hAnsi="宋体" w:cs="Arial"/>
          <w:szCs w:val="21"/>
        </w:rPr>
        <w:t>2、项目实施过程中，如果达不到</w:t>
      </w:r>
      <w:r>
        <w:rPr>
          <w:rFonts w:hint="eastAsia" w:ascii="Arial" w:hAnsi="宋体" w:cs="Arial"/>
          <w:szCs w:val="21"/>
        </w:rPr>
        <w:t>招投标文件规定的</w:t>
      </w:r>
      <w:r>
        <w:rPr>
          <w:rFonts w:ascii="Arial" w:hAnsi="宋体" w:cs="Arial"/>
          <w:szCs w:val="21"/>
        </w:rPr>
        <w:t>承诺质量目标，无法满足甲方的使用需求，乙方必须无偿整改达到承诺质量目标，另按合同价款的5%向</w:t>
      </w:r>
      <w:r>
        <w:rPr>
          <w:rFonts w:hint="eastAsia" w:ascii="Arial" w:hAnsi="宋体" w:cs="Arial"/>
          <w:szCs w:val="21"/>
        </w:rPr>
        <w:t>甲方</w:t>
      </w:r>
      <w:r>
        <w:rPr>
          <w:rFonts w:ascii="Arial" w:hAnsi="宋体" w:cs="Arial"/>
          <w:szCs w:val="21"/>
        </w:rPr>
        <w:t>支付违约金，</w:t>
      </w:r>
      <w:r>
        <w:rPr>
          <w:rFonts w:hint="eastAsia" w:ascii="Arial" w:hAnsi="宋体" w:cs="Arial"/>
          <w:szCs w:val="21"/>
        </w:rPr>
        <w:t>甲方有权</w:t>
      </w:r>
      <w:r>
        <w:rPr>
          <w:rFonts w:ascii="Arial" w:hAnsi="宋体" w:cs="Arial"/>
          <w:szCs w:val="21"/>
        </w:rPr>
        <w:t>直接从履约保证金或项目结算价款中扣除。由此造成的时间延误将不予顺延，给甲方造成实际损失的还将承担经济赔偿责任。</w:t>
      </w:r>
    </w:p>
    <w:p>
      <w:pPr>
        <w:snapToGrid w:val="0"/>
        <w:spacing w:before="163" w:after="163" w:line="460" w:lineRule="exact"/>
        <w:ind w:firstLine="420" w:firstLineChars="200"/>
        <w:rPr>
          <w:rFonts w:ascii="Arial" w:hAnsi="宋体" w:cs="Arial"/>
          <w:szCs w:val="21"/>
        </w:rPr>
      </w:pPr>
      <w:r>
        <w:rPr>
          <w:rFonts w:hint="eastAsia" w:ascii="Arial" w:hAnsi="宋体" w:cs="Arial"/>
          <w:szCs w:val="21"/>
        </w:rPr>
        <w:t>3、甲方根据上级规范性文件、政策措施及上级行政主管部门要求，变更合同内容、项目实施及解除合同的，乙方承诺予以理解、认可。甲方不承担由此产生的违约责任，但应赔偿乙方实际损失。</w:t>
      </w:r>
    </w:p>
    <w:p>
      <w:pPr>
        <w:snapToGrid w:val="0"/>
        <w:spacing w:before="163" w:after="163" w:line="460" w:lineRule="exact"/>
        <w:rPr>
          <w:rFonts w:ascii="Arial" w:hAnsi="宋体" w:cs="Arial"/>
          <w:szCs w:val="21"/>
        </w:rPr>
      </w:pPr>
      <w:r>
        <w:rPr>
          <w:rFonts w:ascii="Arial" w:hAnsi="宋体" w:cs="Arial"/>
          <w:szCs w:val="21"/>
        </w:rPr>
        <w:t>十六、不可抗力事件处理</w:t>
      </w:r>
    </w:p>
    <w:p>
      <w:pPr>
        <w:snapToGrid w:val="0"/>
        <w:spacing w:before="163" w:after="163" w:line="460" w:lineRule="exact"/>
        <w:ind w:firstLine="420" w:firstLineChars="200"/>
        <w:rPr>
          <w:rFonts w:ascii="Arial" w:hAnsi="宋体" w:cs="Arial"/>
          <w:szCs w:val="21"/>
        </w:rPr>
      </w:pPr>
      <w:r>
        <w:rPr>
          <w:rFonts w:ascii="Arial" w:hAnsi="宋体" w:cs="Arial"/>
          <w:szCs w:val="21"/>
        </w:rPr>
        <w:t>1. 在合同有效期内，任何一方因不可抗力事件</w:t>
      </w:r>
      <w:r>
        <w:rPr>
          <w:rFonts w:hint="eastAsia" w:ascii="Arial" w:hAnsi="宋体" w:cs="Arial"/>
          <w:szCs w:val="21"/>
        </w:rPr>
        <w:t>或其它不能预见、不能避免、不能克服的意外情况</w:t>
      </w:r>
      <w:r>
        <w:rPr>
          <w:rFonts w:ascii="Arial" w:hAnsi="宋体" w:cs="Arial"/>
          <w:szCs w:val="21"/>
        </w:rPr>
        <w:t>导致不能履行合同，则合同履行期可延长，其延长期与不可抗力影响期相同。</w:t>
      </w:r>
    </w:p>
    <w:p>
      <w:pPr>
        <w:snapToGrid w:val="0"/>
        <w:spacing w:before="163" w:after="163" w:line="460" w:lineRule="exact"/>
        <w:ind w:firstLine="420" w:firstLineChars="200"/>
        <w:rPr>
          <w:rFonts w:ascii="Arial" w:hAnsi="宋体" w:cs="Arial"/>
          <w:szCs w:val="21"/>
        </w:rPr>
      </w:pPr>
      <w:r>
        <w:rPr>
          <w:rFonts w:ascii="Arial" w:hAnsi="宋体" w:cs="Arial"/>
          <w:szCs w:val="21"/>
        </w:rPr>
        <w:t>2. 不可抗力事件</w:t>
      </w:r>
      <w:r>
        <w:rPr>
          <w:rFonts w:hint="eastAsia" w:ascii="Arial" w:hAnsi="宋体" w:cs="Arial"/>
          <w:szCs w:val="21"/>
        </w:rPr>
        <w:t>及意外情况</w:t>
      </w:r>
      <w:r>
        <w:rPr>
          <w:rFonts w:ascii="Arial" w:hAnsi="宋体" w:cs="Arial"/>
          <w:szCs w:val="21"/>
        </w:rPr>
        <w:t>发生后，应立即通知对方，并寄送有关权威机构出具的证明。</w:t>
      </w:r>
    </w:p>
    <w:p>
      <w:pPr>
        <w:snapToGrid w:val="0"/>
        <w:spacing w:before="163" w:after="163" w:line="460" w:lineRule="exact"/>
        <w:ind w:firstLine="420" w:firstLineChars="200"/>
        <w:rPr>
          <w:rFonts w:ascii="Arial" w:hAnsi="宋体" w:cs="Arial"/>
          <w:szCs w:val="21"/>
        </w:rPr>
      </w:pPr>
      <w:r>
        <w:rPr>
          <w:rFonts w:ascii="Arial" w:hAnsi="宋体" w:cs="Arial"/>
          <w:szCs w:val="21"/>
        </w:rPr>
        <w:t>3. 不可抗力事件</w:t>
      </w:r>
      <w:r>
        <w:rPr>
          <w:rFonts w:hint="eastAsia" w:ascii="Arial" w:hAnsi="宋体" w:cs="Arial"/>
          <w:szCs w:val="21"/>
        </w:rPr>
        <w:t>及意外情况</w:t>
      </w:r>
      <w:r>
        <w:rPr>
          <w:rFonts w:ascii="Arial" w:hAnsi="宋体" w:cs="Arial"/>
          <w:szCs w:val="21"/>
        </w:rPr>
        <w:t>延续120天以上，双方应通过友好协商，确定是否继续履行合同。</w:t>
      </w:r>
    </w:p>
    <w:p>
      <w:pPr>
        <w:snapToGrid w:val="0"/>
        <w:spacing w:before="163" w:after="163" w:line="460" w:lineRule="exact"/>
        <w:rPr>
          <w:rFonts w:ascii="Arial" w:hAnsi="宋体" w:cs="Arial"/>
          <w:szCs w:val="21"/>
        </w:rPr>
      </w:pPr>
      <w:r>
        <w:rPr>
          <w:rFonts w:ascii="Arial" w:hAnsi="宋体" w:cs="Arial"/>
          <w:szCs w:val="21"/>
        </w:rPr>
        <w:t>十七、仲裁与诉讼</w:t>
      </w:r>
    </w:p>
    <w:p>
      <w:pPr>
        <w:snapToGrid w:val="0"/>
        <w:spacing w:before="163" w:after="163" w:line="460" w:lineRule="exact"/>
        <w:ind w:firstLine="420" w:firstLineChars="200"/>
        <w:rPr>
          <w:rFonts w:ascii="Arial" w:hAnsi="宋体" w:cs="Arial"/>
          <w:szCs w:val="21"/>
        </w:rPr>
      </w:pPr>
      <w:r>
        <w:rPr>
          <w:rFonts w:ascii="Arial" w:hAnsi="宋体" w:cs="Arial"/>
          <w:szCs w:val="21"/>
        </w:rPr>
        <w:t>双方在执行合同中所发生的一切争议，应通过协商解决。如协商不成，可申请</w:t>
      </w:r>
      <w:r>
        <w:rPr>
          <w:rFonts w:hint="eastAsia" w:ascii="Arial" w:hAnsi="宋体" w:cs="Arial"/>
          <w:szCs w:val="21"/>
        </w:rPr>
        <w:t>盐城</w:t>
      </w:r>
      <w:r>
        <w:rPr>
          <w:rFonts w:ascii="Arial" w:hAnsi="宋体" w:cs="Arial"/>
          <w:szCs w:val="21"/>
        </w:rPr>
        <w:t>仲裁委员会仲裁。</w:t>
      </w:r>
      <w:r>
        <w:rPr>
          <w:rFonts w:hint="eastAsia" w:ascii="Arial" w:hAnsi="宋体" w:cs="Arial"/>
          <w:szCs w:val="21"/>
        </w:rPr>
        <w:t>如发生仲裁，双方代理律师均不采取风险代理方式，律师代理费由双方各自承担。</w:t>
      </w:r>
    </w:p>
    <w:p>
      <w:pPr>
        <w:snapToGrid w:val="0"/>
        <w:spacing w:before="163" w:after="163" w:line="460" w:lineRule="exact"/>
        <w:rPr>
          <w:rFonts w:ascii="Arial" w:hAnsi="宋体" w:cs="Arial"/>
          <w:szCs w:val="21"/>
        </w:rPr>
      </w:pPr>
      <w:r>
        <w:rPr>
          <w:rFonts w:hint="eastAsia" w:ascii="Arial" w:hAnsi="宋体" w:cs="Arial"/>
          <w:szCs w:val="21"/>
        </w:rPr>
        <w:t>十八</w:t>
      </w:r>
      <w:r>
        <w:rPr>
          <w:rFonts w:ascii="Arial" w:hAnsi="宋体" w:cs="Arial"/>
          <w:szCs w:val="21"/>
        </w:rPr>
        <w:t>、合同生效及</w:t>
      </w:r>
      <w:r>
        <w:rPr>
          <w:rFonts w:hint="eastAsia" w:ascii="Arial" w:hAnsi="宋体" w:cs="Arial"/>
          <w:szCs w:val="21"/>
        </w:rPr>
        <w:t>其他</w:t>
      </w:r>
    </w:p>
    <w:p>
      <w:pPr>
        <w:snapToGrid w:val="0"/>
        <w:spacing w:before="163" w:after="163" w:line="460" w:lineRule="exact"/>
        <w:ind w:firstLine="420" w:firstLineChars="200"/>
        <w:rPr>
          <w:rFonts w:ascii="Arial" w:hAnsi="宋体" w:cs="Arial"/>
          <w:szCs w:val="21"/>
        </w:rPr>
      </w:pPr>
      <w:r>
        <w:rPr>
          <w:rFonts w:ascii="Arial" w:hAnsi="宋体" w:cs="Arial"/>
          <w:szCs w:val="21"/>
        </w:rPr>
        <w:t>1. 合同经双方法定代表人或授权代表签字并加盖单位公章后生效。</w:t>
      </w:r>
    </w:p>
    <w:p>
      <w:pPr>
        <w:snapToGrid w:val="0"/>
        <w:spacing w:before="163" w:after="163" w:line="460" w:lineRule="exact"/>
        <w:ind w:firstLine="420" w:firstLineChars="200"/>
        <w:rPr>
          <w:rFonts w:ascii="Arial" w:hAnsi="宋体" w:cs="Arial"/>
          <w:szCs w:val="21"/>
        </w:rPr>
      </w:pPr>
      <w:r>
        <w:rPr>
          <w:rFonts w:ascii="Arial" w:hAnsi="宋体" w:cs="Arial"/>
          <w:szCs w:val="21"/>
        </w:rPr>
        <w:t>2. 组成本合同的文件包括：本合同协议书；中标通知书；招标文件及招标答疑文件；投标书及其附件；各类规范文件；双方有关洽商、变更等书面协议或文件</w:t>
      </w:r>
      <w:r>
        <w:rPr>
          <w:rFonts w:hint="eastAsia" w:ascii="Arial" w:hAnsi="宋体" w:cs="Arial"/>
          <w:szCs w:val="21"/>
        </w:rPr>
        <w:t>，与合同具有同等效力。</w:t>
      </w:r>
    </w:p>
    <w:p>
      <w:pPr>
        <w:snapToGrid w:val="0"/>
        <w:spacing w:before="163" w:after="163" w:line="460" w:lineRule="exact"/>
        <w:ind w:firstLine="420" w:firstLineChars="200"/>
        <w:rPr>
          <w:rFonts w:ascii="Arial" w:hAnsi="宋体" w:cs="Arial"/>
          <w:szCs w:val="21"/>
        </w:rPr>
      </w:pPr>
      <w:r>
        <w:rPr>
          <w:rFonts w:ascii="Arial" w:hAnsi="宋体" w:cs="Arial"/>
          <w:szCs w:val="21"/>
        </w:rPr>
        <w:t>3.合同执行中涉及采购资金和采购内容修改或补充的，须经有关部门审批，并签书面补充协议报政府采购监督管理部门备案，方可作为主合同不可分割的一部分。</w:t>
      </w:r>
    </w:p>
    <w:p>
      <w:pPr>
        <w:snapToGrid w:val="0"/>
        <w:spacing w:before="163" w:after="163" w:line="460" w:lineRule="exact"/>
        <w:ind w:firstLine="420" w:firstLineChars="200"/>
        <w:rPr>
          <w:rFonts w:ascii="Arial" w:hAnsi="宋体" w:cs="Arial"/>
          <w:szCs w:val="21"/>
        </w:rPr>
      </w:pPr>
      <w:r>
        <w:rPr>
          <w:rFonts w:ascii="Arial" w:hAnsi="宋体" w:cs="Arial"/>
          <w:szCs w:val="21"/>
        </w:rPr>
        <w:t>4.本合同未尽事宜，遵照《合同法》有关条文执行。</w:t>
      </w:r>
    </w:p>
    <w:p>
      <w:pPr>
        <w:snapToGrid w:val="0"/>
        <w:spacing w:before="163" w:after="163" w:line="460" w:lineRule="exact"/>
        <w:ind w:firstLine="420" w:firstLineChars="200"/>
        <w:rPr>
          <w:rFonts w:ascii="Arial" w:hAnsi="宋体" w:cs="Arial"/>
          <w:szCs w:val="21"/>
        </w:rPr>
      </w:pPr>
      <w:r>
        <w:rPr>
          <w:rFonts w:ascii="Arial" w:hAnsi="宋体" w:cs="Arial"/>
          <w:szCs w:val="21"/>
        </w:rPr>
        <w:t>5.本合同正本一式两份，具有同等法律效力，甲乙双方各执一份；副本份，(用于备案及存档)。</w:t>
      </w:r>
    </w:p>
    <w:p>
      <w:pPr>
        <w:snapToGrid w:val="0"/>
        <w:spacing w:before="163" w:after="163" w:line="460" w:lineRule="exact"/>
        <w:ind w:firstLine="420" w:firstLineChars="200"/>
        <w:rPr>
          <w:rFonts w:ascii="Arial" w:hAnsi="宋体" w:cs="Arial"/>
          <w:szCs w:val="21"/>
        </w:rPr>
      </w:pPr>
    </w:p>
    <w:p>
      <w:pPr>
        <w:snapToGrid w:val="0"/>
        <w:spacing w:before="120" w:after="120" w:line="360" w:lineRule="auto"/>
        <w:ind w:left="420" w:hanging="420" w:hangingChars="200"/>
        <w:rPr>
          <w:rFonts w:ascii="宋体" w:hAnsi="宋体"/>
          <w:szCs w:val="21"/>
        </w:rPr>
      </w:pPr>
      <w:r>
        <w:rPr>
          <w:rFonts w:hint="eastAsia" w:ascii="宋体" w:hAnsi="宋体"/>
          <w:szCs w:val="21"/>
        </w:rPr>
        <w:t xml:space="preserve">  甲方：                            </w:t>
      </w:r>
      <w:r>
        <w:rPr>
          <w:rFonts w:hint="eastAsia" w:ascii="宋体" w:hAnsi="宋体"/>
          <w:szCs w:val="21"/>
        </w:rPr>
        <w:tab/>
      </w:r>
      <w:r>
        <w:rPr>
          <w:rFonts w:hint="eastAsia" w:ascii="宋体" w:hAnsi="宋体"/>
          <w:szCs w:val="21"/>
        </w:rPr>
        <w:tab/>
      </w:r>
      <w:r>
        <w:rPr>
          <w:rFonts w:hint="eastAsia" w:ascii="宋体" w:hAnsi="宋体"/>
          <w:szCs w:val="21"/>
        </w:rPr>
        <w:t>乙方：</w:t>
      </w:r>
    </w:p>
    <w:p>
      <w:pPr>
        <w:snapToGrid w:val="0"/>
        <w:spacing w:before="120" w:after="120" w:line="360" w:lineRule="auto"/>
        <w:rPr>
          <w:rFonts w:ascii="宋体" w:hAnsi="宋体"/>
          <w:szCs w:val="21"/>
        </w:rPr>
      </w:pPr>
      <w:r>
        <w:rPr>
          <w:rFonts w:hint="eastAsia" w:ascii="宋体" w:hAnsi="宋体"/>
          <w:szCs w:val="21"/>
        </w:rPr>
        <w:t xml:space="preserve">  地址：                            </w:t>
      </w:r>
      <w:r>
        <w:rPr>
          <w:rFonts w:hint="eastAsia" w:ascii="宋体" w:hAnsi="宋体"/>
          <w:szCs w:val="21"/>
        </w:rPr>
        <w:tab/>
      </w:r>
      <w:r>
        <w:rPr>
          <w:rFonts w:hint="eastAsia" w:ascii="宋体" w:hAnsi="宋体"/>
          <w:szCs w:val="21"/>
        </w:rPr>
        <w:tab/>
      </w:r>
      <w:r>
        <w:rPr>
          <w:rFonts w:hint="eastAsia" w:ascii="宋体" w:hAnsi="宋体"/>
          <w:szCs w:val="21"/>
        </w:rPr>
        <w:t>地址：</w:t>
      </w:r>
    </w:p>
    <w:p>
      <w:pPr>
        <w:snapToGrid w:val="0"/>
        <w:spacing w:before="120" w:after="120" w:line="360" w:lineRule="auto"/>
        <w:rPr>
          <w:rFonts w:ascii="宋体" w:hAnsi="宋体"/>
          <w:szCs w:val="21"/>
        </w:rPr>
      </w:pPr>
      <w:r>
        <w:rPr>
          <w:rFonts w:hint="eastAsia" w:ascii="宋体" w:hAnsi="宋体"/>
          <w:szCs w:val="21"/>
        </w:rPr>
        <w:t xml:space="preserve">  法定代表人                        </w:t>
      </w:r>
      <w:r>
        <w:rPr>
          <w:rFonts w:hint="eastAsia" w:ascii="宋体" w:hAnsi="宋体"/>
          <w:szCs w:val="21"/>
        </w:rPr>
        <w:tab/>
      </w:r>
      <w:r>
        <w:rPr>
          <w:rFonts w:hint="eastAsia" w:ascii="宋体" w:hAnsi="宋体"/>
          <w:szCs w:val="21"/>
        </w:rPr>
        <w:tab/>
      </w:r>
      <w:r>
        <w:rPr>
          <w:rFonts w:hint="eastAsia" w:ascii="宋体" w:hAnsi="宋体"/>
          <w:szCs w:val="21"/>
        </w:rPr>
        <w:t>法定代表人</w:t>
      </w:r>
    </w:p>
    <w:p>
      <w:pPr>
        <w:snapToGrid w:val="0"/>
        <w:spacing w:before="120" w:after="120" w:line="360" w:lineRule="auto"/>
        <w:rPr>
          <w:rFonts w:ascii="宋体" w:hAnsi="Courier New"/>
          <w:sz w:val="28"/>
          <w:szCs w:val="21"/>
        </w:rPr>
      </w:pPr>
      <w:r>
        <w:rPr>
          <w:rFonts w:hint="eastAsia" w:ascii="宋体" w:hAnsi="宋体"/>
          <w:szCs w:val="21"/>
        </w:rPr>
        <w:t xml:space="preserve">  或其委托代理人：                  </w:t>
      </w:r>
      <w:r>
        <w:rPr>
          <w:rFonts w:hint="eastAsia" w:ascii="宋体" w:hAnsi="宋体"/>
          <w:szCs w:val="21"/>
        </w:rPr>
        <w:tab/>
      </w:r>
      <w:r>
        <w:rPr>
          <w:rFonts w:hint="eastAsia" w:ascii="宋体" w:hAnsi="宋体"/>
          <w:szCs w:val="21"/>
        </w:rPr>
        <w:tab/>
      </w:r>
      <w:r>
        <w:rPr>
          <w:rFonts w:hint="eastAsia" w:ascii="宋体" w:hAnsi="宋体"/>
          <w:szCs w:val="21"/>
        </w:rPr>
        <w:t>或其委托代理人：</w:t>
      </w:r>
    </w:p>
    <w:p>
      <w:pPr>
        <w:jc w:val="center"/>
        <w:rPr>
          <w:rFonts w:ascii="黑体" w:hAnsi="黑体" w:eastAsia="黑体"/>
          <w:sz w:val="28"/>
          <w:szCs w:val="28"/>
        </w:rPr>
      </w:pPr>
      <w:r>
        <w:rPr>
          <w:szCs w:val="21"/>
        </w:rPr>
        <w:br w:type="page"/>
      </w:r>
      <w:r>
        <w:rPr>
          <w:rFonts w:ascii="黑体" w:hAnsi="黑体" w:eastAsia="黑体"/>
          <w:sz w:val="28"/>
          <w:szCs w:val="28"/>
        </w:rPr>
        <w:t>廉 政 合 同</w:t>
      </w:r>
    </w:p>
    <w:p>
      <w:pPr>
        <w:widowControl/>
        <w:spacing w:line="360" w:lineRule="auto"/>
        <w:ind w:firstLine="252" w:firstLineChars="120"/>
        <w:jc w:val="left"/>
        <w:rPr>
          <w:rFonts w:ascii="宋体" w:hAnsi="宋体" w:cs="宋体"/>
          <w:kern w:val="0"/>
          <w:szCs w:val="21"/>
        </w:rPr>
      </w:pPr>
      <w:r>
        <w:rPr>
          <w:rFonts w:ascii="宋体" w:hAnsi="宋体" w:cs="宋体"/>
          <w:kern w:val="0"/>
          <w:szCs w:val="21"/>
        </w:rPr>
        <w:t>甲方：</w:t>
      </w:r>
    </w:p>
    <w:p>
      <w:pPr>
        <w:widowControl/>
        <w:spacing w:line="360" w:lineRule="auto"/>
        <w:ind w:firstLine="252" w:firstLineChars="120"/>
        <w:jc w:val="left"/>
        <w:rPr>
          <w:rFonts w:ascii="宋体" w:hAnsi="宋体" w:cs="宋体"/>
          <w:kern w:val="0"/>
          <w:szCs w:val="21"/>
          <w:u w:val="single"/>
        </w:rPr>
      </w:pPr>
      <w:r>
        <w:rPr>
          <w:rFonts w:ascii="宋体" w:hAnsi="宋体" w:cs="宋体"/>
          <w:kern w:val="0"/>
          <w:szCs w:val="21"/>
        </w:rPr>
        <w:t>乙方：</w:t>
      </w:r>
    </w:p>
    <w:p>
      <w:pPr>
        <w:widowControl/>
        <w:spacing w:line="360" w:lineRule="auto"/>
        <w:ind w:firstLine="252" w:firstLineChars="120"/>
        <w:jc w:val="left"/>
        <w:rPr>
          <w:rFonts w:ascii="宋体" w:hAnsi="宋体" w:cs="宋体"/>
          <w:kern w:val="0"/>
          <w:szCs w:val="21"/>
        </w:rPr>
      </w:pPr>
      <w:r>
        <w:rPr>
          <w:rFonts w:ascii="宋体" w:hAnsi="宋体" w:cs="宋体"/>
          <w:kern w:val="0"/>
          <w:szCs w:val="21"/>
        </w:rPr>
        <w:t>为强化抓源治本工作力度，从制度机制上进一步规范建设行为，杜绝不廉洁行为，特订立本合同，双方遵照执行。</w:t>
      </w:r>
    </w:p>
    <w:p>
      <w:pPr>
        <w:widowControl/>
        <w:spacing w:line="360" w:lineRule="auto"/>
        <w:ind w:firstLine="252" w:firstLineChars="120"/>
        <w:jc w:val="left"/>
        <w:rPr>
          <w:rFonts w:ascii="宋体" w:hAnsi="宋体" w:cs="宋体"/>
          <w:kern w:val="0"/>
          <w:szCs w:val="21"/>
        </w:rPr>
      </w:pPr>
      <w:r>
        <w:rPr>
          <w:rFonts w:ascii="宋体" w:hAnsi="宋体" w:cs="宋体"/>
          <w:kern w:val="0"/>
          <w:szCs w:val="21"/>
        </w:rPr>
        <w:t>1、甲、乙双方必须严格遵守国家法律、法规、政策及各项廉政规定，恪守职业道德规范。</w:t>
      </w:r>
    </w:p>
    <w:p>
      <w:pPr>
        <w:widowControl/>
        <w:spacing w:line="360" w:lineRule="auto"/>
        <w:ind w:firstLine="252" w:firstLineChars="120"/>
        <w:jc w:val="left"/>
        <w:rPr>
          <w:rFonts w:ascii="宋体" w:hAnsi="宋体" w:cs="宋体"/>
          <w:kern w:val="0"/>
          <w:szCs w:val="21"/>
        </w:rPr>
      </w:pPr>
      <w:r>
        <w:rPr>
          <w:rFonts w:ascii="宋体" w:hAnsi="宋体" w:cs="宋体"/>
          <w:kern w:val="0"/>
          <w:szCs w:val="21"/>
        </w:rPr>
        <w:t>2、甲、乙双方在具体工程建设行为中，必须严格遵守招投标法规定的原则、方式、程序，保证公平、公正、公开。</w:t>
      </w:r>
    </w:p>
    <w:p>
      <w:pPr>
        <w:widowControl/>
        <w:spacing w:line="360" w:lineRule="auto"/>
        <w:ind w:firstLine="252" w:firstLineChars="120"/>
        <w:jc w:val="left"/>
        <w:rPr>
          <w:rFonts w:ascii="宋体" w:hAnsi="宋体" w:cs="宋体"/>
          <w:kern w:val="0"/>
          <w:szCs w:val="21"/>
        </w:rPr>
      </w:pPr>
      <w:r>
        <w:rPr>
          <w:rFonts w:ascii="宋体" w:hAnsi="宋体" w:cs="宋体"/>
          <w:kern w:val="0"/>
          <w:szCs w:val="21"/>
        </w:rPr>
        <w:t>3、甲、乙双方不得相互串通，损害国家利益、社会公共利益及其他当事人的合法权益。</w:t>
      </w:r>
    </w:p>
    <w:p>
      <w:pPr>
        <w:widowControl/>
        <w:spacing w:line="360" w:lineRule="auto"/>
        <w:ind w:firstLine="252" w:firstLineChars="120"/>
        <w:jc w:val="left"/>
        <w:rPr>
          <w:rFonts w:ascii="宋体" w:hAnsi="宋体" w:cs="宋体"/>
          <w:kern w:val="0"/>
          <w:szCs w:val="21"/>
        </w:rPr>
      </w:pPr>
      <w:r>
        <w:rPr>
          <w:rFonts w:ascii="宋体" w:hAnsi="宋体" w:cs="宋体"/>
          <w:kern w:val="0"/>
          <w:szCs w:val="21"/>
        </w:rPr>
        <w:t>4、甲方工作人员及其配偶、子女不得以任何形式或名义索要、接受乙方的现金、有价证券、支付凭证和其他馈赠礼品；乙方不得以任何形式或名义向甲方工作人员及其配偶、子女、评标人员赠送现金、有价证券、支付凭证和礼品或采取其他不正当手段谋取利益。</w:t>
      </w:r>
    </w:p>
    <w:p>
      <w:pPr>
        <w:widowControl/>
        <w:spacing w:line="360" w:lineRule="auto"/>
        <w:ind w:firstLine="252" w:firstLineChars="120"/>
        <w:jc w:val="left"/>
        <w:rPr>
          <w:rFonts w:ascii="宋体" w:hAnsi="宋体" w:cs="宋体"/>
          <w:kern w:val="0"/>
          <w:szCs w:val="21"/>
        </w:rPr>
      </w:pPr>
      <w:r>
        <w:rPr>
          <w:rFonts w:ascii="宋体" w:hAnsi="宋体" w:cs="宋体"/>
          <w:kern w:val="0"/>
          <w:szCs w:val="21"/>
        </w:rPr>
        <w:t>5、甲方工作人员及其配偶、子女不得以任何形式或者名义接受乙方的宴请、请钓、旅游、健身和其他娱乐活动；乙方不得以任何形式或名义邀请甲方工作人员及其配偶、子女请吃、请钓、旅游、健身和其他娱乐活动。</w:t>
      </w:r>
    </w:p>
    <w:p>
      <w:pPr>
        <w:widowControl/>
        <w:spacing w:line="360" w:lineRule="auto"/>
        <w:ind w:firstLine="252" w:firstLineChars="120"/>
        <w:jc w:val="left"/>
        <w:rPr>
          <w:rFonts w:ascii="宋体" w:hAnsi="宋体" w:cs="宋体"/>
          <w:kern w:val="0"/>
          <w:szCs w:val="21"/>
        </w:rPr>
      </w:pPr>
      <w:r>
        <w:rPr>
          <w:rFonts w:ascii="宋体" w:hAnsi="宋体" w:cs="宋体"/>
          <w:kern w:val="0"/>
          <w:szCs w:val="21"/>
        </w:rPr>
        <w:t>6、甲方工作人员及其配偶、子女不得以打“业务牌”等形式变相接受乙方的钱物；乙方不得以打“业务牌”的形式向甲方工作人员及其配偶、子女变相送钱物。</w:t>
      </w:r>
    </w:p>
    <w:p>
      <w:pPr>
        <w:widowControl/>
        <w:spacing w:line="360" w:lineRule="auto"/>
        <w:ind w:firstLine="252" w:firstLineChars="120"/>
        <w:jc w:val="left"/>
        <w:rPr>
          <w:rFonts w:ascii="宋体" w:hAnsi="宋体" w:cs="宋体"/>
          <w:kern w:val="0"/>
          <w:szCs w:val="21"/>
        </w:rPr>
      </w:pPr>
      <w:r>
        <w:rPr>
          <w:rFonts w:ascii="宋体" w:hAnsi="宋体" w:cs="宋体"/>
          <w:kern w:val="0"/>
          <w:szCs w:val="21"/>
        </w:rPr>
        <w:t>7、甲方工作人员及其配偶、子女不得在乙方报销应由个人支付的费用或领取报酬；乙方不得为甲方工作人员及其配偶、子女报销应由个人支付的费用或发放报酬。</w:t>
      </w:r>
    </w:p>
    <w:p>
      <w:pPr>
        <w:widowControl/>
        <w:spacing w:line="360" w:lineRule="auto"/>
        <w:ind w:firstLine="252" w:firstLineChars="120"/>
        <w:jc w:val="left"/>
        <w:rPr>
          <w:rFonts w:ascii="宋体" w:hAnsi="宋体" w:cs="宋体"/>
          <w:kern w:val="0"/>
          <w:szCs w:val="21"/>
        </w:rPr>
      </w:pPr>
      <w:r>
        <w:rPr>
          <w:rFonts w:ascii="宋体" w:hAnsi="宋体" w:cs="宋体"/>
          <w:kern w:val="0"/>
          <w:szCs w:val="21"/>
        </w:rPr>
        <w:t>违约责任：</w:t>
      </w:r>
    </w:p>
    <w:p>
      <w:pPr>
        <w:widowControl/>
        <w:spacing w:line="360" w:lineRule="auto"/>
        <w:ind w:firstLine="252" w:firstLineChars="120"/>
        <w:jc w:val="left"/>
        <w:rPr>
          <w:rFonts w:ascii="宋体" w:hAnsi="宋体" w:cs="宋体"/>
          <w:kern w:val="0"/>
          <w:szCs w:val="21"/>
        </w:rPr>
      </w:pPr>
      <w:r>
        <w:rPr>
          <w:rFonts w:ascii="宋体" w:hAnsi="宋体" w:cs="宋体"/>
          <w:kern w:val="0"/>
          <w:szCs w:val="21"/>
        </w:rPr>
        <w:t>1、甲方发生违约行为，一经查实将视情节轻重对直接责任人进行严肃处理并追究主管人员的责任。</w:t>
      </w:r>
    </w:p>
    <w:p>
      <w:pPr>
        <w:widowControl/>
        <w:spacing w:line="360" w:lineRule="auto"/>
        <w:ind w:firstLine="252" w:firstLineChars="120"/>
        <w:jc w:val="left"/>
        <w:rPr>
          <w:rFonts w:ascii="宋体" w:hAnsi="宋体" w:cs="宋体"/>
          <w:kern w:val="0"/>
          <w:szCs w:val="21"/>
        </w:rPr>
      </w:pPr>
      <w:r>
        <w:rPr>
          <w:rFonts w:ascii="宋体" w:hAnsi="宋体" w:cs="宋体"/>
          <w:kern w:val="0"/>
          <w:szCs w:val="21"/>
        </w:rPr>
        <w:t>2、乙方发生违约行为，甲方有权解除合同，并将其列入“黑名单”在一定范围内公布，三年内不得参加辖区内的工程建设。</w:t>
      </w:r>
    </w:p>
    <w:p>
      <w:pPr>
        <w:widowControl/>
        <w:spacing w:line="360" w:lineRule="auto"/>
        <w:ind w:firstLine="252" w:firstLineChars="120"/>
        <w:jc w:val="left"/>
        <w:rPr>
          <w:rFonts w:hAnsi="宋体"/>
          <w:szCs w:val="21"/>
          <w:u w:val="single"/>
        </w:rPr>
      </w:pPr>
      <w:r>
        <w:rPr>
          <w:rFonts w:hint="eastAsia" w:ascii="宋体" w:hAnsi="宋体" w:cs="宋体"/>
          <w:kern w:val="0"/>
          <w:szCs w:val="21"/>
        </w:rPr>
        <w:t>8、</w:t>
      </w:r>
      <w:r>
        <w:rPr>
          <w:rFonts w:hint="eastAsia" w:hAnsi="宋体"/>
          <w:szCs w:val="21"/>
        </w:rPr>
        <w:t>合同签订时间：</w:t>
      </w:r>
      <w:r>
        <w:rPr>
          <w:rFonts w:hint="eastAsia" w:hAnsi="宋体"/>
          <w:szCs w:val="21"/>
          <w:u w:val="single"/>
        </w:rPr>
        <w:t>年月日</w:t>
      </w:r>
      <w:r>
        <w:rPr>
          <w:rFonts w:hint="eastAsia" w:hAnsi="宋体"/>
          <w:szCs w:val="21"/>
        </w:rPr>
        <w:t>，签订地点：</w:t>
      </w:r>
    </w:p>
    <w:p>
      <w:pPr>
        <w:snapToGrid w:val="0"/>
        <w:spacing w:before="120" w:after="120" w:line="360" w:lineRule="auto"/>
        <w:ind w:left="420" w:hanging="420" w:hangingChars="200"/>
        <w:rPr>
          <w:rFonts w:ascii="宋体" w:hAnsi="宋体"/>
          <w:szCs w:val="21"/>
        </w:rPr>
      </w:pPr>
      <w:r>
        <w:rPr>
          <w:rFonts w:hint="eastAsia" w:ascii="宋体" w:hAnsi="宋体"/>
          <w:szCs w:val="21"/>
        </w:rPr>
        <w:t xml:space="preserve">  甲方：                           </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乙方：</w:t>
      </w:r>
    </w:p>
    <w:p>
      <w:pPr>
        <w:snapToGrid w:val="0"/>
        <w:spacing w:before="120" w:after="120" w:line="360" w:lineRule="auto"/>
        <w:rPr>
          <w:rFonts w:ascii="宋体" w:hAnsi="宋体"/>
          <w:szCs w:val="21"/>
        </w:rPr>
      </w:pPr>
      <w:r>
        <w:rPr>
          <w:rFonts w:hint="eastAsia" w:ascii="宋体" w:hAnsi="宋体"/>
          <w:szCs w:val="21"/>
        </w:rPr>
        <w:t xml:space="preserve">  地址：                            </w:t>
      </w:r>
      <w:r>
        <w:rPr>
          <w:rFonts w:hint="eastAsia" w:ascii="宋体" w:hAnsi="宋体"/>
          <w:szCs w:val="21"/>
        </w:rPr>
        <w:tab/>
      </w:r>
      <w:r>
        <w:rPr>
          <w:rFonts w:hint="eastAsia" w:ascii="宋体" w:hAnsi="宋体"/>
          <w:szCs w:val="21"/>
        </w:rPr>
        <w:tab/>
      </w:r>
      <w:r>
        <w:rPr>
          <w:rFonts w:hint="eastAsia" w:ascii="宋体" w:hAnsi="宋体"/>
          <w:szCs w:val="21"/>
        </w:rPr>
        <w:t>地址：</w:t>
      </w:r>
    </w:p>
    <w:p>
      <w:pPr>
        <w:snapToGrid w:val="0"/>
        <w:spacing w:before="120" w:after="120" w:line="360" w:lineRule="auto"/>
        <w:rPr>
          <w:rFonts w:ascii="宋体" w:hAnsi="宋体"/>
          <w:szCs w:val="21"/>
        </w:rPr>
      </w:pPr>
      <w:r>
        <w:rPr>
          <w:rFonts w:hint="eastAsia" w:ascii="宋体" w:hAnsi="宋体"/>
          <w:szCs w:val="21"/>
        </w:rPr>
        <w:t xml:space="preserve">  法定代表人                        </w:t>
      </w:r>
      <w:r>
        <w:rPr>
          <w:rFonts w:hint="eastAsia" w:ascii="宋体" w:hAnsi="宋体"/>
          <w:szCs w:val="21"/>
        </w:rPr>
        <w:tab/>
      </w:r>
      <w:r>
        <w:rPr>
          <w:rFonts w:hint="eastAsia" w:ascii="宋体" w:hAnsi="宋体"/>
          <w:szCs w:val="21"/>
        </w:rPr>
        <w:tab/>
      </w:r>
      <w:r>
        <w:rPr>
          <w:rFonts w:hint="eastAsia" w:ascii="宋体" w:hAnsi="宋体"/>
          <w:szCs w:val="21"/>
        </w:rPr>
        <w:t xml:space="preserve">法定代表人 </w:t>
      </w:r>
    </w:p>
    <w:p>
      <w:pPr>
        <w:snapToGrid w:val="0"/>
        <w:spacing w:before="120" w:after="120" w:line="360" w:lineRule="auto"/>
        <w:rPr>
          <w:rFonts w:ascii="宋体" w:hAnsi="宋体"/>
          <w:szCs w:val="21"/>
        </w:rPr>
      </w:pPr>
      <w:r>
        <w:rPr>
          <w:rFonts w:hint="eastAsia" w:ascii="宋体" w:hAnsi="宋体"/>
          <w:szCs w:val="21"/>
        </w:rPr>
        <w:t xml:space="preserve">  或其委托代理人：                  </w:t>
      </w:r>
      <w:r>
        <w:rPr>
          <w:rFonts w:hint="eastAsia" w:ascii="宋体" w:hAnsi="宋体"/>
          <w:szCs w:val="21"/>
        </w:rPr>
        <w:tab/>
      </w:r>
      <w:r>
        <w:rPr>
          <w:rFonts w:hint="eastAsia" w:ascii="宋体" w:hAnsi="宋体"/>
          <w:szCs w:val="21"/>
        </w:rPr>
        <w:tab/>
      </w:r>
      <w:r>
        <w:rPr>
          <w:rFonts w:hint="eastAsia" w:ascii="宋体" w:hAnsi="宋体"/>
          <w:szCs w:val="21"/>
        </w:rPr>
        <w:t xml:space="preserve">或其委托代理人：   </w:t>
      </w:r>
    </w:p>
    <w:p>
      <w:pPr>
        <w:snapToGrid w:val="0"/>
        <w:spacing w:before="120" w:after="120" w:line="360" w:lineRule="auto"/>
        <w:ind w:firstLine="5670" w:firstLineChars="2700"/>
        <w:rPr>
          <w:rFonts w:hAnsi="宋体" w:cs="宋体"/>
          <w:szCs w:val="21"/>
        </w:rPr>
      </w:pPr>
      <w:r>
        <w:rPr>
          <w:rFonts w:ascii="宋体" w:hAnsi="宋体" w:cs="宋体"/>
          <w:kern w:val="0"/>
          <w:szCs w:val="21"/>
        </w:rPr>
        <w:t>年  月</w:t>
      </w:r>
      <w:r>
        <w:rPr>
          <w:rFonts w:hint="eastAsia" w:ascii="宋体" w:hAnsi="宋体" w:cs="宋体"/>
          <w:kern w:val="0"/>
          <w:szCs w:val="21"/>
        </w:rPr>
        <w:t xml:space="preserve">  </w:t>
      </w:r>
      <w:r>
        <w:rPr>
          <w:rFonts w:ascii="宋体" w:hAnsi="宋体" w:cs="宋体"/>
          <w:kern w:val="0"/>
          <w:szCs w:val="21"/>
        </w:rPr>
        <w:t>日</w:t>
      </w:r>
    </w:p>
    <w:p>
      <w:pPr>
        <w:spacing w:line="520" w:lineRule="exact"/>
        <w:jc w:val="center"/>
        <w:rPr>
          <w:rFonts w:ascii="宋体" w:hAnsi="宋体" w:cs="宋体"/>
          <w:b/>
          <w:sz w:val="30"/>
        </w:rPr>
        <w:sectPr>
          <w:footerReference r:id="rId7" w:type="default"/>
          <w:pgSz w:w="11906" w:h="16838"/>
          <w:pgMar w:top="1440" w:right="1080" w:bottom="1440" w:left="1080" w:header="851" w:footer="992" w:gutter="0"/>
          <w:pgNumType w:chapStyle="1"/>
          <w:cols w:space="720" w:num="1"/>
          <w:docGrid w:linePitch="602" w:charSpace="-1675"/>
        </w:sectPr>
      </w:pPr>
      <w:bookmarkStart w:id="480" w:name="_Toc9724"/>
      <w:bookmarkStart w:id="481" w:name="_Toc397928626"/>
      <w:bookmarkStart w:id="482" w:name="_Toc445046886"/>
    </w:p>
    <w:bookmarkEnd w:id="480"/>
    <w:bookmarkEnd w:id="481"/>
    <w:bookmarkEnd w:id="482"/>
    <w:p>
      <w:pPr>
        <w:spacing w:line="460" w:lineRule="exact"/>
        <w:jc w:val="center"/>
        <w:rPr>
          <w:rFonts w:ascii="宋体" w:hAnsi="宋体" w:cs="宋体"/>
          <w:b/>
          <w:sz w:val="30"/>
          <w:highlight w:val="none"/>
        </w:rPr>
      </w:pPr>
      <w:bookmarkStart w:id="483" w:name="_Toc397928630"/>
      <w:bookmarkStart w:id="484" w:name="_Toc7525"/>
      <w:bookmarkStart w:id="485" w:name="_Toc445046890"/>
      <w:r>
        <w:rPr>
          <w:rFonts w:hint="eastAsia" w:ascii="宋体" w:hAnsi="宋体" w:cs="宋体"/>
          <w:b/>
          <w:sz w:val="30"/>
          <w:highlight w:val="none"/>
        </w:rPr>
        <w:t>第五章 货物需求</w:t>
      </w:r>
    </w:p>
    <w:p>
      <w:pPr>
        <w:autoSpaceDE w:val="0"/>
        <w:autoSpaceDN w:val="0"/>
        <w:spacing w:line="500" w:lineRule="exact"/>
        <w:rPr>
          <w:rFonts w:ascii="仿宋" w:hAnsi="仿宋" w:eastAsia="仿宋"/>
          <w:b/>
          <w:sz w:val="28"/>
          <w:szCs w:val="28"/>
        </w:rPr>
      </w:pPr>
    </w:p>
    <w:tbl>
      <w:tblPr>
        <w:tblStyle w:val="31"/>
        <w:tblW w:w="144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6"/>
        <w:gridCol w:w="845"/>
        <w:gridCol w:w="1402"/>
        <w:gridCol w:w="10012"/>
        <w:gridCol w:w="781"/>
        <w:gridCol w:w="6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736" w:type="dxa"/>
            <w:tcBorders>
              <w:tl2br w:val="nil"/>
              <w:tr2bl w:val="nil"/>
            </w:tcBorders>
            <w:vAlign w:val="center"/>
          </w:tcPr>
          <w:p>
            <w:pPr>
              <w:jc w:val="center"/>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序号</w:t>
            </w:r>
          </w:p>
        </w:tc>
        <w:tc>
          <w:tcPr>
            <w:tcW w:w="845" w:type="dxa"/>
            <w:tcBorders>
              <w:tl2br w:val="nil"/>
              <w:tr2bl w:val="nil"/>
            </w:tcBorders>
            <w:vAlign w:val="center"/>
          </w:tcPr>
          <w:p>
            <w:pPr>
              <w:jc w:val="center"/>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类别</w:t>
            </w:r>
          </w:p>
        </w:tc>
        <w:tc>
          <w:tcPr>
            <w:tcW w:w="1402" w:type="dxa"/>
            <w:tcBorders>
              <w:tl2br w:val="nil"/>
              <w:tr2bl w:val="nil"/>
            </w:tcBorders>
            <w:vAlign w:val="center"/>
          </w:tcPr>
          <w:p>
            <w:pPr>
              <w:jc w:val="center"/>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设备名称</w:t>
            </w:r>
          </w:p>
        </w:tc>
        <w:tc>
          <w:tcPr>
            <w:tcW w:w="10012" w:type="dxa"/>
            <w:tcBorders>
              <w:tl2br w:val="nil"/>
              <w:tr2bl w:val="nil"/>
            </w:tcBorders>
            <w:vAlign w:val="center"/>
          </w:tcPr>
          <w:p>
            <w:pPr>
              <w:jc w:val="center"/>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主要技术要求及标准</w:t>
            </w:r>
          </w:p>
        </w:tc>
        <w:tc>
          <w:tcPr>
            <w:tcW w:w="781" w:type="dxa"/>
            <w:tcBorders>
              <w:tl2br w:val="nil"/>
              <w:tr2bl w:val="nil"/>
            </w:tcBorders>
          </w:tcPr>
          <w:p>
            <w:pPr>
              <w:jc w:val="center"/>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数量</w:t>
            </w:r>
          </w:p>
        </w:tc>
        <w:tc>
          <w:tcPr>
            <w:tcW w:w="693" w:type="dxa"/>
            <w:tcBorders>
              <w:tl2br w:val="nil"/>
              <w:tr2bl w:val="nil"/>
            </w:tcBorders>
          </w:tcPr>
          <w:p>
            <w:pPr>
              <w:jc w:val="center"/>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736" w:type="dxa"/>
            <w:vMerge w:val="restart"/>
            <w:tcBorders>
              <w:tl2br w:val="nil"/>
              <w:tr2bl w:val="nil"/>
            </w:tcBorders>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一</w:t>
            </w:r>
          </w:p>
        </w:tc>
        <w:tc>
          <w:tcPr>
            <w:tcW w:w="845" w:type="dxa"/>
            <w:vMerge w:val="restart"/>
            <w:tcBorders>
              <w:tl2br w:val="nil"/>
              <w:tr2bl w:val="nil"/>
            </w:tcBorders>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报告厅全彩显示屏P2.0</w:t>
            </w:r>
          </w:p>
        </w:tc>
        <w:tc>
          <w:tcPr>
            <w:tcW w:w="1402" w:type="dxa"/>
            <w:tcBorders>
              <w:tl2br w:val="nil"/>
              <w:tr2bl w:val="nil"/>
            </w:tcBorders>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室内高清全彩LED显示屏</w:t>
            </w:r>
          </w:p>
        </w:tc>
        <w:tc>
          <w:tcPr>
            <w:tcW w:w="10012" w:type="dxa"/>
            <w:tcBorders>
              <w:tl2br w:val="nil"/>
              <w:tr2bl w:val="nil"/>
            </w:tcBorders>
          </w:tcPr>
          <w:p>
            <w:pPr>
              <w:pStyle w:val="56"/>
              <w:numPr>
                <w:ilvl w:val="0"/>
                <w:numId w:val="1"/>
              </w:numPr>
              <w:ind w:left="357" w:hanging="357" w:firstLineChars="0"/>
              <w:jc w:val="left"/>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像素间距为≤2mm，像素密度≥250000点/㎡。</w:t>
            </w:r>
          </w:p>
          <w:p>
            <w:pPr>
              <w:pStyle w:val="56"/>
              <w:numPr>
                <w:ilvl w:val="0"/>
                <w:numId w:val="1"/>
              </w:numPr>
              <w:ind w:left="357" w:hanging="357" w:firstLineChars="0"/>
              <w:jc w:val="left"/>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所投LED显示屏采用技术成熟的SMD表贴三合一技术，SMD1515黑灯。</w:t>
            </w:r>
          </w:p>
          <w:p>
            <w:pPr>
              <w:pStyle w:val="56"/>
              <w:numPr>
                <w:ilvl w:val="0"/>
                <w:numId w:val="1"/>
              </w:numPr>
              <w:ind w:left="357" w:hanging="357" w:firstLineChars="0"/>
              <w:jc w:val="left"/>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屏体尺寸</w:t>
            </w:r>
            <w:r>
              <w:rPr>
                <w:rFonts w:hint="eastAsia" w:asciiTheme="minorEastAsia" w:hAnsiTheme="minorEastAsia" w:eastAsiaTheme="minorEastAsia" w:cstheme="minorEastAsia"/>
                <w:bCs/>
                <w:szCs w:val="21"/>
                <w:highlight w:val="none"/>
                <w:lang w:eastAsia="zh-CN"/>
              </w:rPr>
              <w:t>：</w:t>
            </w:r>
            <w:r>
              <w:rPr>
                <w:rFonts w:hint="eastAsia" w:asciiTheme="minorEastAsia" w:hAnsiTheme="minorEastAsia" w:eastAsiaTheme="minorEastAsia" w:cstheme="minorEastAsia"/>
                <w:bCs/>
                <w:szCs w:val="21"/>
                <w:highlight w:val="none"/>
              </w:rPr>
              <w:t>（不含周边钢结构）宽度≥8.54米，高度≥2.72米，面积≥23.23平方</w:t>
            </w:r>
            <w:r>
              <w:rPr>
                <w:rFonts w:hint="eastAsia" w:asciiTheme="minorEastAsia" w:hAnsiTheme="minorEastAsia" w:eastAsiaTheme="minorEastAsia" w:cstheme="minorEastAsia"/>
                <w:bCs/>
                <w:szCs w:val="21"/>
                <w:highlight w:val="none"/>
                <w:lang w:eastAsia="zh-CN"/>
              </w:rPr>
              <w:t>（）</w:t>
            </w:r>
          </w:p>
          <w:p>
            <w:pPr>
              <w:pStyle w:val="56"/>
              <w:numPr>
                <w:ilvl w:val="0"/>
                <w:numId w:val="1"/>
              </w:numPr>
              <w:ind w:left="357" w:hanging="357" w:firstLineChars="0"/>
              <w:jc w:val="left"/>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校正后白平衡亮度：≥450cd/m2 。 </w:t>
            </w:r>
          </w:p>
          <w:p>
            <w:pPr>
              <w:pStyle w:val="56"/>
              <w:numPr>
                <w:ilvl w:val="0"/>
                <w:numId w:val="1"/>
              </w:numPr>
              <w:ind w:left="357" w:hanging="357" w:firstLineChars="0"/>
              <w:jc w:val="left"/>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色温可调范围：3000k~18000K。</w:t>
            </w:r>
          </w:p>
          <w:p>
            <w:pPr>
              <w:pStyle w:val="56"/>
              <w:numPr>
                <w:ilvl w:val="0"/>
                <w:numId w:val="1"/>
              </w:numPr>
              <w:ind w:left="357" w:hanging="357" w:firstLineChars="0"/>
              <w:jc w:val="left"/>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对比度≥5000:1。</w:t>
            </w:r>
          </w:p>
          <w:p>
            <w:pPr>
              <w:pStyle w:val="56"/>
              <w:numPr>
                <w:ilvl w:val="0"/>
                <w:numId w:val="1"/>
              </w:numPr>
              <w:ind w:left="357" w:hanging="357" w:firstLineChars="0"/>
              <w:jc w:val="left"/>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视角：水平视角≥140°，垂直视角≥130°。</w:t>
            </w:r>
          </w:p>
          <w:p>
            <w:pPr>
              <w:pStyle w:val="56"/>
              <w:numPr>
                <w:ilvl w:val="0"/>
                <w:numId w:val="1"/>
              </w:numPr>
              <w:ind w:left="357" w:hanging="357" w:firstLineChars="0"/>
              <w:jc w:val="left"/>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为保障屏体的高清显示效果，要求驱动IC为PWM高刷驱动芯片，为保障刷新率大于或等于3840HZ。</w:t>
            </w:r>
          </w:p>
          <w:p>
            <w:pPr>
              <w:pStyle w:val="56"/>
              <w:numPr>
                <w:ilvl w:val="0"/>
                <w:numId w:val="1"/>
              </w:numPr>
              <w:ind w:left="357" w:hanging="357" w:firstLineChars="0"/>
              <w:jc w:val="left"/>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显示屏亮度均匀性≥95%。</w:t>
            </w:r>
          </w:p>
          <w:p>
            <w:pPr>
              <w:pStyle w:val="56"/>
              <w:numPr>
                <w:ilvl w:val="0"/>
                <w:numId w:val="1"/>
              </w:numPr>
              <w:ind w:left="357" w:hanging="357" w:firstLineChars="0"/>
              <w:jc w:val="left"/>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显示屏色度均匀性：在±0.003Cx，Cy之内。</w:t>
            </w:r>
          </w:p>
          <w:p>
            <w:pPr>
              <w:pStyle w:val="56"/>
              <w:numPr>
                <w:ilvl w:val="0"/>
                <w:numId w:val="1"/>
              </w:numPr>
              <w:ind w:left="357" w:hanging="357" w:firstLineChars="0"/>
              <w:jc w:val="left"/>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低亮高灰：100%亮度时，16bit；20%亮度时，14bit。</w:t>
            </w:r>
          </w:p>
          <w:p>
            <w:pPr>
              <w:pStyle w:val="56"/>
              <w:numPr>
                <w:ilvl w:val="0"/>
                <w:numId w:val="1"/>
              </w:numPr>
              <w:ind w:left="357" w:hanging="357" w:firstLineChars="0"/>
              <w:jc w:val="left"/>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像素中心距偏差≤0.82%。</w:t>
            </w:r>
          </w:p>
          <w:p>
            <w:pPr>
              <w:pStyle w:val="56"/>
              <w:numPr>
                <w:ilvl w:val="0"/>
                <w:numId w:val="1"/>
              </w:numPr>
              <w:ind w:left="357" w:hanging="357" w:firstLineChars="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Cs/>
                <w:szCs w:val="21"/>
                <w:highlight w:val="none"/>
              </w:rPr>
              <w:t>峰值功耗≤450W/㎡，平均功耗</w:t>
            </w:r>
            <w:r>
              <w:rPr>
                <w:rFonts w:hint="eastAsia" w:asciiTheme="minorEastAsia" w:hAnsiTheme="minorEastAsia" w:eastAsiaTheme="minorEastAsia" w:cstheme="minorEastAsia"/>
                <w:szCs w:val="21"/>
                <w:highlight w:val="none"/>
              </w:rPr>
              <w:t>：平均≤160W/㎡。</w:t>
            </w:r>
          </w:p>
          <w:p>
            <w:pPr>
              <w:pStyle w:val="56"/>
              <w:numPr>
                <w:ilvl w:val="0"/>
                <w:numId w:val="1"/>
              </w:numPr>
              <w:ind w:left="357" w:hanging="357" w:firstLineChars="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Cs w:val="21"/>
                <w:highlight w:val="none"/>
              </w:rPr>
              <w:t>像素失控率&lt;0.01%。</w:t>
            </w:r>
          </w:p>
          <w:p>
            <w:pPr>
              <w:pStyle w:val="56"/>
              <w:numPr>
                <w:ilvl w:val="0"/>
                <w:numId w:val="1"/>
              </w:numPr>
              <w:ind w:left="357" w:hanging="357"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提供投标产品</w:t>
            </w:r>
            <w:r>
              <w:rPr>
                <w:rFonts w:hint="eastAsia" w:asciiTheme="minorEastAsia" w:hAnsiTheme="minorEastAsia" w:eastAsiaTheme="minorEastAsia" w:cstheme="minorEastAsia"/>
                <w:sz w:val="21"/>
                <w:szCs w:val="21"/>
                <w:highlight w:val="none"/>
                <w:lang w:eastAsia="zh-CN"/>
              </w:rPr>
              <w:t>厂家</w:t>
            </w:r>
            <w:r>
              <w:rPr>
                <w:rFonts w:hint="eastAsia" w:asciiTheme="minorEastAsia" w:hAnsiTheme="minorEastAsia" w:eastAsiaTheme="minorEastAsia" w:cstheme="minorEastAsia"/>
                <w:sz w:val="21"/>
                <w:szCs w:val="21"/>
                <w:highlight w:val="none"/>
              </w:rPr>
              <w:t>配置表、产品技术规格标准</w:t>
            </w:r>
            <w:r>
              <w:rPr>
                <w:rFonts w:hint="eastAsia" w:asciiTheme="minorEastAsia" w:hAnsiTheme="minorEastAsia" w:eastAsiaTheme="minorEastAsia" w:cstheme="minorEastAsia"/>
                <w:sz w:val="21"/>
                <w:szCs w:val="21"/>
                <w:highlight w:val="none"/>
                <w:lang w:eastAsia="zh-CN"/>
              </w:rPr>
              <w:t>截图</w:t>
            </w:r>
            <w:r>
              <w:rPr>
                <w:rFonts w:hint="eastAsia" w:asciiTheme="minorEastAsia" w:hAnsiTheme="minorEastAsia" w:eastAsiaTheme="minorEastAsia" w:cstheme="minorEastAsia"/>
                <w:sz w:val="21"/>
                <w:szCs w:val="21"/>
                <w:highlight w:val="none"/>
              </w:rPr>
              <w:t>或带有技术参数的资料或相关证明或承诺</w:t>
            </w:r>
            <w:r>
              <w:rPr>
                <w:rFonts w:hint="eastAsia" w:asciiTheme="minorEastAsia" w:hAnsiTheme="minorEastAsia" w:eastAsiaTheme="minorEastAsia" w:cstheme="minorEastAsia"/>
                <w:sz w:val="21"/>
                <w:szCs w:val="21"/>
                <w:highlight w:val="none"/>
                <w:lang w:val="en-US" w:eastAsia="zh-CN"/>
              </w:rPr>
              <w:t>达到以上标准</w:t>
            </w:r>
            <w:r>
              <w:rPr>
                <w:rFonts w:hint="eastAsia" w:asciiTheme="minorEastAsia" w:hAnsiTheme="minorEastAsia" w:eastAsiaTheme="minorEastAsia" w:cstheme="minorEastAsia"/>
                <w:sz w:val="21"/>
                <w:szCs w:val="21"/>
                <w:highlight w:val="none"/>
              </w:rPr>
              <w:t>并加盖投标人公章为准。</w:t>
            </w:r>
          </w:p>
          <w:p>
            <w:pPr>
              <w:pStyle w:val="56"/>
              <w:numPr>
                <w:ilvl w:val="0"/>
                <w:numId w:val="1"/>
              </w:numPr>
              <w:ind w:left="357" w:hanging="357"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所投LED显示屏具有模组LED灯保护装置</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提供权威机构出具的有效证明或以投标人提供的具备以上要求的证明或承诺</w:t>
            </w:r>
            <w:r>
              <w:rPr>
                <w:rFonts w:hint="eastAsia" w:asciiTheme="minorEastAsia" w:hAnsiTheme="minorEastAsia" w:eastAsiaTheme="minorEastAsia" w:cstheme="minorEastAsia"/>
                <w:sz w:val="21"/>
                <w:szCs w:val="21"/>
                <w:highlight w:val="none"/>
                <w:lang w:val="en-US" w:eastAsia="zh-CN"/>
              </w:rPr>
              <w:t>达到以上标准</w:t>
            </w:r>
            <w:r>
              <w:rPr>
                <w:rFonts w:hint="eastAsia" w:asciiTheme="minorEastAsia" w:hAnsiTheme="minorEastAsia" w:eastAsiaTheme="minorEastAsia" w:cstheme="minorEastAsia"/>
                <w:sz w:val="21"/>
                <w:szCs w:val="21"/>
                <w:highlight w:val="none"/>
              </w:rPr>
              <w:t>并加盖投标人公章为准）。</w:t>
            </w:r>
          </w:p>
          <w:p>
            <w:pPr>
              <w:pStyle w:val="56"/>
              <w:numPr>
                <w:ilvl w:val="0"/>
                <w:numId w:val="1"/>
              </w:numPr>
              <w:ind w:left="357" w:hanging="357"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具备消鬼影电路设计，显示效果佳</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提供权威机构出具的有效证明或以投标人提供的具备以上要求的证明或承诺</w:t>
            </w:r>
            <w:r>
              <w:rPr>
                <w:rFonts w:hint="eastAsia" w:asciiTheme="minorEastAsia" w:hAnsiTheme="minorEastAsia" w:eastAsiaTheme="minorEastAsia" w:cstheme="minorEastAsia"/>
                <w:sz w:val="21"/>
                <w:szCs w:val="21"/>
                <w:highlight w:val="none"/>
                <w:lang w:val="en-US" w:eastAsia="zh-CN"/>
              </w:rPr>
              <w:t>达到以上标准</w:t>
            </w:r>
            <w:r>
              <w:rPr>
                <w:rFonts w:hint="eastAsia" w:asciiTheme="minorEastAsia" w:hAnsiTheme="minorEastAsia" w:eastAsiaTheme="minorEastAsia" w:cstheme="minorEastAsia"/>
                <w:sz w:val="21"/>
                <w:szCs w:val="21"/>
                <w:highlight w:val="none"/>
              </w:rPr>
              <w:t>并加盖投标人公章为准）。</w:t>
            </w:r>
          </w:p>
          <w:p>
            <w:pPr>
              <w:pStyle w:val="56"/>
              <w:numPr>
                <w:ilvl w:val="0"/>
                <w:numId w:val="1"/>
              </w:numPr>
              <w:ind w:left="357" w:hanging="357"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所投LED显示屏具有全局控制的LED显示屏亮度的转接装置</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提供权威机构出具的有效证明或以投标人提供的具备以上要求的证明或承诺</w:t>
            </w:r>
            <w:r>
              <w:rPr>
                <w:rFonts w:hint="eastAsia" w:asciiTheme="minorEastAsia" w:hAnsiTheme="minorEastAsia" w:eastAsiaTheme="minorEastAsia" w:cstheme="minorEastAsia"/>
                <w:sz w:val="21"/>
                <w:szCs w:val="21"/>
                <w:highlight w:val="none"/>
                <w:lang w:val="en-US" w:eastAsia="zh-CN"/>
              </w:rPr>
              <w:t>达到以上标准</w:t>
            </w:r>
            <w:r>
              <w:rPr>
                <w:rFonts w:hint="eastAsia" w:asciiTheme="minorEastAsia" w:hAnsiTheme="minorEastAsia" w:eastAsiaTheme="minorEastAsia" w:cstheme="minorEastAsia"/>
                <w:sz w:val="21"/>
                <w:szCs w:val="21"/>
                <w:highlight w:val="none"/>
              </w:rPr>
              <w:t>并加盖投标人公章为准）</w:t>
            </w:r>
          </w:p>
          <w:p>
            <w:pPr>
              <w:pStyle w:val="56"/>
              <w:numPr>
                <w:ilvl w:val="0"/>
                <w:numId w:val="1"/>
              </w:numPr>
              <w:ind w:left="357" w:hanging="357" w:firstLineChars="0"/>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sz w:val="21"/>
                <w:szCs w:val="21"/>
                <w:highlight w:val="none"/>
              </w:rPr>
              <w:t>所投LED显示屏产品需具备可全局控制的LED显示屏亮度</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提供权威机构出具的有效证明或以投标人提供的具备以上要求的证明或承诺</w:t>
            </w:r>
            <w:r>
              <w:rPr>
                <w:rFonts w:hint="eastAsia" w:asciiTheme="minorEastAsia" w:hAnsiTheme="minorEastAsia" w:eastAsiaTheme="minorEastAsia" w:cstheme="minorEastAsia"/>
                <w:sz w:val="21"/>
                <w:szCs w:val="21"/>
                <w:highlight w:val="none"/>
                <w:lang w:val="en-US" w:eastAsia="zh-CN"/>
              </w:rPr>
              <w:t>达到以上标准</w:t>
            </w:r>
            <w:r>
              <w:rPr>
                <w:rFonts w:hint="eastAsia" w:asciiTheme="minorEastAsia" w:hAnsiTheme="minorEastAsia" w:eastAsiaTheme="minorEastAsia" w:cstheme="minorEastAsia"/>
                <w:sz w:val="21"/>
                <w:szCs w:val="21"/>
                <w:highlight w:val="none"/>
              </w:rPr>
              <w:t>并加盖投标人公章为准）</w:t>
            </w:r>
            <w:r>
              <w:rPr>
                <w:rFonts w:hint="eastAsia" w:asciiTheme="minorEastAsia" w:hAnsiTheme="minorEastAsia" w:eastAsiaTheme="minorEastAsia" w:cstheme="minorEastAsia"/>
                <w:sz w:val="21"/>
                <w:szCs w:val="21"/>
                <w:highlight w:val="none"/>
                <w:lang w:eastAsia="zh-CN"/>
              </w:rPr>
              <w:t>。</w:t>
            </w:r>
          </w:p>
        </w:tc>
        <w:tc>
          <w:tcPr>
            <w:tcW w:w="781" w:type="dxa"/>
            <w:tcBorders>
              <w:tl2br w:val="nil"/>
              <w:tr2bl w:val="nil"/>
            </w:tcBorders>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23.23</w:t>
            </w:r>
          </w:p>
        </w:tc>
        <w:tc>
          <w:tcPr>
            <w:tcW w:w="693" w:type="dxa"/>
            <w:tcBorders>
              <w:tl2br w:val="nil"/>
              <w:tr2bl w:val="nil"/>
            </w:tcBorders>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平方米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3" w:hRule="atLeast"/>
          <w:jc w:val="center"/>
        </w:trPr>
        <w:tc>
          <w:tcPr>
            <w:tcW w:w="736" w:type="dxa"/>
            <w:vMerge w:val="continue"/>
            <w:tcBorders>
              <w:tl2br w:val="nil"/>
              <w:tr2bl w:val="nil"/>
            </w:tcBorders>
            <w:vAlign w:val="center"/>
          </w:tcPr>
          <w:p>
            <w:pPr>
              <w:jc w:val="center"/>
              <w:rPr>
                <w:rFonts w:asciiTheme="minorEastAsia" w:hAnsiTheme="minorEastAsia" w:eastAsiaTheme="minorEastAsia" w:cstheme="minorEastAsia"/>
                <w:szCs w:val="21"/>
                <w:highlight w:val="none"/>
              </w:rPr>
            </w:pPr>
          </w:p>
        </w:tc>
        <w:tc>
          <w:tcPr>
            <w:tcW w:w="845" w:type="dxa"/>
            <w:vMerge w:val="continue"/>
            <w:tcBorders>
              <w:tl2br w:val="nil"/>
              <w:tr2bl w:val="nil"/>
            </w:tcBorders>
            <w:vAlign w:val="center"/>
          </w:tcPr>
          <w:p>
            <w:pPr>
              <w:jc w:val="center"/>
              <w:rPr>
                <w:rFonts w:asciiTheme="minorEastAsia" w:hAnsiTheme="minorEastAsia" w:eastAsiaTheme="minorEastAsia" w:cstheme="minorEastAsia"/>
                <w:szCs w:val="21"/>
                <w:highlight w:val="none"/>
              </w:rPr>
            </w:pPr>
          </w:p>
        </w:tc>
        <w:tc>
          <w:tcPr>
            <w:tcW w:w="1402" w:type="dxa"/>
            <w:tcBorders>
              <w:tl2br w:val="nil"/>
              <w:tr2bl w:val="nil"/>
            </w:tcBorders>
            <w:vAlign w:val="center"/>
          </w:tcPr>
          <w:p>
            <w:pPr>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szCs w:val="21"/>
                <w:highlight w:val="none"/>
              </w:rPr>
              <w:t>控制软件平台</w:t>
            </w:r>
          </w:p>
        </w:tc>
        <w:tc>
          <w:tcPr>
            <w:tcW w:w="10012" w:type="dxa"/>
            <w:tcBorders>
              <w:tl2br w:val="nil"/>
              <w:tr2bl w:val="nil"/>
            </w:tcBorders>
            <w:vAlign w:val="center"/>
          </w:tcPr>
          <w:p>
            <w:pPr>
              <w:pStyle w:val="56"/>
              <w:numPr>
                <w:ilvl w:val="0"/>
                <w:numId w:val="2"/>
              </w:numPr>
              <w:ind w:firstLineChars="0"/>
              <w:jc w:val="lef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远程监控与终端管理</w:t>
            </w:r>
          </w:p>
          <w:p>
            <w:pPr>
              <w:pStyle w:val="56"/>
              <w:ind w:left="360" w:firstLine="0" w:firstLineChars="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无需人为干预，可通过后台管理端设定自动开关机时间，调节音量，实时监控终端的运行状态：播放内容监控（文本模式、图形模式），运行日志查看（播放日志、下载日志、下载进度、错误日志），远程控制（立即开机、关机、重启），远程自动升级等。</w:t>
            </w:r>
          </w:p>
          <w:p>
            <w:pPr>
              <w:pStyle w:val="56"/>
              <w:numPr>
                <w:ilvl w:val="0"/>
                <w:numId w:val="2"/>
              </w:numPr>
              <w:ind w:firstLineChars="0"/>
              <w:jc w:val="lef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服务器双机热备功能</w:t>
            </w:r>
          </w:p>
          <w:p>
            <w:pPr>
              <w:pStyle w:val="56"/>
              <w:ind w:left="360" w:firstLine="0" w:firstLineChars="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实现所有服务、程序、数据的实时备份和瞬间故障自动切换，不需要人工干预，保证系统能持续提供服务，保障服务器不间断工作。</w:t>
            </w:r>
          </w:p>
          <w:p>
            <w:pPr>
              <w:pStyle w:val="56"/>
              <w:numPr>
                <w:ilvl w:val="0"/>
                <w:numId w:val="2"/>
              </w:numPr>
              <w:ind w:firstLineChars="0"/>
              <w:jc w:val="lef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网络流量控制及多级文件分发服务器机制</w:t>
            </w:r>
          </w:p>
          <w:p>
            <w:pPr>
              <w:pStyle w:val="56"/>
              <w:ind w:left="360" w:firstLine="0" w:firstLineChars="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实现所有节点、链路的网络带宽的灵活配置策略，适合各种网络环境，无需依赖网络设备。多级文件分发服务器是指根据终端的分布范围与点数按一定比例进行搭建，可对网络负载进行有效的分流，减小分发文件的总容量，提高文件下发的速度，缩短文件下发的总时长。</w:t>
            </w:r>
          </w:p>
          <w:p>
            <w:pPr>
              <w:pStyle w:val="56"/>
              <w:numPr>
                <w:ilvl w:val="0"/>
                <w:numId w:val="2"/>
              </w:numPr>
              <w:ind w:firstLineChars="0"/>
              <w:jc w:val="lef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强大的系统对接与扩展能力</w:t>
            </w:r>
          </w:p>
          <w:p>
            <w:pPr>
              <w:pStyle w:val="56"/>
              <w:ind w:left="360" w:firstLine="0" w:firstLineChars="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完备的数据服务器对接功能，满足各行业所有的数据源对接，如客户业务系统、天气预报网站信息，可进行实时抓取与解析，且具备强大的所见即所得的显示效果配置、编辑功能。</w:t>
            </w:r>
          </w:p>
          <w:p>
            <w:pPr>
              <w:pStyle w:val="56"/>
              <w:ind w:left="360" w:firstLine="0" w:firstLineChars="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系统采用模块化、开放式、标准化设计开发，本着以客户为中心的原则，紧随各行业经营网点转型与升级的步伐，可在不重复建设中心系统的前提下进行多方位应用的扩展，进行功能的延伸，保护现有投入。</w:t>
            </w:r>
          </w:p>
          <w:p>
            <w:pPr>
              <w:pStyle w:val="56"/>
              <w:numPr>
                <w:ilvl w:val="0"/>
                <w:numId w:val="2"/>
              </w:numPr>
              <w:ind w:firstLineChars="0"/>
              <w:jc w:val="lef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媒体库管理功能</w:t>
            </w:r>
          </w:p>
          <w:p>
            <w:pPr>
              <w:pStyle w:val="56"/>
              <w:ind w:left="360" w:firstLine="0" w:firstLineChars="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作为一套多媒体联网信息发布系统，媒体管理肯定是必不可少的，对上传媒体文件进行自动转换、分类、管理、审核、记录媒体的详细信息，如：大小、格式、分辨率、上传者等。动态显示上传进度，支持媒体文件的共享和下载，同时根据用户权限控制实现媒体文件分权限管理。</w:t>
            </w:r>
          </w:p>
          <w:p>
            <w:pPr>
              <w:pStyle w:val="56"/>
              <w:ind w:left="360" w:firstLine="0" w:firstLineChars="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采用嵌入式设计，文件传输与校验采用MD5算法或其他HASH算法，保证媒体文件的完整性，配合管理系统实现多级审核才可下载与播放，提供检测报告或相关证明材料</w:t>
            </w:r>
            <w:r>
              <w:rPr>
                <w:rFonts w:hint="eastAsia" w:asciiTheme="minorEastAsia" w:hAnsiTheme="minorEastAsia" w:eastAsiaTheme="minorEastAsia" w:cstheme="minorEastAsia"/>
                <w:sz w:val="21"/>
                <w:szCs w:val="21"/>
                <w:highlight w:val="none"/>
              </w:rPr>
              <w:t>或承诺</w:t>
            </w:r>
            <w:r>
              <w:rPr>
                <w:rFonts w:hint="eastAsia" w:asciiTheme="minorEastAsia" w:hAnsiTheme="minorEastAsia" w:eastAsiaTheme="minorEastAsia" w:cstheme="minorEastAsia"/>
                <w:szCs w:val="21"/>
                <w:highlight w:val="none"/>
              </w:rPr>
              <w:t>并加盖投标人公章；</w:t>
            </w:r>
          </w:p>
          <w:p>
            <w:pPr>
              <w:pStyle w:val="56"/>
              <w:ind w:left="360" w:firstLine="0" w:firstLineChars="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为保护现有投入，云平台系统采用模块化、开放式、标准化设计开发，可在不重复建设中心系统的前提下进行多方位应用的扩展，进行功能的延伸，</w:t>
            </w:r>
            <w:r>
              <w:rPr>
                <w:rFonts w:hint="eastAsia" w:asciiTheme="minorEastAsia" w:hAnsiTheme="minorEastAsia" w:eastAsiaTheme="minorEastAsia" w:cstheme="minorEastAsia"/>
                <w:sz w:val="21"/>
                <w:szCs w:val="21"/>
                <w:highlight w:val="none"/>
              </w:rPr>
              <w:t>提供权威机构出具的有效证明或以投标人提供的具备以上要求的证明或承诺</w:t>
            </w:r>
            <w:r>
              <w:rPr>
                <w:rFonts w:hint="eastAsia" w:asciiTheme="minorEastAsia" w:hAnsiTheme="minorEastAsia" w:eastAsiaTheme="minorEastAsia" w:cstheme="minorEastAsia"/>
                <w:sz w:val="21"/>
                <w:szCs w:val="21"/>
                <w:highlight w:val="none"/>
                <w:lang w:val="en-US" w:eastAsia="zh-CN"/>
              </w:rPr>
              <w:t>达到以上标准</w:t>
            </w:r>
            <w:r>
              <w:rPr>
                <w:rFonts w:hint="eastAsia" w:asciiTheme="minorEastAsia" w:hAnsiTheme="minorEastAsia" w:eastAsiaTheme="minorEastAsia" w:cstheme="minorEastAsia"/>
                <w:sz w:val="21"/>
                <w:szCs w:val="21"/>
                <w:highlight w:val="none"/>
              </w:rPr>
              <w:t>并加盖投标人公章为准</w:t>
            </w:r>
            <w:r>
              <w:rPr>
                <w:rFonts w:hint="eastAsia" w:asciiTheme="minorEastAsia" w:hAnsiTheme="minorEastAsia" w:eastAsiaTheme="minorEastAsia" w:cstheme="minorEastAsia"/>
                <w:szCs w:val="21"/>
                <w:highlight w:val="none"/>
              </w:rPr>
              <w:t>。</w:t>
            </w:r>
          </w:p>
        </w:tc>
        <w:tc>
          <w:tcPr>
            <w:tcW w:w="781" w:type="dxa"/>
            <w:tcBorders>
              <w:tl2br w:val="nil"/>
              <w:tr2bl w:val="nil"/>
            </w:tcBorders>
            <w:vAlign w:val="center"/>
          </w:tcPr>
          <w:p>
            <w:pPr>
              <w:spacing w:line="220" w:lineRule="atLeas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1</w:t>
            </w:r>
          </w:p>
        </w:tc>
        <w:tc>
          <w:tcPr>
            <w:tcW w:w="693" w:type="dxa"/>
            <w:tcBorders>
              <w:tl2br w:val="nil"/>
              <w:tr2bl w:val="nil"/>
            </w:tcBorders>
            <w:vAlign w:val="center"/>
          </w:tcPr>
          <w:p>
            <w:pPr>
              <w:spacing w:line="220" w:lineRule="atLeas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736" w:type="dxa"/>
            <w:vMerge w:val="continue"/>
            <w:tcBorders>
              <w:tl2br w:val="nil"/>
              <w:tr2bl w:val="nil"/>
            </w:tcBorders>
            <w:vAlign w:val="center"/>
          </w:tcPr>
          <w:p>
            <w:pPr>
              <w:jc w:val="center"/>
              <w:rPr>
                <w:rFonts w:asciiTheme="minorEastAsia" w:hAnsiTheme="minorEastAsia" w:eastAsiaTheme="minorEastAsia" w:cstheme="minorEastAsia"/>
                <w:szCs w:val="21"/>
                <w:highlight w:val="none"/>
              </w:rPr>
            </w:pPr>
          </w:p>
        </w:tc>
        <w:tc>
          <w:tcPr>
            <w:tcW w:w="845" w:type="dxa"/>
            <w:vMerge w:val="continue"/>
            <w:tcBorders>
              <w:tl2br w:val="nil"/>
              <w:tr2bl w:val="nil"/>
            </w:tcBorders>
            <w:vAlign w:val="center"/>
          </w:tcPr>
          <w:p>
            <w:pPr>
              <w:jc w:val="center"/>
              <w:rPr>
                <w:rFonts w:asciiTheme="minorEastAsia" w:hAnsiTheme="minorEastAsia" w:eastAsiaTheme="minorEastAsia" w:cstheme="minorEastAsia"/>
                <w:szCs w:val="21"/>
                <w:highlight w:val="none"/>
              </w:rPr>
            </w:pPr>
          </w:p>
        </w:tc>
        <w:tc>
          <w:tcPr>
            <w:tcW w:w="1402" w:type="dxa"/>
            <w:tcBorders>
              <w:tl2br w:val="nil"/>
              <w:tr2bl w:val="nil"/>
            </w:tcBorders>
            <w:vAlign w:val="center"/>
          </w:tcPr>
          <w:p>
            <w:pPr>
              <w:jc w:val="center"/>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szCs w:val="21"/>
                <w:highlight w:val="none"/>
              </w:rPr>
              <w:t>数据接收卡</w:t>
            </w:r>
          </w:p>
        </w:tc>
        <w:tc>
          <w:tcPr>
            <w:tcW w:w="10012" w:type="dxa"/>
            <w:tcBorders>
              <w:tl2br w:val="nil"/>
              <w:tr2bl w:val="nil"/>
            </w:tcBorders>
            <w:vAlign w:val="center"/>
          </w:tcPr>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集成HUB75，无需再配转接板，更方便，成本更低；</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减少接插连接件，减少故障点，故障率更低；</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支持常规芯片实现高刷新、高灰度、高亮度；</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全新灰度引擎，低灰度表现更佳；</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细节处理更完美，可消除单元板设计引起的某行偏暗、低灰偏红、鬼影等细节问题；</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支持14bit精度逐点校正；</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支持所有常规芯片、PWM芯片和灯饰芯片；</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支持静态屏、1/2~1/64扫之间的任意扫描类型；</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支持任意抽点，支持数据偏移，可轻松实现各种异型屏、球形屏、创意显示屏；</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单卡支持16组RGB信号输出；</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支持超大带载面积，单卡带载128*512，256*256；</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先进设计，优质元器件，全自动高低温老化测试，零故障出厂；</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支持DC 3.3V~6V超宽工作电压，有效减弱电压波动带来的影响；</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支持电源反接保护电路；</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为保证信号传输的稳定性，接收卡需支持一帧延迟，发送端到显示端延迟达到一帧，提供检测报告或相关证明</w:t>
            </w:r>
            <w:r>
              <w:rPr>
                <w:rFonts w:hint="eastAsia" w:asciiTheme="minorEastAsia" w:hAnsiTheme="minorEastAsia" w:eastAsiaTheme="minorEastAsia" w:cstheme="minorEastAsia"/>
                <w:sz w:val="21"/>
                <w:szCs w:val="21"/>
                <w:highlight w:val="none"/>
              </w:rPr>
              <w:t>或承诺</w:t>
            </w:r>
            <w:r>
              <w:rPr>
                <w:rFonts w:hint="eastAsia" w:asciiTheme="minorEastAsia" w:hAnsiTheme="minorEastAsia" w:eastAsiaTheme="minorEastAsia" w:cstheme="minorEastAsia"/>
                <w:sz w:val="21"/>
                <w:szCs w:val="21"/>
                <w:highlight w:val="none"/>
                <w:lang w:val="en-US" w:eastAsia="zh-CN"/>
              </w:rPr>
              <w:t>达到以上标准</w:t>
            </w:r>
            <w:r>
              <w:rPr>
                <w:rFonts w:hint="eastAsia" w:asciiTheme="minorEastAsia" w:hAnsiTheme="minorEastAsia" w:eastAsiaTheme="minorEastAsia" w:cstheme="minorEastAsia"/>
                <w:szCs w:val="21"/>
                <w:highlight w:val="none"/>
              </w:rPr>
              <w:t>并加盖投标人公章；</w:t>
            </w:r>
          </w:p>
          <w:p>
            <w:pPr>
              <w:pStyle w:val="56"/>
              <w:numPr>
                <w:ilvl w:val="0"/>
                <w:numId w:val="3"/>
              </w:numPr>
              <w:ind w:left="357" w:hanging="357"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为保证接收卡能够持久运行，需具有电击和能量危险的防护，提供检测报告或相关证明</w:t>
            </w:r>
            <w:r>
              <w:rPr>
                <w:rFonts w:hint="eastAsia" w:asciiTheme="minorEastAsia" w:hAnsiTheme="minorEastAsia" w:eastAsiaTheme="minorEastAsia" w:cstheme="minorEastAsia"/>
                <w:sz w:val="21"/>
                <w:szCs w:val="21"/>
                <w:highlight w:val="none"/>
              </w:rPr>
              <w:t>或承诺</w:t>
            </w:r>
            <w:r>
              <w:rPr>
                <w:rFonts w:hint="eastAsia" w:asciiTheme="minorEastAsia" w:hAnsiTheme="minorEastAsia" w:eastAsiaTheme="minorEastAsia" w:cstheme="minorEastAsia"/>
                <w:sz w:val="21"/>
                <w:szCs w:val="21"/>
                <w:highlight w:val="none"/>
                <w:lang w:val="en-US" w:eastAsia="zh-CN"/>
              </w:rPr>
              <w:t>达到以上标准</w:t>
            </w:r>
            <w:r>
              <w:rPr>
                <w:rFonts w:hint="eastAsia" w:asciiTheme="minorEastAsia" w:hAnsiTheme="minorEastAsia" w:eastAsiaTheme="minorEastAsia" w:cstheme="minorEastAsia"/>
                <w:szCs w:val="21"/>
                <w:highlight w:val="none"/>
              </w:rPr>
              <w:t>并加盖投标人公章</w:t>
            </w:r>
          </w:p>
          <w:p>
            <w:pPr>
              <w:pStyle w:val="56"/>
              <w:numPr>
                <w:ilvl w:val="0"/>
                <w:numId w:val="3"/>
              </w:numPr>
              <w:adjustRightInd w:val="0"/>
              <w:snapToGrid w:val="0"/>
              <w:ind w:left="357" w:hanging="357" w:firstLineChars="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为保证显示屏整体亮度的一致性，接收卡需支持一键修缝功能，提供检测报告或相关证明</w:t>
            </w:r>
            <w:r>
              <w:rPr>
                <w:rFonts w:hint="eastAsia" w:asciiTheme="minorEastAsia" w:hAnsiTheme="minorEastAsia" w:eastAsiaTheme="minorEastAsia" w:cstheme="minorEastAsia"/>
                <w:sz w:val="21"/>
                <w:szCs w:val="21"/>
                <w:highlight w:val="none"/>
              </w:rPr>
              <w:t>或承诺</w:t>
            </w:r>
            <w:r>
              <w:rPr>
                <w:rFonts w:hint="eastAsia" w:asciiTheme="minorEastAsia" w:hAnsiTheme="minorEastAsia" w:eastAsiaTheme="minorEastAsia" w:cstheme="minorEastAsia"/>
                <w:sz w:val="21"/>
                <w:szCs w:val="21"/>
                <w:highlight w:val="none"/>
                <w:lang w:val="en-US" w:eastAsia="zh-CN"/>
              </w:rPr>
              <w:t>达到以上标准</w:t>
            </w:r>
            <w:r>
              <w:rPr>
                <w:rFonts w:hint="eastAsia" w:asciiTheme="minorEastAsia" w:hAnsiTheme="minorEastAsia" w:eastAsiaTheme="minorEastAsia" w:cstheme="minorEastAsia"/>
                <w:szCs w:val="21"/>
                <w:highlight w:val="none"/>
              </w:rPr>
              <w:t>并加盖投标人公章</w:t>
            </w:r>
          </w:p>
        </w:tc>
        <w:tc>
          <w:tcPr>
            <w:tcW w:w="781" w:type="dxa"/>
            <w:tcBorders>
              <w:tl2br w:val="nil"/>
              <w:tr2bl w:val="nil"/>
            </w:tcBorders>
            <w:vAlign w:val="center"/>
          </w:tcPr>
          <w:p>
            <w:pPr>
              <w:spacing w:line="220" w:lineRule="atLeas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693" w:type="dxa"/>
            <w:tcBorders>
              <w:tl2br w:val="nil"/>
              <w:tr2bl w:val="nil"/>
            </w:tcBorders>
            <w:vAlign w:val="center"/>
          </w:tcPr>
          <w:p>
            <w:pPr>
              <w:spacing w:line="220" w:lineRule="atLeas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69" w:hRule="atLeast"/>
          <w:jc w:val="center"/>
        </w:trPr>
        <w:tc>
          <w:tcPr>
            <w:tcW w:w="736" w:type="dxa"/>
            <w:vMerge w:val="continue"/>
            <w:tcBorders>
              <w:tl2br w:val="nil"/>
              <w:tr2bl w:val="nil"/>
            </w:tcBorders>
            <w:vAlign w:val="center"/>
          </w:tcPr>
          <w:p>
            <w:pPr>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845" w:type="dxa"/>
            <w:vMerge w:val="continue"/>
            <w:tcBorders>
              <w:tl2br w:val="nil"/>
              <w:tr2bl w:val="nil"/>
            </w:tcBorders>
            <w:vAlign w:val="center"/>
          </w:tcPr>
          <w:p>
            <w:pPr>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1402" w:type="dxa"/>
            <w:tcBorders>
              <w:tl2br w:val="nil"/>
              <w:tr2bl w:val="nil"/>
            </w:tcBorders>
            <w:vAlign w:val="center"/>
          </w:tcPr>
          <w:p>
            <w:pPr>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播控平台</w:t>
            </w:r>
          </w:p>
        </w:tc>
        <w:tc>
          <w:tcPr>
            <w:tcW w:w="10012" w:type="dxa"/>
            <w:tcBorders>
              <w:tl2br w:val="nil"/>
              <w:tr2bl w:val="nil"/>
            </w:tcBorders>
            <w:vAlign w:val="center"/>
          </w:tcPr>
          <w:p>
            <w:pP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用于LED显示屏控制和播放的专业软件。软件需要具有功能丰富、性能优越，兼具良好的操作界面，易学易用。</w:t>
            </w:r>
          </w:p>
          <w:p>
            <w:pP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支持视频、音频、图像、文字、Flash、Gif等形式的媒体文件播放;支持Microsoftoffice的Word、Excel、PPT显示；支持时钟、计时、天气预报显示；支持外部视频信号(TV、AV、S-Video、复合视频)播放；支持多页面多分区节目编辑；软件提供了丰富灵活的视频切换功能、分区特效，以及三维特效动画，让显示屏的显示效果得到完美展现。控制系统软件支持实时监测发送卡网口带载面积，支持网口显示，并有预警显示,提供检测报告或相关证明</w:t>
            </w:r>
            <w:r>
              <w:rPr>
                <w:rFonts w:hint="eastAsia" w:asciiTheme="minorEastAsia" w:hAnsiTheme="minorEastAsia" w:eastAsiaTheme="minorEastAsia" w:cstheme="minorEastAsia"/>
                <w:sz w:val="21"/>
                <w:szCs w:val="21"/>
                <w:highlight w:val="none"/>
              </w:rPr>
              <w:t>或承诺</w:t>
            </w:r>
            <w:r>
              <w:rPr>
                <w:rFonts w:hint="eastAsia" w:asciiTheme="minorEastAsia" w:hAnsiTheme="minorEastAsia" w:eastAsiaTheme="minorEastAsia" w:cstheme="minorEastAsia"/>
                <w:sz w:val="21"/>
                <w:szCs w:val="21"/>
                <w:highlight w:val="none"/>
                <w:lang w:val="en-US" w:eastAsia="zh-CN"/>
              </w:rPr>
              <w:t>达到以上标准</w:t>
            </w:r>
            <w:r>
              <w:rPr>
                <w:rFonts w:hint="eastAsia" w:asciiTheme="minorEastAsia" w:hAnsiTheme="minorEastAsia" w:eastAsiaTheme="minorEastAsia" w:cstheme="minorEastAsia"/>
                <w:szCs w:val="21"/>
                <w:highlight w:val="none"/>
              </w:rPr>
              <w:t>并加盖投标人公章。</w:t>
            </w:r>
          </w:p>
        </w:tc>
        <w:tc>
          <w:tcPr>
            <w:tcW w:w="781" w:type="dxa"/>
            <w:tcBorders>
              <w:tl2br w:val="nil"/>
              <w:tr2bl w:val="nil"/>
            </w:tcBorders>
            <w:vAlign w:val="center"/>
          </w:tcPr>
          <w:p>
            <w:pPr>
              <w:spacing w:line="220" w:lineRule="atLeas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693" w:type="dxa"/>
            <w:tcBorders>
              <w:tl2br w:val="nil"/>
              <w:tr2bl w:val="nil"/>
            </w:tcBorders>
            <w:vAlign w:val="center"/>
          </w:tcPr>
          <w:p>
            <w:pPr>
              <w:spacing w:line="220" w:lineRule="atLeas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736"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szCs w:val="21"/>
                <w:highlight w:val="none"/>
              </w:rPr>
            </w:pPr>
          </w:p>
        </w:tc>
        <w:tc>
          <w:tcPr>
            <w:tcW w:w="845"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szCs w:val="21"/>
                <w:highlight w:val="none"/>
              </w:rPr>
            </w:pPr>
          </w:p>
        </w:tc>
        <w:tc>
          <w:tcPr>
            <w:tcW w:w="1402" w:type="dxa"/>
            <w:tcBorders>
              <w:tl2br w:val="nil"/>
              <w:tr2bl w:val="nil"/>
            </w:tcBorders>
            <w:shd w:val="clear" w:color="auto" w:fill="auto"/>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处理器</w:t>
            </w:r>
          </w:p>
        </w:tc>
        <w:tc>
          <w:tcPr>
            <w:tcW w:w="10012" w:type="dxa"/>
            <w:tcBorders>
              <w:tl2br w:val="nil"/>
              <w:tr2bl w:val="nil"/>
            </w:tcBorders>
            <w:shd w:val="clear" w:color="auto" w:fill="auto"/>
            <w:vAlign w:val="center"/>
          </w:tcPr>
          <w:p>
            <w:pPr>
              <w:pStyle w:val="56"/>
              <w:numPr>
                <w:ilvl w:val="0"/>
                <w:numId w:val="4"/>
              </w:numPr>
              <w:spacing w:line="220" w:lineRule="atLeast"/>
              <w:ind w:firstLineChars="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主控是专业级LED显示屏控制设备；具备强大的视频信号接收、拼接和处理能力，多合一专业主控是针对LED 显示屏工程应用领域的专业级控制系统和视频处理设备。其具 DVI 和 HDMI 高清数字接口，支持多路信号间无缝切换，支持广播级缩放及多画面显示。具备 12 个千兆网口，其带载宽度最宽可达 8192 像素点，最高可达 4096 像素点。同时还具备一系列丰富实用的功能，可以实现灵活的屏幕控制和高品质的图像显示。</w:t>
            </w:r>
          </w:p>
          <w:p>
            <w:pPr>
              <w:pStyle w:val="56"/>
              <w:numPr>
                <w:ilvl w:val="0"/>
                <w:numId w:val="4"/>
              </w:numPr>
              <w:spacing w:line="220" w:lineRule="atLeast"/>
              <w:ind w:firstLineChars="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支持 1 路 DVI 输入和 3 路 HDMI1 4 输入 ；</w:t>
            </w:r>
          </w:p>
          <w:p>
            <w:pPr>
              <w:pStyle w:val="56"/>
              <w:numPr>
                <w:ilvl w:val="0"/>
                <w:numId w:val="4"/>
              </w:numPr>
              <w:spacing w:line="220" w:lineRule="atLeast"/>
              <w:ind w:firstLineChars="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最大输入分辨率 1920×1200@60H ，支持分辨率任意设置 </w:t>
            </w:r>
          </w:p>
          <w:p>
            <w:pPr>
              <w:pStyle w:val="56"/>
              <w:numPr>
                <w:ilvl w:val="0"/>
                <w:numId w:val="4"/>
              </w:numPr>
              <w:spacing w:line="220" w:lineRule="atLeast"/>
              <w:ind w:firstLineChars="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最大带载 </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720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万像素点，最宽可达 8192 点，或最高可达 4096 点</w:t>
            </w:r>
          </w:p>
          <w:p>
            <w:pPr>
              <w:pStyle w:val="56"/>
              <w:numPr>
                <w:ilvl w:val="0"/>
                <w:numId w:val="4"/>
              </w:numPr>
              <w:spacing w:line="220" w:lineRule="atLeast"/>
              <w:ind w:firstLineChars="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支持视频源任意切换、任意裁剪、任意缩放</w:t>
            </w:r>
          </w:p>
          <w:p>
            <w:pPr>
              <w:pStyle w:val="56"/>
              <w:numPr>
                <w:ilvl w:val="0"/>
                <w:numId w:val="4"/>
              </w:numPr>
              <w:spacing w:line="220" w:lineRule="atLeast"/>
              <w:ind w:firstLineChars="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支持 12 路网口输出，支持单机或双机冗余备份 </w:t>
            </w:r>
          </w:p>
          <w:p>
            <w:pPr>
              <w:pStyle w:val="56"/>
              <w:numPr>
                <w:ilvl w:val="0"/>
                <w:numId w:val="4"/>
              </w:numPr>
              <w:spacing w:line="220" w:lineRule="atLeast"/>
              <w:ind w:firstLineChars="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支持三画面显示，窗口位置、大小可自由调节 </w:t>
            </w:r>
          </w:p>
          <w:p>
            <w:pPr>
              <w:pStyle w:val="56"/>
              <w:numPr>
                <w:ilvl w:val="0"/>
                <w:numId w:val="4"/>
              </w:numPr>
              <w:spacing w:line="220" w:lineRule="atLeast"/>
              <w:ind w:firstLineChars="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支持 HD P1 4 协议的高带宽数字内容保护技术；</w:t>
            </w:r>
          </w:p>
          <w:p>
            <w:pPr>
              <w:pStyle w:val="56"/>
              <w:numPr>
                <w:ilvl w:val="0"/>
                <w:numId w:val="4"/>
              </w:numPr>
              <w:spacing w:line="220" w:lineRule="atLeast"/>
              <w:ind w:firstLineChars="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双USB 2.0高速通讯接口，用于电脑调试和主控间任意级联；</w:t>
            </w:r>
          </w:p>
          <w:p>
            <w:pPr>
              <w:pStyle w:val="56"/>
              <w:numPr>
                <w:ilvl w:val="0"/>
                <w:numId w:val="4"/>
              </w:numPr>
              <w:spacing w:line="220" w:lineRule="atLeast"/>
              <w:ind w:firstLineChars="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支持亮度和色温调节；</w:t>
            </w:r>
          </w:p>
          <w:p>
            <w:pPr>
              <w:pStyle w:val="56"/>
              <w:numPr>
                <w:ilvl w:val="0"/>
                <w:numId w:val="4"/>
              </w:numPr>
              <w:spacing w:line="220" w:lineRule="atLeast"/>
              <w:ind w:firstLineChars="0"/>
              <w:rPr>
                <w:rFonts w:asciiTheme="minorEastAsia" w:hAnsiTheme="minorEastAsia" w:eastAsiaTheme="minorEastAsia" w:cstheme="minorEastAsia"/>
                <w:szCs w:val="21"/>
                <w:highlight w:val="none"/>
                <w:shd w:val="clear" w:color="auto" w:fill="FFFFFF"/>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支持低亮高灰； </w:t>
            </w:r>
            <w:r>
              <w:rPr>
                <w:rFonts w:hint="eastAsia" w:asciiTheme="minorEastAsia" w:hAnsiTheme="minorEastAsia" w:eastAsiaTheme="minorEastAsia" w:cstheme="minorEastAsia"/>
                <w:szCs w:val="21"/>
                <w:highlight w:val="none"/>
              </w:rPr>
              <w:t xml:space="preserve">                                                                                                                                                                                                                                                                                                       </w:t>
            </w:r>
          </w:p>
          <w:p>
            <w:pPr>
              <w:spacing w:line="220" w:lineRule="atLeas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视频控制设备可支持250N恒定作用力，外部防护罩可承受250N+10N的恒定作用力持续5S，提供检测报告或相关证明</w:t>
            </w:r>
            <w:r>
              <w:rPr>
                <w:rFonts w:hint="eastAsia" w:asciiTheme="minorEastAsia" w:hAnsiTheme="minorEastAsia" w:eastAsiaTheme="minorEastAsia" w:cstheme="minorEastAsia"/>
                <w:sz w:val="21"/>
                <w:szCs w:val="21"/>
                <w:highlight w:val="none"/>
              </w:rPr>
              <w:t>或承诺</w:t>
            </w:r>
            <w:r>
              <w:rPr>
                <w:rFonts w:hint="eastAsia" w:asciiTheme="minorEastAsia" w:hAnsiTheme="minorEastAsia" w:eastAsiaTheme="minorEastAsia" w:cstheme="minorEastAsia"/>
                <w:sz w:val="21"/>
                <w:szCs w:val="21"/>
                <w:highlight w:val="none"/>
                <w:lang w:val="en-US" w:eastAsia="zh-CN"/>
              </w:rPr>
              <w:t>达到以上标准</w:t>
            </w:r>
            <w:r>
              <w:rPr>
                <w:rFonts w:hint="eastAsia" w:asciiTheme="minorEastAsia" w:hAnsiTheme="minorEastAsia" w:eastAsiaTheme="minorEastAsia" w:cstheme="minorEastAsia"/>
                <w:szCs w:val="21"/>
                <w:highlight w:val="none"/>
              </w:rPr>
              <w:t>并加盖投标人公章</w:t>
            </w:r>
          </w:p>
          <w:p>
            <w:pPr>
              <w:spacing w:line="220" w:lineRule="atLeas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视频控制设备具有抗电强度，避免电磁干扰，提供检测报告或相关证明</w:t>
            </w:r>
            <w:r>
              <w:rPr>
                <w:rFonts w:hint="eastAsia" w:asciiTheme="minorEastAsia" w:hAnsiTheme="minorEastAsia" w:eastAsiaTheme="minorEastAsia" w:cstheme="minorEastAsia"/>
                <w:sz w:val="21"/>
                <w:szCs w:val="21"/>
                <w:highlight w:val="none"/>
              </w:rPr>
              <w:t>或承诺</w:t>
            </w:r>
            <w:r>
              <w:rPr>
                <w:rFonts w:hint="eastAsia" w:asciiTheme="minorEastAsia" w:hAnsiTheme="minorEastAsia" w:eastAsiaTheme="minorEastAsia" w:cstheme="minorEastAsia"/>
                <w:sz w:val="21"/>
                <w:szCs w:val="21"/>
                <w:highlight w:val="none"/>
                <w:lang w:val="en-US" w:eastAsia="zh-CN"/>
              </w:rPr>
              <w:t>达到以上标准</w:t>
            </w:r>
            <w:r>
              <w:rPr>
                <w:rFonts w:hint="eastAsia" w:asciiTheme="minorEastAsia" w:hAnsiTheme="minorEastAsia" w:eastAsiaTheme="minorEastAsia" w:cstheme="minorEastAsia"/>
                <w:szCs w:val="21"/>
                <w:highlight w:val="none"/>
              </w:rPr>
              <w:t>并加盖投标人公章</w:t>
            </w:r>
          </w:p>
          <w:p>
            <w:pPr>
              <w:spacing w:line="220" w:lineRule="atLeas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为高效兼容交流电网电源的连接方式，视频控制设备可支持与交流电网电源的单独连接，提供检测报告或相关证明</w:t>
            </w:r>
            <w:r>
              <w:rPr>
                <w:rFonts w:hint="eastAsia" w:asciiTheme="minorEastAsia" w:hAnsiTheme="minorEastAsia" w:eastAsiaTheme="minorEastAsia" w:cstheme="minorEastAsia"/>
                <w:sz w:val="21"/>
                <w:szCs w:val="21"/>
                <w:highlight w:val="none"/>
              </w:rPr>
              <w:t>或承诺</w:t>
            </w:r>
            <w:r>
              <w:rPr>
                <w:rFonts w:hint="eastAsia" w:asciiTheme="minorEastAsia" w:hAnsiTheme="minorEastAsia" w:eastAsiaTheme="minorEastAsia" w:cstheme="minorEastAsia"/>
                <w:szCs w:val="21"/>
                <w:highlight w:val="none"/>
              </w:rPr>
              <w:t>材料并加盖投标人公章</w:t>
            </w:r>
          </w:p>
          <w:p>
            <w:pPr>
              <w:spacing w:line="220" w:lineRule="atLeas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视频控制设备可支持EUT的连接方法。</w:t>
            </w:r>
          </w:p>
          <w:p>
            <w:pPr>
              <w:spacing w:line="220" w:lineRule="atLeas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为适应高清视频的高带宽,控制系统专业主控具备高带宽数字内容保护技术；</w:t>
            </w:r>
          </w:p>
          <w:p>
            <w:pP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为保证显示屏的显示效果，设备需支持低亮高灰功能，在10%亮度下依然保持高灰度。</w:t>
            </w:r>
          </w:p>
        </w:tc>
        <w:tc>
          <w:tcPr>
            <w:tcW w:w="781" w:type="dxa"/>
            <w:tcBorders>
              <w:tl2br w:val="nil"/>
              <w:tr2bl w:val="nil"/>
            </w:tcBorders>
            <w:vAlign w:val="center"/>
          </w:tcPr>
          <w:p>
            <w:pPr>
              <w:spacing w:line="220" w:lineRule="atLeast"/>
              <w:jc w:val="center"/>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93" w:type="dxa"/>
            <w:tcBorders>
              <w:tl2br w:val="nil"/>
              <w:tr2bl w:val="nil"/>
            </w:tcBorders>
            <w:vAlign w:val="center"/>
          </w:tcPr>
          <w:p>
            <w:pPr>
              <w:spacing w:line="220" w:lineRule="atLeast"/>
              <w:jc w:val="center"/>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8" w:hRule="atLeast"/>
          <w:jc w:val="center"/>
        </w:trPr>
        <w:tc>
          <w:tcPr>
            <w:tcW w:w="736" w:type="dxa"/>
            <w:vMerge w:val="continue"/>
            <w:tcBorders>
              <w:tl2br w:val="nil"/>
              <w:tr2bl w:val="nil"/>
            </w:tcBorders>
            <w:vAlign w:val="center"/>
          </w:tcPr>
          <w:p>
            <w:pPr>
              <w:jc w:val="center"/>
              <w:rPr>
                <w:rFonts w:asciiTheme="minorEastAsia" w:hAnsiTheme="minorEastAsia" w:eastAsiaTheme="minorEastAsia" w:cstheme="minorEastAsia"/>
                <w:szCs w:val="21"/>
                <w:highlight w:val="none"/>
              </w:rPr>
            </w:pPr>
          </w:p>
        </w:tc>
        <w:tc>
          <w:tcPr>
            <w:tcW w:w="845" w:type="dxa"/>
            <w:vMerge w:val="continue"/>
            <w:tcBorders>
              <w:tl2br w:val="nil"/>
              <w:tr2bl w:val="nil"/>
            </w:tcBorders>
            <w:vAlign w:val="center"/>
          </w:tcPr>
          <w:p>
            <w:pPr>
              <w:jc w:val="center"/>
              <w:rPr>
                <w:rFonts w:asciiTheme="minorEastAsia" w:hAnsiTheme="minorEastAsia" w:eastAsiaTheme="minorEastAsia" w:cstheme="minorEastAsia"/>
                <w:szCs w:val="21"/>
                <w:highlight w:val="none"/>
              </w:rPr>
            </w:pPr>
          </w:p>
        </w:tc>
        <w:tc>
          <w:tcPr>
            <w:tcW w:w="1402" w:type="dxa"/>
            <w:tcBorders>
              <w:tl2br w:val="nil"/>
              <w:tr2bl w:val="nil"/>
            </w:tcBorders>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计算机</w:t>
            </w:r>
          </w:p>
        </w:tc>
        <w:tc>
          <w:tcPr>
            <w:tcW w:w="10012" w:type="dxa"/>
            <w:tcBorders>
              <w:tl2br w:val="nil"/>
              <w:tr2bl w:val="nil"/>
            </w:tcBorders>
            <w:vAlign w:val="center"/>
          </w:tcPr>
          <w:p>
            <w:pP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lang w:eastAsia="zh-CN"/>
              </w:rPr>
              <w:t>商用</w:t>
            </w:r>
            <w:r>
              <w:rPr>
                <w:rFonts w:hint="eastAsia" w:asciiTheme="minorEastAsia" w:hAnsiTheme="minorEastAsia" w:eastAsiaTheme="minorEastAsia" w:cstheme="minorEastAsia"/>
                <w:szCs w:val="21"/>
                <w:highlight w:val="none"/>
              </w:rPr>
              <w:t>品牌机，i7处理器（</w:t>
            </w:r>
            <w:r>
              <w:rPr>
                <w:rFonts w:hint="eastAsia" w:asciiTheme="minorEastAsia" w:hAnsiTheme="minorEastAsia" w:eastAsiaTheme="minorEastAsia" w:cstheme="minorEastAsia"/>
                <w:szCs w:val="21"/>
                <w:highlight w:val="none"/>
                <w:lang w:val="en-US" w:eastAsia="zh-CN"/>
              </w:rPr>
              <w:t>10</w:t>
            </w:r>
            <w:r>
              <w:rPr>
                <w:rFonts w:hint="eastAsia" w:asciiTheme="minorEastAsia" w:hAnsiTheme="minorEastAsia" w:eastAsiaTheme="minorEastAsia" w:cstheme="minorEastAsia"/>
                <w:szCs w:val="21"/>
                <w:highlight w:val="none"/>
              </w:rPr>
              <w:t>代以上），主频≥4GHz，≥8G内存；硬盘：≥128G固态硬盘+1TB 7200rpm SATAIII ；27寸液晶显示器（含鼠标键盘，预装</w:t>
            </w:r>
            <w:r>
              <w:rPr>
                <w:rFonts w:hint="eastAsia" w:asciiTheme="minorEastAsia" w:hAnsiTheme="minorEastAsia" w:eastAsiaTheme="minorEastAsia" w:cstheme="minorEastAsia"/>
                <w:kern w:val="0"/>
                <w:szCs w:val="21"/>
                <w:highlight w:val="none"/>
              </w:rPr>
              <w:t>正版windows 10（非家庭版本）操作系统</w:t>
            </w:r>
            <w:r>
              <w:rPr>
                <w:rFonts w:hint="eastAsia" w:asciiTheme="minorEastAsia" w:hAnsiTheme="minorEastAsia" w:eastAsiaTheme="minorEastAsia" w:cstheme="minorEastAsia"/>
                <w:szCs w:val="21"/>
                <w:highlight w:val="none"/>
              </w:rPr>
              <w:t>），支持232串口输出；独立显卡:显存容量：≥4G DDR5，显存位宽：512bit核心频率：1000MHz显存频率：6800MHz；网卡：集成10/100/1000M自适应网卡；</w:t>
            </w:r>
          </w:p>
          <w:p>
            <w:pP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接口：前置至少2个USB，其中至少1个USB 3.0， 1个麦克风插孔，1个耳机/麦克风combo插孔；后置至少4个USB，其中至少2个USB3.0，2个PS/2，1个串口，1个VGA，1个 HDMI，1个DP，1个RJ-45，1个耳机插孔，1个麦克风插孔，1个Line-in插孔；</w:t>
            </w:r>
          </w:p>
          <w:p>
            <w:pP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主机与显示器联动开机</w:t>
            </w:r>
            <w:r>
              <w:rPr>
                <w:rFonts w:hint="eastAsia" w:asciiTheme="minorEastAsia" w:hAnsiTheme="minorEastAsia" w:eastAsiaTheme="minorEastAsia" w:cstheme="minorEastAsia"/>
                <w:szCs w:val="21"/>
                <w:highlight w:val="none"/>
                <w:lang w:eastAsia="zh-CN"/>
              </w:rPr>
              <w:t>。</w:t>
            </w:r>
            <w:r>
              <w:rPr>
                <w:rFonts w:hint="eastAsia" w:asciiTheme="minorEastAsia" w:hAnsiTheme="minorEastAsia" w:eastAsiaTheme="minorEastAsia" w:cstheme="minorEastAsia"/>
                <w:szCs w:val="21"/>
                <w:highlight w:val="none"/>
              </w:rPr>
              <w:t>提供提供环保认证</w:t>
            </w:r>
            <w:r>
              <w:rPr>
                <w:rFonts w:hint="eastAsia" w:asciiTheme="minorEastAsia" w:hAnsiTheme="minorEastAsia" w:eastAsiaTheme="minorEastAsia" w:cstheme="minorEastAsia"/>
                <w:szCs w:val="21"/>
                <w:highlight w:val="none"/>
                <w:lang w:eastAsia="zh-CN"/>
              </w:rPr>
              <w:t>、</w:t>
            </w:r>
            <w:r>
              <w:rPr>
                <w:rFonts w:hint="eastAsia" w:asciiTheme="minorEastAsia" w:hAnsiTheme="minorEastAsia" w:eastAsiaTheme="minorEastAsia" w:cstheme="minorEastAsia"/>
                <w:szCs w:val="21"/>
                <w:highlight w:val="none"/>
              </w:rPr>
              <w:t>厂家参数证明文件或相关证明材料</w:t>
            </w:r>
            <w:r>
              <w:rPr>
                <w:rFonts w:hint="eastAsia" w:asciiTheme="minorEastAsia" w:hAnsiTheme="minorEastAsia" w:eastAsiaTheme="minorEastAsia" w:cstheme="minorEastAsia"/>
                <w:szCs w:val="21"/>
                <w:highlight w:val="none"/>
                <w:lang w:eastAsia="zh-CN"/>
              </w:rPr>
              <w:t>或</w:t>
            </w:r>
            <w:r>
              <w:rPr>
                <w:rFonts w:hint="eastAsia" w:asciiTheme="minorEastAsia" w:hAnsiTheme="minorEastAsia" w:eastAsiaTheme="minorEastAsia" w:cstheme="minorEastAsia"/>
                <w:sz w:val="21"/>
                <w:szCs w:val="21"/>
                <w:highlight w:val="none"/>
              </w:rPr>
              <w:t>承诺</w:t>
            </w:r>
            <w:r>
              <w:rPr>
                <w:rFonts w:hint="eastAsia" w:asciiTheme="minorEastAsia" w:hAnsiTheme="minorEastAsia" w:eastAsiaTheme="minorEastAsia" w:cstheme="minorEastAsia"/>
                <w:sz w:val="21"/>
                <w:szCs w:val="21"/>
                <w:highlight w:val="none"/>
                <w:lang w:val="en-US" w:eastAsia="zh-CN"/>
              </w:rPr>
              <w:t>达到以上标准</w:t>
            </w:r>
            <w:r>
              <w:rPr>
                <w:rFonts w:hint="eastAsia" w:asciiTheme="minorEastAsia" w:hAnsiTheme="minorEastAsia" w:eastAsiaTheme="minorEastAsia" w:cstheme="minorEastAsia"/>
                <w:szCs w:val="21"/>
                <w:highlight w:val="none"/>
              </w:rPr>
              <w:t>并加盖投标人公章</w:t>
            </w:r>
          </w:p>
        </w:tc>
        <w:tc>
          <w:tcPr>
            <w:tcW w:w="781" w:type="dxa"/>
            <w:tcBorders>
              <w:tl2br w:val="nil"/>
              <w:tr2bl w:val="nil"/>
            </w:tcBorders>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693" w:type="dxa"/>
            <w:tcBorders>
              <w:tl2br w:val="nil"/>
              <w:tr2bl w:val="nil"/>
            </w:tcBorders>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30" w:hRule="atLeast"/>
          <w:jc w:val="center"/>
        </w:trPr>
        <w:tc>
          <w:tcPr>
            <w:tcW w:w="736" w:type="dxa"/>
            <w:vMerge w:val="continue"/>
            <w:tcBorders>
              <w:tl2br w:val="nil"/>
              <w:tr2bl w:val="nil"/>
            </w:tcBorders>
            <w:vAlign w:val="center"/>
          </w:tcPr>
          <w:p>
            <w:pPr>
              <w:jc w:val="center"/>
              <w:rPr>
                <w:rFonts w:asciiTheme="minorEastAsia" w:hAnsiTheme="minorEastAsia" w:eastAsiaTheme="minorEastAsia" w:cstheme="minorEastAsia"/>
                <w:szCs w:val="21"/>
                <w:highlight w:val="none"/>
              </w:rPr>
            </w:pPr>
          </w:p>
        </w:tc>
        <w:tc>
          <w:tcPr>
            <w:tcW w:w="845" w:type="dxa"/>
            <w:vMerge w:val="continue"/>
            <w:tcBorders>
              <w:tl2br w:val="nil"/>
              <w:tr2bl w:val="nil"/>
            </w:tcBorders>
            <w:vAlign w:val="center"/>
          </w:tcPr>
          <w:p>
            <w:pPr>
              <w:jc w:val="center"/>
              <w:rPr>
                <w:rFonts w:asciiTheme="minorEastAsia" w:hAnsiTheme="minorEastAsia" w:eastAsiaTheme="minorEastAsia" w:cstheme="minorEastAsia"/>
                <w:szCs w:val="21"/>
                <w:highlight w:val="none"/>
              </w:rPr>
            </w:pPr>
          </w:p>
        </w:tc>
        <w:tc>
          <w:tcPr>
            <w:tcW w:w="1402" w:type="dxa"/>
            <w:tcBorders>
              <w:tl2br w:val="nil"/>
              <w:tr2bl w:val="nil"/>
            </w:tcBorders>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配电柜</w:t>
            </w:r>
          </w:p>
        </w:tc>
        <w:tc>
          <w:tcPr>
            <w:tcW w:w="10012" w:type="dxa"/>
            <w:tcBorders>
              <w:tl2br w:val="nil"/>
              <w:tr2bl w:val="nil"/>
            </w:tcBorders>
            <w:vAlign w:val="center"/>
          </w:tcPr>
          <w:p>
            <w:pP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1、名称:30KW配电柜</w:t>
            </w:r>
          </w:p>
          <w:p>
            <w:pP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2、规格:30KW，配电箱总开关63A，远程控制显示屏开关电，箱体尺寸：780*500*260mm</w:t>
            </w:r>
          </w:p>
          <w:p>
            <w:pP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功能要求:（1）配电柜进线为三相五线制AC380V，投标方根据项目需求自行设计分电箱，从配电柜或分电箱到显示屏箱体的电源线为单相三线制AC220V，系统接线保证三相平衡；（2）系统浪涌保护，过压保护，漏电保护；具有过流、短路、过压、欠压保护功能；（3）配电柜采用分步顺序启动；配电柜门上配备各支路手动开关和状态指示灯；支持远程控制配电柜开关，支持定时控制功能；（4）防护等级:满足项目使用要求及相关标准，符合国家标准及规范</w:t>
            </w:r>
          </w:p>
          <w:p>
            <w:pP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备注:LED显示屏配电电源柜到上一级的进线电缆由投标单位负责安装完成。</w:t>
            </w:r>
          </w:p>
        </w:tc>
        <w:tc>
          <w:tcPr>
            <w:tcW w:w="781" w:type="dxa"/>
            <w:tcBorders>
              <w:tl2br w:val="nil"/>
              <w:tr2bl w:val="nil"/>
            </w:tcBorders>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693" w:type="dxa"/>
            <w:tcBorders>
              <w:tl2br w:val="nil"/>
              <w:tr2bl w:val="nil"/>
            </w:tcBorders>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2" w:hRule="atLeast"/>
          <w:jc w:val="center"/>
        </w:trPr>
        <w:tc>
          <w:tcPr>
            <w:tcW w:w="736" w:type="dxa"/>
            <w:vMerge w:val="continue"/>
            <w:tcBorders>
              <w:tl2br w:val="nil"/>
              <w:tr2bl w:val="nil"/>
            </w:tcBorders>
            <w:vAlign w:val="center"/>
          </w:tcPr>
          <w:p>
            <w:pPr>
              <w:jc w:val="center"/>
              <w:rPr>
                <w:rFonts w:asciiTheme="minorEastAsia" w:hAnsiTheme="minorEastAsia" w:eastAsiaTheme="minorEastAsia" w:cstheme="minorEastAsia"/>
                <w:szCs w:val="21"/>
                <w:highlight w:val="none"/>
              </w:rPr>
            </w:pPr>
          </w:p>
        </w:tc>
        <w:tc>
          <w:tcPr>
            <w:tcW w:w="845" w:type="dxa"/>
            <w:vMerge w:val="continue"/>
            <w:tcBorders>
              <w:tl2br w:val="nil"/>
              <w:tr2bl w:val="nil"/>
            </w:tcBorders>
            <w:vAlign w:val="center"/>
          </w:tcPr>
          <w:p>
            <w:pPr>
              <w:jc w:val="center"/>
              <w:rPr>
                <w:rFonts w:asciiTheme="minorEastAsia" w:hAnsiTheme="minorEastAsia" w:eastAsiaTheme="minorEastAsia" w:cstheme="minorEastAsia"/>
                <w:szCs w:val="21"/>
                <w:highlight w:val="none"/>
              </w:rPr>
            </w:pPr>
          </w:p>
        </w:tc>
        <w:tc>
          <w:tcPr>
            <w:tcW w:w="1402" w:type="dxa"/>
            <w:tcBorders>
              <w:tl2br w:val="nil"/>
              <w:tr2bl w:val="nil"/>
            </w:tcBorders>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安装结构及边框装饰及电缆</w:t>
            </w:r>
          </w:p>
        </w:tc>
        <w:tc>
          <w:tcPr>
            <w:tcW w:w="10012" w:type="dxa"/>
            <w:tcBorders>
              <w:tl2br w:val="nil"/>
              <w:tr2bl w:val="nil"/>
            </w:tcBorders>
            <w:vAlign w:val="center"/>
          </w:tcPr>
          <w:p>
            <w:pP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根据现场环境定制，须与周边环境相配套，焊接处做防锈处理，钢结构室内挂墙安装。</w:t>
            </w:r>
          </w:p>
          <w:p>
            <w:pP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结构合理性及安全性：为确保钢结构施工安全性和屏体安装的合理及长期安全。</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电源接线投标人须根据现场电源位置及接线要求配备符合规定的电缆、电线及辅材确保设备正常通电运行。</w:t>
            </w:r>
          </w:p>
        </w:tc>
        <w:tc>
          <w:tcPr>
            <w:tcW w:w="781" w:type="dxa"/>
            <w:tcBorders>
              <w:tl2br w:val="nil"/>
              <w:tr2bl w:val="nil"/>
            </w:tcBorders>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693" w:type="dxa"/>
            <w:tcBorders>
              <w:tl2br w:val="nil"/>
              <w:tr2bl w:val="nil"/>
            </w:tcBorders>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65" w:hRule="atLeast"/>
          <w:jc w:val="center"/>
        </w:trPr>
        <w:tc>
          <w:tcPr>
            <w:tcW w:w="736" w:type="dxa"/>
            <w:vMerge w:val="restart"/>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二</w:t>
            </w:r>
          </w:p>
        </w:tc>
        <w:tc>
          <w:tcPr>
            <w:tcW w:w="845" w:type="dxa"/>
            <w:vMerge w:val="restart"/>
            <w:shd w:val="clear" w:color="auto" w:fill="auto"/>
            <w:vAlign w:val="center"/>
          </w:tcPr>
          <w:p>
            <w:pPr>
              <w:jc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舞台灯光</w:t>
            </w:r>
          </w:p>
        </w:tc>
        <w:tc>
          <w:tcPr>
            <w:tcW w:w="1402" w:type="dxa"/>
            <w:shd w:val="clear" w:color="auto" w:fill="auto"/>
            <w:vAlign w:val="center"/>
          </w:tcPr>
          <w:p>
            <w:pPr>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LED4眼面光灯</w:t>
            </w:r>
          </w:p>
        </w:tc>
        <w:tc>
          <w:tcPr>
            <w:tcW w:w="10012" w:type="dxa"/>
            <w:shd w:val="clear" w:color="auto" w:fill="auto"/>
            <w:vAlign w:val="center"/>
          </w:tcPr>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电压：100-240V/50-60Hz</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功率：250W</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光源：原装进口LED（3000K-5000K色温可调）</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显指IR＞90</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线性调光，20K HZ高刷新频率，拍摄无抖动</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智能自动DMX信号连接，自动主从</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新增智能RDM（远程调地址码）和CTO功能</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白光色温可调</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单颗灯珠可控，可做观众灯效果</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个性化结构设计优化散热处理</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智能温控系统保护灯具性能</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角度：25°</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通道：4/12ch 7种通道模式可选</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信号线电源线手拉手出线</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含灯钩</w:t>
            </w:r>
          </w:p>
        </w:tc>
        <w:tc>
          <w:tcPr>
            <w:tcW w:w="781"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8</w:t>
            </w:r>
          </w:p>
        </w:tc>
        <w:tc>
          <w:tcPr>
            <w:tcW w:w="693"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36" w:hRule="atLeast"/>
          <w:jc w:val="center"/>
        </w:trPr>
        <w:tc>
          <w:tcPr>
            <w:tcW w:w="736" w:type="dxa"/>
            <w:vMerge w:val="continue"/>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p>
        </w:tc>
        <w:tc>
          <w:tcPr>
            <w:tcW w:w="845" w:type="dxa"/>
            <w:vMerge w:val="continue"/>
            <w:shd w:val="clear" w:color="auto" w:fill="auto"/>
            <w:vAlign w:val="center"/>
          </w:tcPr>
          <w:p>
            <w:pPr>
              <w:jc w:val="center"/>
              <w:rPr>
                <w:rFonts w:asciiTheme="minorEastAsia" w:hAnsiTheme="minorEastAsia" w:eastAsiaTheme="minorEastAsia" w:cstheme="minorEastAsia"/>
                <w:color w:val="000000"/>
                <w:kern w:val="0"/>
                <w:szCs w:val="21"/>
                <w:highlight w:val="none"/>
                <w:lang w:bidi="ar"/>
              </w:rPr>
            </w:pPr>
          </w:p>
        </w:tc>
        <w:tc>
          <w:tcPr>
            <w:tcW w:w="1402" w:type="dxa"/>
            <w:shd w:val="clear" w:color="auto" w:fill="auto"/>
            <w:vAlign w:val="center"/>
          </w:tcPr>
          <w:p>
            <w:pPr>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LED五合一全彩舞台灯</w:t>
            </w:r>
          </w:p>
        </w:tc>
        <w:tc>
          <w:tcPr>
            <w:tcW w:w="10012" w:type="dxa"/>
            <w:shd w:val="clear" w:color="auto" w:fill="auto"/>
            <w:vAlign w:val="center"/>
          </w:tcPr>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 xml:space="preserve">电压：AC90-245V AC 功率200W 光源：18*10W   灯珠寿命：&gt;1000000小时 调光：0-100%线性调光 控制模式：DMX512，通道：8CH 控制面板：数码显示 外壳材料及颜色：铝合金；黑色 适用于专业舞台/影像工作室/剧院/染色效果的应用 </w:t>
            </w:r>
          </w:p>
          <w:p>
            <w:pPr>
              <w:widowControl/>
              <w:jc w:val="left"/>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含灯钩</w:t>
            </w:r>
          </w:p>
        </w:tc>
        <w:tc>
          <w:tcPr>
            <w:tcW w:w="781"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16</w:t>
            </w:r>
          </w:p>
        </w:tc>
        <w:tc>
          <w:tcPr>
            <w:tcW w:w="693"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736" w:type="dxa"/>
            <w:vMerge w:val="continue"/>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p>
        </w:tc>
        <w:tc>
          <w:tcPr>
            <w:tcW w:w="845" w:type="dxa"/>
            <w:vMerge w:val="continue"/>
            <w:shd w:val="clear" w:color="auto" w:fill="auto"/>
            <w:vAlign w:val="center"/>
          </w:tcPr>
          <w:p>
            <w:pPr>
              <w:jc w:val="center"/>
              <w:rPr>
                <w:rFonts w:asciiTheme="minorEastAsia" w:hAnsiTheme="minorEastAsia" w:eastAsiaTheme="minorEastAsia" w:cstheme="minorEastAsia"/>
                <w:color w:val="000000"/>
                <w:kern w:val="0"/>
                <w:szCs w:val="21"/>
                <w:highlight w:val="none"/>
                <w:lang w:bidi="ar"/>
              </w:rPr>
            </w:pPr>
          </w:p>
        </w:tc>
        <w:tc>
          <w:tcPr>
            <w:tcW w:w="1402" w:type="dxa"/>
            <w:shd w:val="clear" w:color="auto" w:fill="auto"/>
            <w:vAlign w:val="center"/>
          </w:tcPr>
          <w:p>
            <w:pPr>
              <w:jc w:val="center"/>
              <w:rPr>
                <w:rFonts w:hint="default" w:asciiTheme="minorEastAsia" w:hAnsiTheme="minorEastAsia" w:eastAsiaTheme="minorEastAsia" w:cstheme="minorEastAsia"/>
                <w:color w:val="000000"/>
                <w:kern w:val="0"/>
                <w:szCs w:val="21"/>
                <w:highlight w:val="none"/>
                <w:lang w:val="en-US" w:bidi="ar"/>
              </w:rPr>
            </w:pPr>
            <w:r>
              <w:rPr>
                <w:rFonts w:hint="eastAsia" w:asciiTheme="minorEastAsia" w:hAnsiTheme="minorEastAsia" w:eastAsiaTheme="minorEastAsia" w:cstheme="minorEastAsia"/>
                <w:color w:val="000000"/>
                <w:kern w:val="0"/>
                <w:szCs w:val="21"/>
                <w:highlight w:val="none"/>
                <w:lang w:val="en-US" w:eastAsia="zh-CN" w:bidi="ar"/>
              </w:rPr>
              <w:t>LED会议灯</w:t>
            </w:r>
          </w:p>
        </w:tc>
        <w:tc>
          <w:tcPr>
            <w:tcW w:w="10012" w:type="dxa"/>
            <w:shd w:val="clear" w:color="auto" w:fill="auto"/>
            <w:vAlign w:val="center"/>
          </w:tcPr>
          <w:p>
            <w:pPr>
              <w:widowControl/>
              <w:jc w:val="left"/>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输入电压 220（V）</w:t>
            </w:r>
            <w:r>
              <w:rPr>
                <w:rFonts w:hint="eastAsia" w:asciiTheme="minorEastAsia" w:hAnsiTheme="minorEastAsia" w:eastAsiaTheme="minorEastAsia" w:cstheme="minorEastAsia"/>
                <w:szCs w:val="21"/>
                <w:highlight w:val="none"/>
                <w:lang w:eastAsia="zh-CN"/>
              </w:rPr>
              <w:t>，</w:t>
            </w:r>
            <w:r>
              <w:rPr>
                <w:rFonts w:hint="eastAsia" w:asciiTheme="minorEastAsia" w:hAnsiTheme="minorEastAsia" w:eastAsiaTheme="minorEastAsia" w:cstheme="minorEastAsia"/>
                <w:szCs w:val="21"/>
                <w:highlight w:val="none"/>
              </w:rPr>
              <w:t>LED芯片封装工艺 贴片式</w:t>
            </w:r>
          </w:p>
        </w:tc>
        <w:tc>
          <w:tcPr>
            <w:tcW w:w="781"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4</w:t>
            </w:r>
          </w:p>
        </w:tc>
        <w:tc>
          <w:tcPr>
            <w:tcW w:w="693"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Cs w:val="21"/>
                <w:highlight w:val="none"/>
                <w:lang w:eastAsia="zh-CN" w:bidi="ar"/>
              </w:rPr>
            </w:pPr>
            <w:r>
              <w:rPr>
                <w:rFonts w:hint="eastAsia" w:asciiTheme="minorEastAsia" w:hAnsiTheme="minorEastAsia" w:eastAsiaTheme="minorEastAsia" w:cstheme="minorEastAsia"/>
                <w:color w:val="000000"/>
                <w:kern w:val="0"/>
                <w:szCs w:val="21"/>
                <w:highlight w:val="none"/>
                <w:lang w:eastAsia="zh-CN" w:bidi="ar"/>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60" w:hRule="atLeast"/>
          <w:jc w:val="center"/>
        </w:trPr>
        <w:tc>
          <w:tcPr>
            <w:tcW w:w="736" w:type="dxa"/>
            <w:vMerge w:val="continue"/>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p>
        </w:tc>
        <w:tc>
          <w:tcPr>
            <w:tcW w:w="845" w:type="dxa"/>
            <w:vMerge w:val="continue"/>
            <w:shd w:val="clear" w:color="auto" w:fill="auto"/>
            <w:vAlign w:val="center"/>
          </w:tcPr>
          <w:p>
            <w:pPr>
              <w:jc w:val="center"/>
              <w:rPr>
                <w:rFonts w:asciiTheme="minorEastAsia" w:hAnsiTheme="minorEastAsia" w:eastAsiaTheme="minorEastAsia" w:cstheme="minorEastAsia"/>
                <w:color w:val="000000"/>
                <w:kern w:val="0"/>
                <w:szCs w:val="21"/>
                <w:highlight w:val="none"/>
                <w:lang w:bidi="ar"/>
              </w:rPr>
            </w:pPr>
          </w:p>
        </w:tc>
        <w:tc>
          <w:tcPr>
            <w:tcW w:w="1402" w:type="dxa"/>
            <w:vMerge w:val="restart"/>
            <w:shd w:val="clear" w:color="auto" w:fill="auto"/>
            <w:vAlign w:val="center"/>
          </w:tcPr>
          <w:p>
            <w:pPr>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230W光束摇头灯</w:t>
            </w:r>
          </w:p>
        </w:tc>
        <w:tc>
          <w:tcPr>
            <w:tcW w:w="10012" w:type="dxa"/>
            <w:shd w:val="clear" w:color="auto" w:fill="auto"/>
            <w:vAlign w:val="center"/>
          </w:tcPr>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光、电源系统</w:t>
            </w:r>
          </w:p>
          <w:p>
            <w:pPr>
              <w:numPr>
                <w:ilvl w:val="0"/>
                <w:numId w:val="5"/>
              </w:num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输入电压：AC100~240V 50/60Hz</w:t>
            </w:r>
          </w:p>
          <w:p>
            <w:pPr>
              <w:numPr>
                <w:ilvl w:val="0"/>
                <w:numId w:val="5"/>
              </w:num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光    源：230W  OSRAM SIRIUS HRI® 230 LL</w:t>
            </w:r>
          </w:p>
          <w:p>
            <w:pPr>
              <w:numPr>
                <w:ilvl w:val="0"/>
                <w:numId w:val="5"/>
              </w:num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额定功率：</w:t>
            </w:r>
            <w:r>
              <w:rPr>
                <w:rFonts w:hint="eastAsia" w:asciiTheme="minorEastAsia" w:hAnsiTheme="minorEastAsia" w:eastAsiaTheme="minorEastAsia" w:cstheme="minorEastAsia"/>
                <w:color w:val="333333"/>
                <w:szCs w:val="21"/>
                <w:highlight w:val="none"/>
              </w:rPr>
              <w:t> 345W</w:t>
            </w:r>
          </w:p>
          <w:p>
            <w:pPr>
              <w:numPr>
                <w:ilvl w:val="0"/>
                <w:numId w:val="5"/>
              </w:num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光源理论寿命：6000H</w:t>
            </w:r>
          </w:p>
          <w:p>
            <w:pPr>
              <w:numPr>
                <w:ilvl w:val="0"/>
                <w:numId w:val="5"/>
              </w:num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光源色温：8000K</w:t>
            </w:r>
          </w:p>
          <w:p>
            <w:pPr>
              <w:numPr>
                <w:ilvl w:val="0"/>
                <w:numId w:val="5"/>
              </w:num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频    闪：双频闪结构,0.5-9次/秒可调</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颜色/图案/效果</w:t>
            </w:r>
          </w:p>
          <w:p>
            <w:pPr>
              <w:numPr>
                <w:ilvl w:val="0"/>
                <w:numId w:val="6"/>
              </w:num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色    盘： 1白光+14色片</w:t>
            </w:r>
          </w:p>
          <w:p>
            <w:pPr>
              <w:numPr>
                <w:ilvl w:val="0"/>
                <w:numId w:val="6"/>
              </w:num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棱    镜：8棱镜+16双阶棱镜+多种组合效果</w:t>
            </w:r>
          </w:p>
          <w:p>
            <w:pPr>
              <w:numPr>
                <w:ilvl w:val="0"/>
                <w:numId w:val="6"/>
              </w:num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固定图案盘：1白光+11图案+3animation range</w:t>
            </w:r>
          </w:p>
          <w:p>
            <w:pPr>
              <w:numPr>
                <w:ilvl w:val="0"/>
                <w:numId w:val="6"/>
              </w:num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光束角度：2.5°</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控制系统</w:t>
            </w:r>
          </w:p>
          <w:p>
            <w:pPr>
              <w:numPr>
                <w:ilvl w:val="0"/>
                <w:numId w:val="7"/>
              </w:num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控制方式：DMX512、RDM</w:t>
            </w:r>
          </w:p>
          <w:p>
            <w:pPr>
              <w:numPr>
                <w:ilvl w:val="0"/>
                <w:numId w:val="7"/>
              </w:num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通    道：14CH/16CH</w:t>
            </w:r>
          </w:p>
          <w:p>
            <w:pPr>
              <w:numPr>
                <w:ilvl w:val="0"/>
                <w:numId w:val="7"/>
              </w:num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投光范围：X向540度,Y向270度,可自动校正定位</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外观参数</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灯体尺寸：  380X280X477mm</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其他设备附件</w:t>
            </w:r>
          </w:p>
          <w:p>
            <w:pPr>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szCs w:val="21"/>
                <w:highlight w:val="none"/>
              </w:rPr>
              <w:t>灯钩组件、三芯公母卡农线、AC电源输入线、电线进线公座（白色）、保险绳、信号线、保修卡、使用说明书。</w:t>
            </w:r>
          </w:p>
        </w:tc>
        <w:tc>
          <w:tcPr>
            <w:tcW w:w="781" w:type="dxa"/>
            <w:vMerge w:val="restart"/>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4</w:t>
            </w:r>
          </w:p>
        </w:tc>
        <w:tc>
          <w:tcPr>
            <w:tcW w:w="693" w:type="dxa"/>
            <w:vMerge w:val="restart"/>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88" w:hRule="atLeast"/>
          <w:jc w:val="center"/>
        </w:trPr>
        <w:tc>
          <w:tcPr>
            <w:tcW w:w="736" w:type="dxa"/>
            <w:vMerge w:val="continue"/>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highlight w:val="none"/>
                <w:lang w:bidi="ar"/>
              </w:rPr>
            </w:pPr>
          </w:p>
        </w:tc>
        <w:tc>
          <w:tcPr>
            <w:tcW w:w="845" w:type="dxa"/>
            <w:vMerge w:val="continue"/>
            <w:shd w:val="clear" w:color="auto" w:fill="auto"/>
            <w:vAlign w:val="center"/>
          </w:tcPr>
          <w:p>
            <w:pPr>
              <w:jc w:val="center"/>
              <w:rPr>
                <w:rFonts w:asciiTheme="minorEastAsia" w:hAnsiTheme="minorEastAsia" w:eastAsiaTheme="minorEastAsia" w:cstheme="minorEastAsia"/>
                <w:color w:val="000000"/>
                <w:szCs w:val="21"/>
                <w:highlight w:val="none"/>
              </w:rPr>
            </w:pPr>
          </w:p>
        </w:tc>
        <w:tc>
          <w:tcPr>
            <w:tcW w:w="1402" w:type="dxa"/>
            <w:vMerge w:val="continue"/>
            <w:shd w:val="clear" w:color="auto" w:fill="auto"/>
            <w:vAlign w:val="center"/>
          </w:tcPr>
          <w:p>
            <w:pPr>
              <w:jc w:val="center"/>
              <w:rPr>
                <w:rFonts w:asciiTheme="minorEastAsia" w:hAnsiTheme="minorEastAsia" w:eastAsiaTheme="minorEastAsia" w:cstheme="minorEastAsia"/>
                <w:color w:val="000000"/>
                <w:szCs w:val="21"/>
                <w:highlight w:val="none"/>
              </w:rPr>
            </w:pPr>
          </w:p>
        </w:tc>
        <w:tc>
          <w:tcPr>
            <w:tcW w:w="10012" w:type="dxa"/>
            <w:shd w:val="clear" w:color="auto" w:fill="auto"/>
            <w:vAlign w:val="center"/>
          </w:tcPr>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光源</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光源：OSRAM SIRIUS HRI 370WLL</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灯泡预期使用寿命：6000小时</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光学系统</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先进的光学系统确保清晰的成像质量</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高效的光学系统</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光束角度：2°</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控制与程序</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4个触摸按键</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控制面板：内置LCD液晶面板</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控制模式：DMX512,主副机，RDM</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DMX通道模式：2种</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控制通道：14.17</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X轴/Y轴：16bit精度扫描</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通过DMX连接更新软件</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X轴/Y轴</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X轴运转角度：540°</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Y轴运转角度：270°</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X轴/Y轴位置自动校正</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运用数位波型校正技术，保证X/Y轴精确定位，使其在高速运行与复位后不跑位。</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固定图案盘</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1个固定图案盘，16个图案加1个白圆</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颜色盘</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1个颜色盘，14种颜色加白光</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电气与接口</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自适配电源</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输入电压范围：AC100-240V.50/60Hz</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功率：570W</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直出线</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DMX/RDM信号输入/输出：三芯卡侬头插座</w:t>
            </w:r>
          </w:p>
          <w:p>
            <w:pPr>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含灯钩</w:t>
            </w:r>
          </w:p>
        </w:tc>
        <w:tc>
          <w:tcPr>
            <w:tcW w:w="781" w:type="dxa"/>
            <w:vMerge w:val="continue"/>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highlight w:val="none"/>
                <w:lang w:bidi="ar"/>
              </w:rPr>
            </w:pPr>
          </w:p>
        </w:tc>
        <w:tc>
          <w:tcPr>
            <w:tcW w:w="693" w:type="dxa"/>
            <w:vMerge w:val="continue"/>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21" w:hRule="atLeast"/>
          <w:jc w:val="center"/>
        </w:trPr>
        <w:tc>
          <w:tcPr>
            <w:tcW w:w="736" w:type="dxa"/>
            <w:vMerge w:val="continue"/>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p>
        </w:tc>
        <w:tc>
          <w:tcPr>
            <w:tcW w:w="845" w:type="dxa"/>
            <w:vMerge w:val="continue"/>
            <w:shd w:val="clear" w:color="auto" w:fill="auto"/>
            <w:vAlign w:val="center"/>
          </w:tcPr>
          <w:p>
            <w:pPr>
              <w:jc w:val="center"/>
              <w:rPr>
                <w:rFonts w:asciiTheme="minorEastAsia" w:hAnsiTheme="minorEastAsia" w:eastAsiaTheme="minorEastAsia" w:cstheme="minorEastAsia"/>
                <w:color w:val="000000"/>
                <w:kern w:val="0"/>
                <w:szCs w:val="21"/>
                <w:highlight w:val="none"/>
                <w:lang w:bidi="ar"/>
              </w:rPr>
            </w:pPr>
          </w:p>
        </w:tc>
        <w:tc>
          <w:tcPr>
            <w:tcW w:w="1402" w:type="dxa"/>
            <w:shd w:val="clear" w:color="auto" w:fill="auto"/>
            <w:vAlign w:val="center"/>
          </w:tcPr>
          <w:p>
            <w:pPr>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8路信号放大器</w:t>
            </w:r>
          </w:p>
        </w:tc>
        <w:tc>
          <w:tcPr>
            <w:tcW w:w="10012" w:type="dxa"/>
            <w:shd w:val="clear" w:color="auto" w:fill="auto"/>
            <w:vAlign w:val="center"/>
          </w:tcPr>
          <w:p>
            <w:pPr>
              <w:widowControl/>
              <w:jc w:val="left"/>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 xml:space="preserve">特点：数字信号类型：DMX512/1990                                  </w:t>
            </w:r>
            <w:r>
              <w:rPr>
                <w:rFonts w:hint="eastAsia" w:asciiTheme="minorEastAsia" w:hAnsiTheme="minorEastAsia" w:eastAsiaTheme="minorEastAsia" w:cstheme="minorEastAsia"/>
                <w:color w:val="000000"/>
                <w:kern w:val="0"/>
                <w:szCs w:val="21"/>
                <w:highlight w:val="none"/>
                <w:lang w:bidi="ar"/>
              </w:rPr>
              <w:br w:type="textWrapping"/>
            </w:r>
            <w:r>
              <w:rPr>
                <w:rFonts w:hint="eastAsia" w:asciiTheme="minorEastAsia" w:hAnsiTheme="minorEastAsia" w:eastAsiaTheme="minorEastAsia" w:cstheme="minorEastAsia"/>
                <w:color w:val="000000"/>
                <w:kern w:val="0"/>
                <w:szCs w:val="21"/>
                <w:highlight w:val="none"/>
                <w:lang w:bidi="ar"/>
              </w:rPr>
              <w:t xml:space="preserve"> ·1路输入，1路直通输出（非隔离）。                                   </w:t>
            </w:r>
            <w:r>
              <w:rPr>
                <w:rFonts w:hint="eastAsia" w:asciiTheme="minorEastAsia" w:hAnsiTheme="minorEastAsia" w:eastAsiaTheme="minorEastAsia" w:cstheme="minorEastAsia"/>
                <w:color w:val="000000"/>
                <w:kern w:val="0"/>
                <w:szCs w:val="21"/>
                <w:highlight w:val="none"/>
                <w:lang w:bidi="ar"/>
              </w:rPr>
              <w:br w:type="textWrapping"/>
            </w:r>
            <w:r>
              <w:rPr>
                <w:rFonts w:hint="eastAsia" w:asciiTheme="minorEastAsia" w:hAnsiTheme="minorEastAsia" w:eastAsiaTheme="minorEastAsia" w:cstheme="minorEastAsia"/>
                <w:color w:val="000000"/>
                <w:kern w:val="0"/>
                <w:szCs w:val="21"/>
                <w:highlight w:val="none"/>
                <w:lang w:bidi="ar"/>
              </w:rPr>
              <w:t xml:space="preserve"> ·4路光隔离信号分配输出 。                                                            </w:t>
            </w:r>
            <w:r>
              <w:rPr>
                <w:rFonts w:hint="eastAsia" w:asciiTheme="minorEastAsia" w:hAnsiTheme="minorEastAsia" w:eastAsiaTheme="minorEastAsia" w:cstheme="minorEastAsia"/>
                <w:color w:val="000000"/>
                <w:kern w:val="0"/>
                <w:szCs w:val="21"/>
                <w:highlight w:val="none"/>
                <w:lang w:bidi="ar"/>
              </w:rPr>
              <w:br w:type="textWrapping"/>
            </w:r>
            <w:r>
              <w:rPr>
                <w:rFonts w:hint="eastAsia" w:asciiTheme="minorEastAsia" w:hAnsiTheme="minorEastAsia" w:eastAsiaTheme="minorEastAsia" w:cstheme="minorEastAsia"/>
                <w:color w:val="000000"/>
                <w:kern w:val="0"/>
                <w:szCs w:val="21"/>
                <w:highlight w:val="none"/>
                <w:lang w:bidi="ar"/>
              </w:rPr>
              <w:t>·各输入输出接口之间的电气隔离电压：&gt;1000V</w:t>
            </w:r>
            <w:r>
              <w:rPr>
                <w:rFonts w:hint="eastAsia" w:asciiTheme="minorEastAsia" w:hAnsiTheme="minorEastAsia" w:eastAsiaTheme="minorEastAsia" w:cstheme="minorEastAsia"/>
                <w:color w:val="000000"/>
                <w:kern w:val="0"/>
                <w:szCs w:val="21"/>
                <w:highlight w:val="none"/>
                <w:lang w:bidi="ar"/>
              </w:rPr>
              <w:br w:type="textWrapping"/>
            </w:r>
            <w:r>
              <w:rPr>
                <w:rFonts w:hint="eastAsia" w:asciiTheme="minorEastAsia" w:hAnsiTheme="minorEastAsia" w:eastAsiaTheme="minorEastAsia" w:cstheme="minorEastAsia"/>
                <w:color w:val="000000"/>
                <w:kern w:val="0"/>
                <w:szCs w:val="21"/>
                <w:highlight w:val="none"/>
                <w:lang w:bidi="ar"/>
              </w:rPr>
              <w:t xml:space="preserve">·每路带一个数字信号指示灯                                              </w:t>
            </w:r>
            <w:r>
              <w:rPr>
                <w:rFonts w:hint="eastAsia" w:asciiTheme="minorEastAsia" w:hAnsiTheme="minorEastAsia" w:eastAsiaTheme="minorEastAsia" w:cstheme="minorEastAsia"/>
                <w:color w:val="000000"/>
                <w:kern w:val="0"/>
                <w:szCs w:val="21"/>
                <w:highlight w:val="none"/>
                <w:lang w:bidi="ar"/>
              </w:rPr>
              <w:br w:type="textWrapping"/>
            </w:r>
            <w:r>
              <w:rPr>
                <w:rFonts w:hint="eastAsia" w:asciiTheme="minorEastAsia" w:hAnsiTheme="minorEastAsia" w:eastAsiaTheme="minorEastAsia" w:cstheme="minorEastAsia"/>
                <w:color w:val="000000"/>
                <w:kern w:val="0"/>
                <w:szCs w:val="21"/>
                <w:highlight w:val="none"/>
                <w:lang w:bidi="ar"/>
              </w:rPr>
              <w:t xml:space="preserve"> ·DMX信号输入连接器：XLR-D3M /XLR-D5M</w:t>
            </w:r>
          </w:p>
        </w:tc>
        <w:tc>
          <w:tcPr>
            <w:tcW w:w="781"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1</w:t>
            </w:r>
          </w:p>
        </w:tc>
        <w:tc>
          <w:tcPr>
            <w:tcW w:w="693"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1" w:hRule="atLeast"/>
          <w:jc w:val="center"/>
        </w:trPr>
        <w:tc>
          <w:tcPr>
            <w:tcW w:w="736" w:type="dxa"/>
            <w:vMerge w:val="continue"/>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p>
        </w:tc>
        <w:tc>
          <w:tcPr>
            <w:tcW w:w="845" w:type="dxa"/>
            <w:vMerge w:val="continue"/>
            <w:shd w:val="clear" w:color="auto" w:fill="auto"/>
            <w:vAlign w:val="center"/>
          </w:tcPr>
          <w:p>
            <w:pPr>
              <w:spacing w:line="400" w:lineRule="exact"/>
              <w:jc w:val="center"/>
              <w:rPr>
                <w:rFonts w:asciiTheme="minorEastAsia" w:hAnsiTheme="minorEastAsia" w:eastAsiaTheme="minorEastAsia" w:cstheme="minorEastAsia"/>
                <w:color w:val="000000"/>
                <w:kern w:val="0"/>
                <w:szCs w:val="21"/>
                <w:highlight w:val="none"/>
                <w:lang w:bidi="ar"/>
              </w:rPr>
            </w:pPr>
          </w:p>
        </w:tc>
        <w:tc>
          <w:tcPr>
            <w:tcW w:w="1402" w:type="dxa"/>
            <w:shd w:val="clear" w:color="auto" w:fill="auto"/>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电脑灯控台</w:t>
            </w:r>
          </w:p>
        </w:tc>
        <w:tc>
          <w:tcPr>
            <w:tcW w:w="10012" w:type="dxa"/>
            <w:shd w:val="clear" w:color="auto" w:fill="auto"/>
            <w:vAlign w:val="center"/>
          </w:tcPr>
          <w:p>
            <w:pPr>
              <w:widowControl/>
              <w:numPr>
                <w:ilvl w:val="0"/>
                <w:numId w:val="8"/>
              </w:numPr>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配套U盘可备份控台数据, 并支持重新导入到控台使用, 同型号控台数据可DMX512/1990标准, 最大1024个DMX控制通道, 两路光电隔离信号输出.</w:t>
            </w:r>
          </w:p>
          <w:p>
            <w:pPr>
              <w:widowControl/>
              <w:numPr>
                <w:ilvl w:val="0"/>
                <w:numId w:val="8"/>
              </w:numPr>
              <w:shd w:val="clear" w:color="auto" w:fill="FFFFFF"/>
              <w:snapToGrid w:val="0"/>
              <w:jc w:val="left"/>
              <w:rPr>
                <w:rFonts w:asciiTheme="minorEastAsia" w:hAnsiTheme="minorEastAsia" w:eastAsiaTheme="minorEastAsia" w:cstheme="minorEastAsia"/>
                <w:color w:val="000000"/>
                <w:kern w:val="0"/>
                <w:szCs w:val="21"/>
                <w:highlight w:val="none"/>
                <w:shd w:val="clear" w:color="auto" w:fill="FFFFFF"/>
              </w:rPr>
            </w:pPr>
            <w:r>
              <w:rPr>
                <w:rFonts w:hint="eastAsia" w:asciiTheme="minorEastAsia" w:hAnsiTheme="minorEastAsia" w:eastAsiaTheme="minorEastAsia" w:cstheme="minorEastAsia"/>
                <w:color w:val="000000"/>
                <w:kern w:val="0"/>
                <w:szCs w:val="21"/>
                <w:highlight w:val="none"/>
                <w:shd w:val="clear" w:color="auto" w:fill="FFFFFF"/>
              </w:rPr>
              <w:t>最大控制≥120台电脑灯或120路调光.</w:t>
            </w:r>
          </w:p>
          <w:p>
            <w:pPr>
              <w:widowControl/>
              <w:numPr>
                <w:ilvl w:val="0"/>
                <w:numId w:val="8"/>
              </w:numPr>
              <w:shd w:val="clear" w:color="auto" w:fill="FFFFFF"/>
              <w:snapToGrid w:val="0"/>
              <w:jc w:val="left"/>
              <w:rPr>
                <w:rFonts w:asciiTheme="minorEastAsia" w:hAnsiTheme="minorEastAsia" w:eastAsiaTheme="minorEastAsia" w:cstheme="minorEastAsia"/>
                <w:color w:val="000000"/>
                <w:kern w:val="0"/>
                <w:szCs w:val="21"/>
                <w:highlight w:val="none"/>
                <w:shd w:val="clear" w:color="auto" w:fill="FFFFFF"/>
              </w:rPr>
            </w:pPr>
            <w:r>
              <w:rPr>
                <w:rFonts w:hint="eastAsia" w:asciiTheme="minorEastAsia" w:hAnsiTheme="minorEastAsia" w:eastAsiaTheme="minorEastAsia" w:cstheme="minorEastAsia"/>
                <w:color w:val="000000"/>
                <w:kern w:val="0"/>
                <w:szCs w:val="21"/>
                <w:highlight w:val="none"/>
                <w:shd w:val="clear" w:color="auto" w:fill="FFFFFF"/>
              </w:rPr>
              <w:t>新增Art-net网络端口，带内置模拟器功能，可直接在电脑进行灯光模拟。同时还可用网线代替信号线，连接灯具</w:t>
            </w:r>
          </w:p>
          <w:p>
            <w:pPr>
              <w:widowControl/>
              <w:numPr>
                <w:ilvl w:val="0"/>
                <w:numId w:val="8"/>
              </w:numPr>
              <w:shd w:val="clear" w:color="auto" w:fill="FFFFFF"/>
              <w:snapToGrid w:val="0"/>
              <w:jc w:val="left"/>
              <w:rPr>
                <w:rFonts w:asciiTheme="minorEastAsia" w:hAnsiTheme="minorEastAsia" w:eastAsiaTheme="minorEastAsia" w:cstheme="minorEastAsia"/>
                <w:color w:val="000000"/>
                <w:kern w:val="0"/>
                <w:szCs w:val="21"/>
                <w:highlight w:val="none"/>
                <w:shd w:val="clear" w:color="auto" w:fill="FFFFFF"/>
              </w:rPr>
            </w:pPr>
            <w:r>
              <w:rPr>
                <w:rFonts w:hint="eastAsia" w:asciiTheme="minorEastAsia" w:hAnsiTheme="minorEastAsia" w:eastAsiaTheme="minorEastAsia" w:cstheme="minorEastAsia"/>
                <w:color w:val="000000"/>
                <w:kern w:val="0"/>
                <w:szCs w:val="21"/>
                <w:highlight w:val="none"/>
                <w:shd w:val="clear" w:color="auto" w:fill="FFFFFF"/>
              </w:rPr>
              <w:t>RDM双向信号输出，可直接在控台设置灯的地址码</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3. 使用珍珠灯库(R20格式灯库), 且控台上可自行编写灯库.</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4. 带背光的LCD显示屏, 首创的中英文显示可切换界面, 面板中英文可选.</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5. 内置图形轨迹发生器, 有227个内置图形, 方便用户对电脑灯进行图形轨迹控制, 如画圆、螺旋、彩虹、追逐等多种效果.</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6. 图形参数(如: 振幅、速度、间隔、波浪、方向)均可独立设置, 更方便快捷的做出想要的造型和场景.</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7. 每个场景可保存图形数量5个, 同时可运行图形数量10个.</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8. 有节目录制功能, 最多可储存100个节目, 灯光秀演示一劳永逸.</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9. 有内置时间码和外置MIDI触发功能,让您轻松实现一键声光同步的炫丽灯光秀.</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10. 场景能够实现交叠功能, 图形有宽度参数, 能够更快速的编程.</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11. 具有高级编组功能.</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12. 可储存100个素材, 素材共享或者独立素材均可随心设置.</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13. 素材储存模式有四种, 素材储存和调用灵活便捷.</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14. 可储存120个重演场景, 用于储存多步场景和单步场景, 每个多步场景最多可储存600个单步.</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15. 可同时输出和运行12个重演场景.</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16. 带12根集控推杆, 按键点控和推杆集控兼容.</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17. 支持重新配节地址码、垂直水平交换、通道输出反向等功能.</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18. 关机或者突发断电等情况数据可记共享.</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20. 支持远程软件升级, 随时随地增加新的功能.</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21. 具有预编程功能, 离线事先编程, 省事省心.</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22. 预置推杆可控制电脑灯的属性, 属性控制更方便快捷.</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23. 支持立即黑场、场景互锁.</w:t>
            </w:r>
          </w:p>
          <w:p>
            <w:pPr>
              <w:widowControl/>
              <w:shd w:val="clear" w:color="auto" w:fill="FFFFFF"/>
              <w:snapToGrid w:val="0"/>
              <w:jc w:val="left"/>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shd w:val="clear" w:color="auto" w:fill="FFFFFF"/>
              </w:rPr>
              <w:t>24. 专业鹅颈工作灯, 适合室内外演出使用.</w:t>
            </w:r>
          </w:p>
        </w:tc>
        <w:tc>
          <w:tcPr>
            <w:tcW w:w="781"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1</w:t>
            </w:r>
          </w:p>
        </w:tc>
        <w:tc>
          <w:tcPr>
            <w:tcW w:w="693"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736" w:type="dxa"/>
            <w:shd w:val="clear" w:color="auto" w:fill="auto"/>
            <w:vAlign w:val="center"/>
          </w:tcPr>
          <w:p>
            <w:pPr>
              <w:widowControl/>
              <w:jc w:val="center"/>
              <w:textAlignment w:val="center"/>
              <w:rPr>
                <w:rFonts w:asciiTheme="minorEastAsia" w:hAnsiTheme="minorEastAsia" w:eastAsiaTheme="minorEastAsia" w:cstheme="minorEastAsia"/>
                <w:b/>
                <w:color w:val="000000"/>
                <w:szCs w:val="21"/>
                <w:highlight w:val="none"/>
              </w:rPr>
            </w:pPr>
            <w:r>
              <w:rPr>
                <w:rFonts w:hint="eastAsia" w:asciiTheme="minorEastAsia" w:hAnsiTheme="minorEastAsia" w:eastAsiaTheme="minorEastAsia" w:cstheme="minorEastAsia"/>
                <w:b/>
                <w:color w:val="000000"/>
                <w:kern w:val="0"/>
                <w:szCs w:val="21"/>
                <w:highlight w:val="none"/>
                <w:lang w:bidi="ar"/>
              </w:rPr>
              <w:t>三</w:t>
            </w:r>
          </w:p>
        </w:tc>
        <w:tc>
          <w:tcPr>
            <w:tcW w:w="2247" w:type="dxa"/>
            <w:gridSpan w:val="2"/>
            <w:shd w:val="clear" w:color="auto" w:fill="auto"/>
            <w:vAlign w:val="center"/>
          </w:tcPr>
          <w:p>
            <w:pPr>
              <w:jc w:val="center"/>
              <w:rPr>
                <w:rFonts w:asciiTheme="minorEastAsia" w:hAnsiTheme="minorEastAsia" w:eastAsiaTheme="minorEastAsia" w:cstheme="minorEastAsia"/>
                <w:b/>
                <w:color w:val="000000"/>
                <w:szCs w:val="21"/>
                <w:highlight w:val="none"/>
              </w:rPr>
            </w:pPr>
          </w:p>
        </w:tc>
        <w:tc>
          <w:tcPr>
            <w:tcW w:w="10012" w:type="dxa"/>
            <w:shd w:val="clear" w:color="auto" w:fill="auto"/>
            <w:vAlign w:val="center"/>
          </w:tcPr>
          <w:p>
            <w:pPr>
              <w:jc w:val="center"/>
              <w:rPr>
                <w:rFonts w:asciiTheme="minorEastAsia" w:hAnsiTheme="minorEastAsia" w:eastAsiaTheme="minorEastAsia" w:cstheme="minorEastAsia"/>
                <w:color w:val="000000"/>
                <w:szCs w:val="21"/>
                <w:highlight w:val="none"/>
              </w:rPr>
            </w:pPr>
          </w:p>
        </w:tc>
        <w:tc>
          <w:tcPr>
            <w:tcW w:w="781" w:type="dxa"/>
            <w:shd w:val="clear" w:color="auto" w:fill="auto"/>
            <w:vAlign w:val="center"/>
          </w:tcPr>
          <w:p>
            <w:pPr>
              <w:jc w:val="center"/>
              <w:rPr>
                <w:rFonts w:asciiTheme="minorEastAsia" w:hAnsiTheme="minorEastAsia" w:eastAsiaTheme="minorEastAsia" w:cstheme="minorEastAsia"/>
                <w:b/>
                <w:color w:val="000000"/>
                <w:szCs w:val="21"/>
                <w:highlight w:val="none"/>
              </w:rPr>
            </w:pPr>
          </w:p>
        </w:tc>
        <w:tc>
          <w:tcPr>
            <w:tcW w:w="693" w:type="dxa"/>
            <w:shd w:val="clear" w:color="auto" w:fill="auto"/>
            <w:vAlign w:val="center"/>
          </w:tcPr>
          <w:p>
            <w:pPr>
              <w:jc w:val="center"/>
              <w:rPr>
                <w:rFonts w:asciiTheme="minorEastAsia" w:hAnsiTheme="minorEastAsia" w:eastAsiaTheme="minorEastAsia" w:cstheme="minorEastAsia"/>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736" w:type="dxa"/>
            <w:shd w:val="clear" w:color="auto" w:fill="auto"/>
            <w:vAlign w:val="center"/>
          </w:tcPr>
          <w:p>
            <w:pPr>
              <w:jc w:val="center"/>
              <w:rPr>
                <w:rFonts w:asciiTheme="minorEastAsia" w:hAnsiTheme="minorEastAsia" w:eastAsiaTheme="minorEastAsia" w:cstheme="minorEastAsia"/>
                <w:b/>
                <w:color w:val="000000"/>
                <w:szCs w:val="21"/>
                <w:highlight w:val="none"/>
              </w:rPr>
            </w:pPr>
            <w:r>
              <w:rPr>
                <w:rFonts w:hint="eastAsia" w:asciiTheme="minorEastAsia" w:hAnsiTheme="minorEastAsia" w:eastAsiaTheme="minorEastAsia" w:cstheme="minorEastAsia"/>
                <w:b/>
                <w:color w:val="000000"/>
                <w:szCs w:val="21"/>
                <w:highlight w:val="none"/>
              </w:rPr>
              <w:t>1</w:t>
            </w:r>
          </w:p>
        </w:tc>
        <w:tc>
          <w:tcPr>
            <w:tcW w:w="845" w:type="dxa"/>
            <w:vMerge w:val="restart"/>
            <w:shd w:val="clear" w:color="auto" w:fill="auto"/>
            <w:vAlign w:val="center"/>
          </w:tcPr>
          <w:p>
            <w:pPr>
              <w:jc w:val="center"/>
              <w:rPr>
                <w:rFonts w:asciiTheme="minorEastAsia" w:hAnsiTheme="minorEastAsia" w:eastAsiaTheme="minorEastAsia" w:cstheme="minorEastAsia"/>
                <w:b/>
                <w:color w:val="000000"/>
                <w:kern w:val="0"/>
                <w:szCs w:val="21"/>
                <w:highlight w:val="none"/>
                <w:lang w:bidi="ar"/>
              </w:rPr>
            </w:pPr>
            <w:r>
              <w:rPr>
                <w:rFonts w:hint="eastAsia" w:asciiTheme="minorEastAsia" w:hAnsiTheme="minorEastAsia" w:eastAsiaTheme="minorEastAsia" w:cstheme="minorEastAsia"/>
                <w:b/>
                <w:color w:val="000000"/>
                <w:kern w:val="0"/>
                <w:szCs w:val="21"/>
                <w:highlight w:val="none"/>
                <w:lang w:bidi="ar"/>
              </w:rPr>
              <w:t>线材及辅材等装修部分</w:t>
            </w:r>
          </w:p>
        </w:tc>
        <w:tc>
          <w:tcPr>
            <w:tcW w:w="1402" w:type="dxa"/>
            <w:shd w:val="clear" w:color="auto" w:fill="auto"/>
            <w:vAlign w:val="center"/>
          </w:tcPr>
          <w:p>
            <w:pPr>
              <w:jc w:val="center"/>
              <w:rPr>
                <w:rFonts w:asciiTheme="minorEastAsia" w:hAnsiTheme="minorEastAsia" w:eastAsiaTheme="minorEastAsia" w:cstheme="minorEastAsia"/>
                <w:b/>
                <w:color w:val="000000"/>
                <w:szCs w:val="21"/>
                <w:highlight w:val="none"/>
              </w:rPr>
            </w:pPr>
            <w:r>
              <w:rPr>
                <w:rFonts w:hint="eastAsia" w:asciiTheme="minorEastAsia" w:hAnsiTheme="minorEastAsia" w:eastAsiaTheme="minorEastAsia" w:cstheme="minorEastAsia"/>
                <w:b/>
                <w:color w:val="000000"/>
                <w:kern w:val="0"/>
                <w:szCs w:val="21"/>
                <w:highlight w:val="none"/>
                <w:lang w:bidi="ar"/>
              </w:rPr>
              <w:t>电箱</w:t>
            </w:r>
          </w:p>
        </w:tc>
        <w:tc>
          <w:tcPr>
            <w:tcW w:w="10012" w:type="dxa"/>
            <w:shd w:val="clear" w:color="auto" w:fill="auto"/>
            <w:vAlign w:val="center"/>
          </w:tcPr>
          <w:p>
            <w:pPr>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国标</w:t>
            </w:r>
          </w:p>
        </w:tc>
        <w:tc>
          <w:tcPr>
            <w:tcW w:w="781" w:type="dxa"/>
            <w:shd w:val="clear" w:color="auto" w:fill="auto"/>
            <w:vAlign w:val="center"/>
          </w:tcPr>
          <w:p>
            <w:pPr>
              <w:jc w:val="center"/>
              <w:rPr>
                <w:rFonts w:asciiTheme="minorEastAsia" w:hAnsiTheme="minorEastAsia" w:eastAsiaTheme="minorEastAsia" w:cstheme="minorEastAsia"/>
                <w:b/>
                <w:color w:val="000000"/>
                <w:szCs w:val="21"/>
                <w:highlight w:val="none"/>
              </w:rPr>
            </w:pPr>
            <w:r>
              <w:rPr>
                <w:rFonts w:hint="eastAsia" w:asciiTheme="minorEastAsia" w:hAnsiTheme="minorEastAsia" w:eastAsiaTheme="minorEastAsia" w:cstheme="minorEastAsia"/>
                <w:b/>
                <w:color w:val="000000"/>
                <w:szCs w:val="21"/>
                <w:highlight w:val="none"/>
              </w:rPr>
              <w:t>1</w:t>
            </w:r>
          </w:p>
        </w:tc>
        <w:tc>
          <w:tcPr>
            <w:tcW w:w="693" w:type="dxa"/>
            <w:shd w:val="clear" w:color="auto" w:fill="auto"/>
            <w:vAlign w:val="center"/>
          </w:tcPr>
          <w:p>
            <w:pPr>
              <w:jc w:val="center"/>
              <w:rPr>
                <w:rFonts w:asciiTheme="minorEastAsia" w:hAnsiTheme="minorEastAsia" w:eastAsiaTheme="minorEastAsia" w:cstheme="minorEastAsia"/>
                <w:b/>
                <w:color w:val="000000"/>
                <w:szCs w:val="21"/>
                <w:highlight w:val="none"/>
              </w:rPr>
            </w:pPr>
            <w:r>
              <w:rPr>
                <w:rFonts w:hint="eastAsia" w:asciiTheme="minorEastAsia" w:hAnsiTheme="minorEastAsia" w:eastAsiaTheme="minorEastAsia" w:cstheme="minorEastAsia"/>
                <w:b/>
                <w:color w:val="000000"/>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736"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2</w:t>
            </w:r>
          </w:p>
        </w:tc>
        <w:tc>
          <w:tcPr>
            <w:tcW w:w="845" w:type="dxa"/>
            <w:vMerge w:val="continue"/>
            <w:shd w:val="clear" w:color="auto" w:fill="auto"/>
            <w:vAlign w:val="center"/>
          </w:tcPr>
          <w:p>
            <w:pPr>
              <w:jc w:val="center"/>
              <w:rPr>
                <w:rFonts w:asciiTheme="minorEastAsia" w:hAnsiTheme="minorEastAsia" w:eastAsiaTheme="minorEastAsia" w:cstheme="minorEastAsia"/>
                <w:color w:val="000000"/>
                <w:kern w:val="0"/>
                <w:szCs w:val="21"/>
                <w:highlight w:val="none"/>
                <w:lang w:bidi="ar"/>
              </w:rPr>
            </w:pPr>
          </w:p>
        </w:tc>
        <w:tc>
          <w:tcPr>
            <w:tcW w:w="1402" w:type="dxa"/>
            <w:shd w:val="clear" w:color="auto" w:fill="auto"/>
            <w:vAlign w:val="center"/>
          </w:tcPr>
          <w:p>
            <w:pPr>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电源线</w:t>
            </w:r>
          </w:p>
        </w:tc>
        <w:tc>
          <w:tcPr>
            <w:tcW w:w="10012" w:type="dxa"/>
            <w:shd w:val="clear" w:color="auto" w:fill="auto"/>
            <w:vAlign w:val="center"/>
          </w:tcPr>
          <w:p>
            <w:pPr>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整个系统需要的2.5mm²电源线入、项目实施时根据现场实际需要调整</w:t>
            </w:r>
          </w:p>
        </w:tc>
        <w:tc>
          <w:tcPr>
            <w:tcW w:w="781"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1</w:t>
            </w:r>
          </w:p>
        </w:tc>
        <w:tc>
          <w:tcPr>
            <w:tcW w:w="693"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736"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3</w:t>
            </w:r>
          </w:p>
        </w:tc>
        <w:tc>
          <w:tcPr>
            <w:tcW w:w="845" w:type="dxa"/>
            <w:vMerge w:val="continue"/>
            <w:shd w:val="clear" w:color="auto" w:fill="auto"/>
            <w:vAlign w:val="center"/>
          </w:tcPr>
          <w:p>
            <w:pPr>
              <w:jc w:val="center"/>
              <w:rPr>
                <w:rFonts w:asciiTheme="minorEastAsia" w:hAnsiTheme="minorEastAsia" w:eastAsiaTheme="minorEastAsia" w:cstheme="minorEastAsia"/>
                <w:color w:val="000000"/>
                <w:kern w:val="0"/>
                <w:szCs w:val="21"/>
                <w:highlight w:val="none"/>
                <w:lang w:bidi="ar"/>
              </w:rPr>
            </w:pPr>
          </w:p>
        </w:tc>
        <w:tc>
          <w:tcPr>
            <w:tcW w:w="1402" w:type="dxa"/>
            <w:shd w:val="clear" w:color="auto" w:fill="auto"/>
            <w:vAlign w:val="center"/>
          </w:tcPr>
          <w:p>
            <w:pPr>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灯光吊杆</w:t>
            </w:r>
          </w:p>
        </w:tc>
        <w:tc>
          <w:tcPr>
            <w:tcW w:w="10012" w:type="dxa"/>
            <w:shd w:val="clear" w:color="auto" w:fill="auto"/>
            <w:vAlign w:val="center"/>
          </w:tcPr>
          <w:p>
            <w:pPr>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热镀锌管</w:t>
            </w:r>
          </w:p>
        </w:tc>
        <w:tc>
          <w:tcPr>
            <w:tcW w:w="781"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1</w:t>
            </w:r>
          </w:p>
        </w:tc>
        <w:tc>
          <w:tcPr>
            <w:tcW w:w="693"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736"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4</w:t>
            </w:r>
          </w:p>
        </w:tc>
        <w:tc>
          <w:tcPr>
            <w:tcW w:w="845" w:type="dxa"/>
            <w:vMerge w:val="continue"/>
            <w:shd w:val="clear" w:color="auto" w:fill="auto"/>
            <w:vAlign w:val="center"/>
          </w:tcPr>
          <w:p>
            <w:pPr>
              <w:jc w:val="center"/>
              <w:rPr>
                <w:rFonts w:asciiTheme="minorEastAsia" w:hAnsiTheme="minorEastAsia" w:eastAsiaTheme="minorEastAsia" w:cstheme="minorEastAsia"/>
                <w:color w:val="000000"/>
                <w:kern w:val="0"/>
                <w:szCs w:val="21"/>
                <w:highlight w:val="none"/>
                <w:lang w:bidi="ar"/>
              </w:rPr>
            </w:pPr>
          </w:p>
        </w:tc>
        <w:tc>
          <w:tcPr>
            <w:tcW w:w="1402" w:type="dxa"/>
            <w:shd w:val="clear" w:color="auto" w:fill="auto"/>
            <w:vAlign w:val="center"/>
          </w:tcPr>
          <w:p>
            <w:pPr>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信号线</w:t>
            </w:r>
          </w:p>
        </w:tc>
        <w:tc>
          <w:tcPr>
            <w:tcW w:w="10012" w:type="dxa"/>
            <w:shd w:val="clear" w:color="auto" w:fill="auto"/>
            <w:vAlign w:val="center"/>
          </w:tcPr>
          <w:p>
            <w:pPr>
              <w:jc w:val="center"/>
              <w:rPr>
                <w:rFonts w:asciiTheme="minorEastAsia" w:hAnsiTheme="minorEastAsia" w:eastAsiaTheme="minorEastAsia" w:cstheme="minorEastAsia"/>
                <w:color w:val="000000"/>
                <w:szCs w:val="21"/>
                <w:highlight w:val="none"/>
              </w:rPr>
            </w:pPr>
          </w:p>
        </w:tc>
        <w:tc>
          <w:tcPr>
            <w:tcW w:w="781"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1</w:t>
            </w:r>
          </w:p>
        </w:tc>
        <w:tc>
          <w:tcPr>
            <w:tcW w:w="693"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736"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5</w:t>
            </w:r>
          </w:p>
        </w:tc>
        <w:tc>
          <w:tcPr>
            <w:tcW w:w="845" w:type="dxa"/>
            <w:vMerge w:val="continue"/>
            <w:shd w:val="clear" w:color="auto" w:fill="auto"/>
            <w:vAlign w:val="center"/>
          </w:tcPr>
          <w:p>
            <w:pPr>
              <w:jc w:val="center"/>
              <w:rPr>
                <w:rFonts w:asciiTheme="minorEastAsia" w:hAnsiTheme="minorEastAsia" w:eastAsiaTheme="minorEastAsia" w:cstheme="minorEastAsia"/>
                <w:color w:val="000000"/>
                <w:kern w:val="0"/>
                <w:szCs w:val="21"/>
                <w:highlight w:val="none"/>
                <w:lang w:bidi="ar"/>
              </w:rPr>
            </w:pPr>
          </w:p>
        </w:tc>
        <w:tc>
          <w:tcPr>
            <w:tcW w:w="1402" w:type="dxa"/>
            <w:shd w:val="clear" w:color="auto" w:fill="auto"/>
            <w:vAlign w:val="center"/>
          </w:tcPr>
          <w:p>
            <w:pPr>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音响连接插头，信号盒等配件</w:t>
            </w:r>
          </w:p>
        </w:tc>
        <w:tc>
          <w:tcPr>
            <w:tcW w:w="10012" w:type="dxa"/>
            <w:shd w:val="clear" w:color="auto" w:fill="auto"/>
            <w:vAlign w:val="center"/>
          </w:tcPr>
          <w:p>
            <w:pPr>
              <w:jc w:val="center"/>
              <w:rPr>
                <w:rFonts w:hint="eastAsia" w:asciiTheme="minorEastAsia" w:hAnsiTheme="minorEastAsia" w:eastAsiaTheme="minorEastAsia" w:cstheme="minorEastAsia"/>
                <w:color w:val="000000"/>
                <w:szCs w:val="21"/>
                <w:highlight w:val="none"/>
                <w:lang w:eastAsia="zh-CN"/>
              </w:rPr>
            </w:pPr>
            <w:r>
              <w:rPr>
                <w:rFonts w:hint="eastAsia" w:asciiTheme="minorEastAsia" w:hAnsiTheme="minorEastAsia" w:eastAsiaTheme="minorEastAsia" w:cstheme="minorEastAsia"/>
                <w:color w:val="000000"/>
                <w:szCs w:val="21"/>
                <w:highlight w:val="none"/>
                <w:lang w:eastAsia="zh-CN"/>
              </w:rPr>
              <w:t>包括对报告厅电源控制室的线路进行整合处理</w:t>
            </w:r>
          </w:p>
        </w:tc>
        <w:tc>
          <w:tcPr>
            <w:tcW w:w="781"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1</w:t>
            </w:r>
          </w:p>
        </w:tc>
        <w:tc>
          <w:tcPr>
            <w:tcW w:w="693"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736"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6</w:t>
            </w:r>
          </w:p>
        </w:tc>
        <w:tc>
          <w:tcPr>
            <w:tcW w:w="845" w:type="dxa"/>
            <w:vMerge w:val="continue"/>
            <w:shd w:val="clear" w:color="auto" w:fill="auto"/>
            <w:vAlign w:val="center"/>
          </w:tcPr>
          <w:p>
            <w:pPr>
              <w:jc w:val="center"/>
              <w:rPr>
                <w:rFonts w:asciiTheme="minorEastAsia" w:hAnsiTheme="minorEastAsia" w:eastAsiaTheme="minorEastAsia" w:cstheme="minorEastAsia"/>
                <w:color w:val="000000"/>
                <w:szCs w:val="21"/>
                <w:highlight w:val="none"/>
              </w:rPr>
            </w:pPr>
          </w:p>
        </w:tc>
        <w:tc>
          <w:tcPr>
            <w:tcW w:w="1402" w:type="dxa"/>
            <w:shd w:val="clear" w:color="auto" w:fill="auto"/>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rPr>
              <w:t>墙面处理</w:t>
            </w:r>
          </w:p>
        </w:tc>
        <w:tc>
          <w:tcPr>
            <w:tcW w:w="10012" w:type="dxa"/>
            <w:shd w:val="clear" w:color="auto" w:fill="auto"/>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rPr>
              <w:t>原吊顶拆除、背景墙面凿除及恢复，恢复后顶面要求为黑色油漆等</w:t>
            </w:r>
            <w:r>
              <w:rPr>
                <w:rFonts w:hint="eastAsia" w:asciiTheme="minorEastAsia" w:hAnsiTheme="minorEastAsia" w:eastAsiaTheme="minorEastAsia" w:cstheme="minorEastAsia"/>
                <w:color w:val="auto"/>
                <w:szCs w:val="21"/>
                <w:lang w:eastAsia="zh-CN"/>
              </w:rPr>
              <w:t>须</w:t>
            </w:r>
            <w:r>
              <w:rPr>
                <w:rFonts w:hint="eastAsia" w:asciiTheme="minorEastAsia" w:hAnsiTheme="minorEastAsia" w:eastAsiaTheme="minorEastAsia" w:cstheme="minorEastAsia"/>
                <w:color w:val="auto"/>
                <w:szCs w:val="21"/>
              </w:rPr>
              <w:t>达到</w:t>
            </w:r>
            <w:r>
              <w:rPr>
                <w:rFonts w:hint="eastAsia" w:asciiTheme="minorEastAsia" w:hAnsiTheme="minorEastAsia" w:eastAsiaTheme="minorEastAsia" w:cstheme="minorEastAsia"/>
                <w:color w:val="auto"/>
                <w:szCs w:val="21"/>
                <w:lang w:eastAsia="zh-CN"/>
              </w:rPr>
              <w:t>采购</w:t>
            </w:r>
            <w:r>
              <w:rPr>
                <w:rFonts w:hint="eastAsia" w:asciiTheme="minorEastAsia" w:hAnsiTheme="minorEastAsia" w:eastAsiaTheme="minorEastAsia" w:cstheme="minorEastAsia"/>
                <w:color w:val="auto"/>
                <w:szCs w:val="21"/>
              </w:rPr>
              <w:t>方要求</w:t>
            </w:r>
          </w:p>
        </w:tc>
        <w:tc>
          <w:tcPr>
            <w:tcW w:w="781"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1</w:t>
            </w:r>
          </w:p>
        </w:tc>
        <w:tc>
          <w:tcPr>
            <w:tcW w:w="693" w:type="dxa"/>
            <w:shd w:val="clear" w:color="auto" w:fill="auto"/>
            <w:vAlign w:val="center"/>
          </w:tcPr>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项</w:t>
            </w:r>
          </w:p>
        </w:tc>
      </w:tr>
    </w:tbl>
    <w:p>
      <w:pPr>
        <w:widowControl/>
        <w:jc w:val="left"/>
        <w:rPr>
          <w:rFonts w:ascii="宋体" w:hAnsi="宋体" w:cs="宋体"/>
          <w:sz w:val="24"/>
        </w:rPr>
      </w:pPr>
    </w:p>
    <w:p>
      <w:pPr>
        <w:spacing w:line="400" w:lineRule="exact"/>
        <w:jc w:val="left"/>
        <w:rPr>
          <w:rFonts w:ascii="宋体" w:hAnsi="宋体"/>
          <w:b/>
          <w:bCs/>
          <w:sz w:val="24"/>
        </w:rPr>
      </w:pPr>
      <w:r>
        <w:rPr>
          <w:rFonts w:hint="eastAsia" w:ascii="宋体" w:hAnsi="宋体"/>
          <w:b/>
          <w:bCs/>
          <w:sz w:val="24"/>
        </w:rPr>
        <w:t>说明：</w:t>
      </w:r>
    </w:p>
    <w:p>
      <w:pPr>
        <w:spacing w:line="360" w:lineRule="auto"/>
        <w:rPr>
          <w:rFonts w:hint="eastAsia" w:ascii="宋体" w:hAnsi="宋体" w:cs="Times New Roman"/>
          <w:b/>
          <w:bCs/>
          <w:sz w:val="24"/>
        </w:rPr>
      </w:pPr>
      <w:r>
        <w:rPr>
          <w:rFonts w:hint="eastAsia" w:ascii="宋体" w:hAnsi="宋体"/>
          <w:b/>
          <w:bCs/>
          <w:sz w:val="24"/>
        </w:rPr>
        <w:t xml:space="preserve">     </w:t>
      </w:r>
      <w:r>
        <w:rPr>
          <w:rFonts w:hint="eastAsia" w:ascii="宋体" w:hAnsi="宋体" w:cs="Times New Roman"/>
          <w:b/>
          <w:bCs/>
          <w:sz w:val="24"/>
        </w:rPr>
        <w:t>1、本中标价格即为最终结算价，中标单位不得以任何理由要求提高最终结算价。</w:t>
      </w:r>
    </w:p>
    <w:p>
      <w:pPr>
        <w:spacing w:line="360" w:lineRule="auto"/>
        <w:rPr>
          <w:rFonts w:hint="eastAsia" w:ascii="宋体" w:hAnsi="宋体" w:cs="Times New Roman"/>
          <w:b/>
          <w:bCs/>
          <w:sz w:val="24"/>
        </w:rPr>
      </w:pPr>
      <w:r>
        <w:rPr>
          <w:rFonts w:hint="eastAsia" w:ascii="宋体" w:hAnsi="宋体" w:cs="Times New Roman"/>
          <w:b/>
          <w:bCs/>
          <w:sz w:val="24"/>
        </w:rPr>
        <w:t xml:space="preserve">     2、投标单位在投标报价表中，不得擅自减少设备的数量进行报价，否则作无效标处理。</w:t>
      </w:r>
    </w:p>
    <w:p>
      <w:pPr>
        <w:spacing w:line="360" w:lineRule="auto"/>
        <w:rPr>
          <w:rFonts w:hint="eastAsia" w:eastAsia="仿宋_GB2312"/>
          <w:lang w:val="en-US" w:eastAsia="zh-CN"/>
        </w:rPr>
        <w:sectPr>
          <w:footerReference r:id="rId8" w:type="default"/>
          <w:pgSz w:w="16838" w:h="11906" w:orient="landscape"/>
          <w:pgMar w:top="1077" w:right="1440" w:bottom="1077" w:left="1440" w:header="851" w:footer="992" w:gutter="0"/>
          <w:pgNumType w:chapStyle="1"/>
          <w:cols w:space="0" w:num="1"/>
          <w:docGrid w:linePitch="602" w:charSpace="0"/>
        </w:sectPr>
      </w:pPr>
      <w:r>
        <w:rPr>
          <w:rFonts w:hint="eastAsia" w:ascii="宋体" w:hAnsi="宋体" w:cs="Times New Roman"/>
          <w:b/>
          <w:bCs/>
          <w:sz w:val="24"/>
          <w:lang w:val="en-US" w:eastAsia="zh-CN"/>
        </w:rPr>
        <w:t xml:space="preserve">     3、建议投标人投标时了解项目现场，可以知晓本次招标采购系统设备安装及部分装修要求，以便项目实施及验收时能达到采购人及相关管理部门要求，合理、充分测算相关费用。</w:t>
      </w:r>
    </w:p>
    <w:p>
      <w:pPr>
        <w:spacing w:line="560" w:lineRule="exact"/>
        <w:jc w:val="left"/>
        <w:rPr>
          <w:b/>
          <w:sz w:val="24"/>
        </w:rPr>
      </w:pPr>
      <w:bookmarkStart w:id="486" w:name="_Toc445046889"/>
      <w:bookmarkStart w:id="487" w:name="_Toc24184"/>
      <w:bookmarkStart w:id="488" w:name="_Toc397928629"/>
    </w:p>
    <w:p>
      <w:pPr>
        <w:spacing w:line="460" w:lineRule="exact"/>
        <w:jc w:val="center"/>
        <w:rPr>
          <w:rFonts w:ascii="宋体" w:hAnsi="宋体" w:cs="宋体"/>
          <w:b/>
          <w:sz w:val="30"/>
        </w:rPr>
      </w:pPr>
      <w:r>
        <w:rPr>
          <w:rFonts w:hint="eastAsia"/>
          <w:b/>
          <w:sz w:val="24"/>
        </w:rPr>
        <w:t xml:space="preserve">     </w:t>
      </w:r>
      <w:bookmarkEnd w:id="486"/>
      <w:bookmarkEnd w:id="487"/>
      <w:bookmarkEnd w:id="488"/>
      <w:r>
        <w:rPr>
          <w:rFonts w:hint="eastAsia" w:ascii="宋体" w:hAnsi="宋体" w:cs="宋体"/>
          <w:b/>
          <w:sz w:val="30"/>
        </w:rPr>
        <w:t>第六章 投标文件格式</w:t>
      </w:r>
      <w:bookmarkEnd w:id="483"/>
      <w:bookmarkEnd w:id="484"/>
      <w:bookmarkEnd w:id="485"/>
    </w:p>
    <w:p>
      <w:pPr>
        <w:snapToGrid w:val="0"/>
        <w:spacing w:before="120" w:beforeLines="50" w:after="50" w:line="520" w:lineRule="exact"/>
        <w:jc w:val="center"/>
        <w:outlineLvl w:val="1"/>
        <w:rPr>
          <w:rFonts w:ascii="宋体" w:hAnsi="宋体" w:cs="宋体"/>
          <w:b/>
          <w:bCs/>
          <w:sz w:val="24"/>
          <w:szCs w:val="20"/>
        </w:rPr>
      </w:pPr>
      <w:r>
        <w:rPr>
          <w:rFonts w:hint="eastAsia" w:ascii="宋体" w:hAnsi="宋体" w:cs="宋体"/>
          <w:b/>
          <w:bCs/>
          <w:sz w:val="24"/>
        </w:rPr>
        <w:t>一、投标文件外层包装封面格式</w:t>
      </w:r>
    </w:p>
    <w:p>
      <w:pPr>
        <w:snapToGrid w:val="0"/>
        <w:spacing w:before="120" w:beforeLines="50" w:after="50" w:line="520" w:lineRule="exact"/>
        <w:jc w:val="left"/>
        <w:rPr>
          <w:rFonts w:ascii="宋体" w:hAnsi="宋体" w:cs="宋体"/>
          <w:sz w:val="24"/>
          <w:szCs w:val="20"/>
        </w:rPr>
      </w:pPr>
      <w:r>
        <w:rPr>
          <w:rFonts w:hint="eastAsia" w:ascii="宋体" w:hAnsi="宋体" w:cs="宋体"/>
          <w:sz w:val="24"/>
        </w:rPr>
        <w:t>投标文件的外包装封面格式：</w:t>
      </w:r>
    </w:p>
    <w:p>
      <w:pPr>
        <w:snapToGrid w:val="0"/>
        <w:spacing w:before="120" w:beforeLines="50" w:after="50" w:line="520" w:lineRule="exact"/>
        <w:jc w:val="left"/>
        <w:rPr>
          <w:rFonts w:ascii="宋体" w:hAnsi="宋体" w:cs="宋体"/>
          <w:bCs/>
          <w:sz w:val="24"/>
          <w:szCs w:val="20"/>
        </w:rPr>
      </w:pPr>
      <w:r>
        <w:rPr>
          <w:rFonts w:hint="eastAsia" w:ascii="宋体" w:hAnsi="宋体" w:cs="宋体"/>
          <w:bCs/>
          <w:sz w:val="24"/>
        </w:rPr>
        <w:t>投 标 文 件</w:t>
      </w:r>
    </w:p>
    <w:p>
      <w:pPr>
        <w:snapToGrid w:val="0"/>
        <w:spacing w:before="120" w:beforeLines="50" w:after="50" w:line="520" w:lineRule="exact"/>
        <w:jc w:val="left"/>
        <w:rPr>
          <w:rFonts w:ascii="宋体" w:hAnsi="宋体" w:cs="宋体"/>
          <w:bCs/>
          <w:sz w:val="24"/>
          <w:lang w:val="zh-CN"/>
        </w:rPr>
      </w:pPr>
      <w:r>
        <w:rPr>
          <w:rFonts w:hint="eastAsia" w:ascii="宋体" w:hAnsi="宋体" w:cs="宋体"/>
          <w:bCs/>
          <w:sz w:val="24"/>
        </w:rPr>
        <w:t>标段名称</w:t>
      </w:r>
      <w:r>
        <w:rPr>
          <w:rFonts w:hint="eastAsia" w:ascii="宋体" w:hAnsi="宋体" w:cs="宋体"/>
          <w:bCs/>
          <w:w w:val="90"/>
          <w:sz w:val="24"/>
        </w:rPr>
        <w:t>：</w:t>
      </w:r>
      <w:r>
        <w:rPr>
          <w:rFonts w:hint="eastAsia" w:ascii="宋体" w:hAnsi="宋体" w:cs="宋体"/>
          <w:bCs/>
          <w:sz w:val="24"/>
          <w:lang w:val="zh-CN"/>
        </w:rPr>
        <w:t> </w:t>
      </w:r>
    </w:p>
    <w:p>
      <w:pPr>
        <w:snapToGrid w:val="0"/>
        <w:spacing w:before="120" w:beforeLines="50" w:after="50" w:line="520" w:lineRule="exact"/>
        <w:jc w:val="left"/>
        <w:rPr>
          <w:rFonts w:ascii="宋体" w:hAnsi="宋体" w:cs="宋体"/>
          <w:bCs/>
          <w:sz w:val="24"/>
          <w:szCs w:val="20"/>
        </w:rPr>
      </w:pPr>
      <w:r>
        <w:rPr>
          <w:rFonts w:hint="eastAsia" w:ascii="宋体" w:hAnsi="宋体" w:cs="宋体"/>
          <w:bCs/>
          <w:sz w:val="24"/>
        </w:rPr>
        <w:t>标段编号：</w:t>
      </w:r>
    </w:p>
    <w:p>
      <w:pPr>
        <w:pStyle w:val="7"/>
        <w:snapToGrid w:val="0"/>
        <w:spacing w:before="50" w:after="50" w:line="520" w:lineRule="exact"/>
        <w:ind w:firstLine="0"/>
        <w:jc w:val="left"/>
        <w:rPr>
          <w:rFonts w:ascii="宋体" w:hAnsi="宋体" w:cs="宋体"/>
          <w:bCs/>
          <w:sz w:val="24"/>
          <w:szCs w:val="24"/>
        </w:rPr>
      </w:pPr>
      <w:r>
        <w:rPr>
          <w:rFonts w:hint="eastAsia" w:ascii="宋体" w:hAnsi="宋体" w:cs="宋体"/>
          <w:bCs/>
          <w:sz w:val="24"/>
          <w:szCs w:val="24"/>
        </w:rPr>
        <w:t>投标人名称：</w:t>
      </w:r>
    </w:p>
    <w:p>
      <w:pPr>
        <w:pStyle w:val="7"/>
        <w:snapToGrid w:val="0"/>
        <w:spacing w:before="50" w:after="50" w:line="520" w:lineRule="exact"/>
        <w:ind w:firstLine="0"/>
        <w:jc w:val="left"/>
        <w:rPr>
          <w:rFonts w:ascii="宋体" w:hAnsi="宋体" w:cs="宋体"/>
          <w:bCs/>
          <w:sz w:val="24"/>
          <w:szCs w:val="24"/>
        </w:rPr>
      </w:pPr>
      <w:r>
        <w:rPr>
          <w:rFonts w:hint="eastAsia" w:ascii="宋体" w:hAnsi="宋体" w:cs="宋体"/>
        </w:rPr>
        <w:t>在  年  月  日  时  分之前不得启封</w:t>
      </w:r>
    </w:p>
    <w:p>
      <w:pPr>
        <w:snapToGrid w:val="0"/>
        <w:spacing w:before="120" w:beforeLines="50" w:after="50" w:line="520" w:lineRule="exact"/>
        <w:ind w:firstLine="645"/>
        <w:jc w:val="left"/>
        <w:rPr>
          <w:rFonts w:ascii="宋体" w:hAnsi="宋体" w:cs="宋体"/>
        </w:rPr>
      </w:pPr>
      <w:r>
        <w:rPr>
          <w:rFonts w:hint="eastAsia" w:ascii="宋体" w:hAnsi="宋体" w:cs="宋体"/>
        </w:rPr>
        <w:t xml:space="preserve">  年    月   日</w:t>
      </w:r>
    </w:p>
    <w:p>
      <w:pPr>
        <w:pStyle w:val="15"/>
        <w:tabs>
          <w:tab w:val="left" w:pos="2472"/>
        </w:tabs>
        <w:snapToGrid w:val="0"/>
        <w:spacing w:beforeLines="0" w:afterLines="0" w:line="520" w:lineRule="exact"/>
        <w:jc w:val="left"/>
        <w:rPr>
          <w:rFonts w:hAnsi="宋体" w:cs="宋体"/>
          <w:b/>
        </w:rPr>
      </w:pPr>
    </w:p>
    <w:p>
      <w:pPr>
        <w:pStyle w:val="15"/>
        <w:tabs>
          <w:tab w:val="left" w:pos="2472"/>
        </w:tabs>
        <w:snapToGrid w:val="0"/>
        <w:spacing w:beforeLines="0" w:afterLines="0" w:line="520" w:lineRule="exact"/>
        <w:jc w:val="center"/>
        <w:rPr>
          <w:rFonts w:hAnsi="宋体" w:cs="宋体"/>
          <w:b/>
        </w:rPr>
      </w:pPr>
      <w:r>
        <w:rPr>
          <w:rFonts w:hint="eastAsia" w:hAnsi="宋体" w:cs="宋体"/>
          <w:b/>
        </w:rPr>
        <w:t>二、投标文件格式</w:t>
      </w:r>
    </w:p>
    <w:p>
      <w:pPr>
        <w:pStyle w:val="15"/>
        <w:tabs>
          <w:tab w:val="left" w:pos="2472"/>
        </w:tabs>
        <w:snapToGrid w:val="0"/>
        <w:spacing w:beforeLines="0" w:afterLines="0" w:line="520" w:lineRule="exact"/>
        <w:rPr>
          <w:rFonts w:hAnsi="宋体" w:cs="宋体"/>
          <w:b/>
        </w:rPr>
      </w:pPr>
      <w:r>
        <w:rPr>
          <w:rFonts w:hint="eastAsia" w:hAnsi="宋体" w:cs="宋体"/>
          <w:b/>
        </w:rPr>
        <w:t>1：封面内容</w:t>
      </w:r>
    </w:p>
    <w:p>
      <w:pPr>
        <w:pStyle w:val="15"/>
        <w:tabs>
          <w:tab w:val="left" w:pos="2472"/>
        </w:tabs>
        <w:snapToGrid w:val="0"/>
        <w:spacing w:beforeLines="0" w:afterLines="0" w:line="520" w:lineRule="exact"/>
        <w:rPr>
          <w:rFonts w:hAnsi="宋体" w:cs="宋体"/>
        </w:rPr>
      </w:pPr>
      <w:r>
        <w:rPr>
          <w:rFonts w:hint="eastAsia" w:hAnsi="宋体" w:cs="宋体"/>
        </w:rPr>
        <w:t>本（填正或副）</w:t>
      </w:r>
    </w:p>
    <w:p>
      <w:pPr>
        <w:pStyle w:val="15"/>
        <w:tabs>
          <w:tab w:val="left" w:pos="2472"/>
        </w:tabs>
        <w:snapToGrid w:val="0"/>
        <w:spacing w:beforeLines="0" w:afterLines="0" w:line="520" w:lineRule="exact"/>
        <w:rPr>
          <w:rFonts w:hAnsi="宋体" w:cs="宋体"/>
        </w:rPr>
      </w:pPr>
      <w:r>
        <w:rPr>
          <w:rFonts w:hint="eastAsia" w:hAnsi="宋体" w:cs="宋体"/>
        </w:rPr>
        <w:t>投标文件（此为封面主题内容，在本页中间）</w:t>
      </w:r>
    </w:p>
    <w:p>
      <w:pPr>
        <w:pStyle w:val="15"/>
        <w:tabs>
          <w:tab w:val="left" w:pos="2472"/>
        </w:tabs>
        <w:snapToGrid w:val="0"/>
        <w:spacing w:beforeLines="0" w:afterLines="0" w:line="520" w:lineRule="exact"/>
        <w:rPr>
          <w:rFonts w:hAnsi="宋体" w:cs="宋体"/>
          <w:lang w:val="zh-CN"/>
        </w:rPr>
      </w:pPr>
      <w:r>
        <w:rPr>
          <w:rFonts w:hint="eastAsia" w:hAnsi="宋体" w:cs="宋体"/>
        </w:rPr>
        <w:t>标段名称：</w:t>
      </w:r>
    </w:p>
    <w:p>
      <w:pPr>
        <w:pStyle w:val="15"/>
        <w:tabs>
          <w:tab w:val="left" w:pos="2472"/>
        </w:tabs>
        <w:snapToGrid w:val="0"/>
        <w:spacing w:beforeLines="0" w:afterLines="0" w:line="520" w:lineRule="exact"/>
        <w:rPr>
          <w:rFonts w:hAnsi="宋体" w:cs="宋体"/>
        </w:rPr>
      </w:pPr>
      <w:r>
        <w:rPr>
          <w:rFonts w:hint="eastAsia" w:hAnsi="宋体" w:cs="宋体"/>
        </w:rPr>
        <w:t>投标人名称：（盖法人章）</w:t>
      </w:r>
    </w:p>
    <w:p>
      <w:pPr>
        <w:pStyle w:val="15"/>
        <w:tabs>
          <w:tab w:val="left" w:pos="2472"/>
        </w:tabs>
        <w:snapToGrid w:val="0"/>
        <w:spacing w:beforeLines="0" w:afterLines="0" w:line="520" w:lineRule="exact"/>
        <w:rPr>
          <w:rFonts w:hAnsi="宋体" w:cs="宋体"/>
        </w:rPr>
      </w:pPr>
      <w:r>
        <w:rPr>
          <w:rFonts w:hint="eastAsia" w:hAnsi="宋体" w:cs="宋体"/>
        </w:rPr>
        <w:t>法定代理人或委托代理人：（签字或盖章）</w:t>
      </w:r>
    </w:p>
    <w:p>
      <w:pPr>
        <w:pStyle w:val="15"/>
        <w:tabs>
          <w:tab w:val="left" w:pos="2472"/>
        </w:tabs>
        <w:snapToGrid w:val="0"/>
        <w:spacing w:beforeLines="0" w:afterLines="0" w:line="520" w:lineRule="exact"/>
        <w:rPr>
          <w:rFonts w:hAnsi="宋体" w:cs="宋体"/>
        </w:rPr>
      </w:pPr>
      <w:r>
        <w:rPr>
          <w:rFonts w:hint="eastAsia" w:hAnsi="宋体" w:cs="宋体"/>
        </w:rPr>
        <w:t>日期：年   月   日</w:t>
      </w:r>
    </w:p>
    <w:p>
      <w:pPr>
        <w:snapToGrid w:val="0"/>
        <w:spacing w:before="120" w:beforeLines="50" w:after="50" w:line="520" w:lineRule="exact"/>
        <w:rPr>
          <w:rFonts w:ascii="宋体" w:hAnsi="宋体" w:cs="宋体"/>
          <w:b/>
          <w:sz w:val="24"/>
        </w:rPr>
      </w:pPr>
      <w:r>
        <w:rPr>
          <w:rFonts w:hint="eastAsia" w:ascii="宋体" w:hAnsi="宋体" w:cs="宋体"/>
          <w:b/>
          <w:sz w:val="24"/>
        </w:rPr>
        <w:t>2：目录</w:t>
      </w:r>
    </w:p>
    <w:p>
      <w:pPr>
        <w:snapToGrid w:val="0"/>
        <w:spacing w:before="120" w:beforeLines="50" w:after="50" w:line="520" w:lineRule="exact"/>
        <w:ind w:firstLine="354" w:firstLineChars="147"/>
        <w:rPr>
          <w:rFonts w:ascii="宋体" w:hAnsi="宋体" w:cs="宋体"/>
          <w:b/>
          <w:sz w:val="24"/>
        </w:rPr>
      </w:pPr>
      <w:r>
        <w:rPr>
          <w:rFonts w:hint="eastAsia" w:ascii="宋体" w:hAnsi="宋体" w:cs="宋体"/>
          <w:b/>
          <w:sz w:val="24"/>
        </w:rPr>
        <w:t>参照投标文件的组成、</w:t>
      </w:r>
      <w:r>
        <w:rPr>
          <w:rFonts w:hint="eastAsia" w:ascii="宋体" w:hAnsi="宋体" w:cs="宋体"/>
          <w:b/>
          <w:sz w:val="24"/>
          <w:u w:val="single"/>
        </w:rPr>
        <w:t>特别是评标标准的顺序。</w:t>
      </w:r>
    </w:p>
    <w:p>
      <w:pPr>
        <w:snapToGrid w:val="0"/>
        <w:spacing w:before="120" w:beforeLines="50" w:after="50" w:line="520" w:lineRule="exact"/>
        <w:rPr>
          <w:rFonts w:ascii="宋体" w:hAnsi="宋体" w:cs="宋体"/>
          <w:b/>
          <w:sz w:val="24"/>
        </w:rPr>
      </w:pPr>
      <w:r>
        <w:rPr>
          <w:rFonts w:hint="eastAsia" w:ascii="宋体" w:hAnsi="宋体" w:cs="宋体"/>
          <w:b/>
          <w:sz w:val="24"/>
        </w:rPr>
        <w:t>注：投标文件内的格式仅供参考，可自制，但不得缺项。</w:t>
      </w:r>
    </w:p>
    <w:p>
      <w:pPr>
        <w:snapToGrid w:val="0"/>
        <w:spacing w:before="120" w:beforeLines="50" w:after="120" w:afterLines="50" w:line="460" w:lineRule="exact"/>
        <w:ind w:firstLine="472" w:firstLineChars="196"/>
        <w:outlineLvl w:val="1"/>
        <w:rPr>
          <w:rFonts w:ascii="宋体" w:hAnsi="宋体" w:cs="宋体"/>
          <w:b/>
          <w:sz w:val="32"/>
          <w:szCs w:val="32"/>
        </w:rPr>
      </w:pPr>
      <w:r>
        <w:rPr>
          <w:rFonts w:hint="eastAsia" w:ascii="宋体" w:hAnsi="宋体" w:cs="宋体"/>
          <w:b/>
          <w:sz w:val="24"/>
        </w:rPr>
        <w:t>建议投标文件具有清晰总目录、子目录；若没有目录，可能会导致投标文件的相关评标信息无法查阅。</w:t>
      </w:r>
    </w:p>
    <w:p>
      <w:pPr>
        <w:snapToGrid w:val="0"/>
        <w:spacing w:before="120" w:beforeLines="50" w:after="50" w:line="520" w:lineRule="exact"/>
        <w:jc w:val="left"/>
        <w:rPr>
          <w:rFonts w:ascii="宋体" w:hAnsi="宋体" w:cs="宋体"/>
          <w:b/>
          <w:sz w:val="32"/>
          <w:szCs w:val="32"/>
        </w:rPr>
      </w:pPr>
    </w:p>
    <w:p>
      <w:pPr>
        <w:snapToGrid w:val="0"/>
        <w:spacing w:before="120" w:beforeLines="50" w:after="50" w:line="520" w:lineRule="exact"/>
        <w:jc w:val="left"/>
        <w:rPr>
          <w:rFonts w:ascii="宋体" w:hAnsi="宋体" w:cs="宋体"/>
          <w:b/>
          <w:sz w:val="32"/>
          <w:szCs w:val="32"/>
        </w:rPr>
      </w:pPr>
      <w:r>
        <w:rPr>
          <w:rFonts w:hint="eastAsia" w:ascii="宋体" w:hAnsi="宋体" w:cs="宋体"/>
          <w:b/>
          <w:sz w:val="32"/>
          <w:szCs w:val="32"/>
        </w:rPr>
        <w:t>1、法定代表人身份证明书</w:t>
      </w:r>
    </w:p>
    <w:p>
      <w:pPr>
        <w:spacing w:line="500" w:lineRule="exact"/>
        <w:rPr>
          <w:rFonts w:ascii="宋体" w:hAnsi="宋体" w:cs="宋体"/>
          <w:b/>
          <w:sz w:val="24"/>
        </w:rPr>
      </w:pPr>
    </w:p>
    <w:p>
      <w:pPr>
        <w:spacing w:line="500" w:lineRule="exact"/>
        <w:rPr>
          <w:rFonts w:ascii="宋体" w:hAnsi="宋体" w:cs="宋体"/>
          <w:sz w:val="24"/>
        </w:rPr>
      </w:pPr>
    </w:p>
    <w:p>
      <w:pPr>
        <w:spacing w:line="700" w:lineRule="exact"/>
        <w:ind w:firstLine="480" w:firstLineChars="200"/>
        <w:rPr>
          <w:rFonts w:ascii="宋体" w:hAnsi="宋体" w:cs="宋体"/>
          <w:sz w:val="24"/>
          <w:u w:val="single"/>
        </w:rPr>
      </w:pPr>
      <w:r>
        <w:rPr>
          <w:rFonts w:hint="eastAsia" w:ascii="宋体" w:hAnsi="宋体" w:cs="宋体"/>
          <w:sz w:val="24"/>
        </w:rPr>
        <w:t>单位名称：</w:t>
      </w:r>
    </w:p>
    <w:p>
      <w:pPr>
        <w:spacing w:line="700" w:lineRule="exact"/>
        <w:ind w:firstLine="480" w:firstLineChars="200"/>
        <w:rPr>
          <w:rFonts w:ascii="宋体" w:hAnsi="宋体" w:cs="宋体"/>
          <w:sz w:val="24"/>
        </w:rPr>
      </w:pPr>
      <w:r>
        <w:rPr>
          <w:rFonts w:hint="eastAsia" w:ascii="宋体" w:hAnsi="宋体" w:cs="宋体"/>
          <w:sz w:val="24"/>
        </w:rPr>
        <w:t>单位性质：</w:t>
      </w:r>
    </w:p>
    <w:p>
      <w:pPr>
        <w:spacing w:line="700" w:lineRule="exact"/>
        <w:ind w:firstLine="480" w:firstLineChars="200"/>
        <w:rPr>
          <w:rFonts w:ascii="宋体" w:hAnsi="宋体" w:cs="宋体"/>
          <w:sz w:val="24"/>
        </w:rPr>
      </w:pPr>
      <w:r>
        <w:rPr>
          <w:rFonts w:hint="eastAsia" w:ascii="宋体" w:hAnsi="宋体" w:cs="宋体"/>
          <w:sz w:val="24"/>
        </w:rPr>
        <w:t>地    址：</w:t>
      </w:r>
    </w:p>
    <w:p>
      <w:pPr>
        <w:spacing w:line="700" w:lineRule="exact"/>
        <w:ind w:firstLine="480" w:firstLineChars="200"/>
        <w:rPr>
          <w:rFonts w:ascii="宋体" w:hAnsi="宋体" w:cs="宋体"/>
          <w:sz w:val="24"/>
        </w:rPr>
      </w:pPr>
      <w:r>
        <w:rPr>
          <w:rFonts w:hint="eastAsia" w:ascii="宋体" w:hAnsi="宋体" w:cs="宋体"/>
          <w:sz w:val="24"/>
        </w:rPr>
        <w:t>成立时间：年月日</w:t>
      </w:r>
    </w:p>
    <w:p>
      <w:pPr>
        <w:spacing w:line="700" w:lineRule="exact"/>
        <w:ind w:firstLine="480" w:firstLineChars="200"/>
        <w:rPr>
          <w:rFonts w:ascii="宋体" w:hAnsi="宋体" w:cs="宋体"/>
          <w:sz w:val="24"/>
        </w:rPr>
      </w:pPr>
      <w:r>
        <w:rPr>
          <w:rFonts w:hint="eastAsia" w:ascii="宋体" w:hAnsi="宋体" w:cs="宋体"/>
          <w:sz w:val="24"/>
        </w:rPr>
        <w:t>经营期限：</w:t>
      </w:r>
    </w:p>
    <w:p>
      <w:pPr>
        <w:spacing w:line="700" w:lineRule="exact"/>
        <w:ind w:firstLine="480" w:firstLineChars="200"/>
        <w:rPr>
          <w:rFonts w:ascii="宋体" w:hAnsi="宋体" w:cs="宋体"/>
          <w:sz w:val="24"/>
        </w:rPr>
      </w:pPr>
      <w:r>
        <w:rPr>
          <w:rFonts w:hint="eastAsia" w:ascii="宋体" w:hAnsi="宋体" w:cs="宋体"/>
          <w:sz w:val="24"/>
        </w:rPr>
        <w:t>姓名： 性别： 年龄： 职务：</w:t>
      </w:r>
    </w:p>
    <w:p>
      <w:pPr>
        <w:spacing w:line="700" w:lineRule="exact"/>
        <w:ind w:firstLine="480" w:firstLineChars="200"/>
        <w:rPr>
          <w:rFonts w:ascii="宋体" w:hAnsi="宋体" w:cs="宋体"/>
          <w:sz w:val="24"/>
        </w:rPr>
      </w:pPr>
      <w:r>
        <w:rPr>
          <w:rFonts w:hint="eastAsia" w:ascii="宋体" w:hAnsi="宋体" w:cs="宋体"/>
          <w:sz w:val="24"/>
        </w:rPr>
        <w:t>系（投标人）的法定代表人。</w:t>
      </w:r>
    </w:p>
    <w:p>
      <w:pPr>
        <w:spacing w:line="500" w:lineRule="exact"/>
        <w:ind w:firstLine="480" w:firstLineChars="200"/>
        <w:rPr>
          <w:rFonts w:ascii="宋体" w:hAnsi="宋体" w:cs="宋体"/>
          <w:sz w:val="24"/>
        </w:rPr>
      </w:pPr>
      <w:r>
        <w:rPr>
          <w:rFonts w:hint="eastAsia" w:ascii="宋体" w:hAnsi="宋体" w:cs="宋体"/>
          <w:sz w:val="24"/>
        </w:rPr>
        <w:t>特此证明。</w:t>
      </w:r>
    </w:p>
    <w:p>
      <w:pPr>
        <w:spacing w:line="500" w:lineRule="exact"/>
        <w:ind w:firstLine="480" w:firstLineChars="200"/>
        <w:rPr>
          <w:rFonts w:ascii="宋体" w:hAnsi="宋体" w:cs="宋体"/>
          <w:sz w:val="24"/>
        </w:rPr>
      </w:pPr>
      <w:r>
        <w:rPr>
          <w:rFonts w:hint="eastAsia" w:ascii="宋体" w:hAnsi="宋体" w:cs="宋体"/>
          <w:sz w:val="24"/>
        </w:rPr>
        <w:t>附： 法定代表人身份证复印件</w:t>
      </w:r>
    </w:p>
    <w:p>
      <w:pPr>
        <w:spacing w:line="500" w:lineRule="exact"/>
        <w:ind w:firstLine="480" w:firstLineChars="200"/>
        <w:rPr>
          <w:rFonts w:ascii="宋体" w:hAnsi="宋体" w:cs="宋体"/>
          <w:sz w:val="24"/>
        </w:rPr>
      </w:pPr>
    </w:p>
    <w:p>
      <w:pPr>
        <w:spacing w:line="500" w:lineRule="exact"/>
        <w:ind w:firstLine="480" w:firstLineChars="200"/>
        <w:rPr>
          <w:rFonts w:ascii="宋体" w:hAnsi="宋体" w:cs="宋体"/>
          <w:sz w:val="24"/>
        </w:rPr>
      </w:pPr>
    </w:p>
    <w:p>
      <w:pPr>
        <w:spacing w:line="500" w:lineRule="exact"/>
        <w:ind w:firstLine="480" w:firstLineChars="200"/>
        <w:rPr>
          <w:rFonts w:ascii="宋体" w:hAnsi="宋体" w:cs="宋体"/>
          <w:sz w:val="24"/>
        </w:rPr>
      </w:pPr>
    </w:p>
    <w:p>
      <w:pPr>
        <w:spacing w:line="500" w:lineRule="exact"/>
        <w:ind w:firstLine="480" w:firstLineChars="200"/>
        <w:rPr>
          <w:rFonts w:ascii="宋体" w:hAnsi="宋体" w:cs="宋体"/>
          <w:sz w:val="24"/>
        </w:rPr>
      </w:pPr>
    </w:p>
    <w:p>
      <w:pPr>
        <w:spacing w:line="500" w:lineRule="exact"/>
        <w:ind w:firstLine="3840" w:firstLineChars="1600"/>
        <w:rPr>
          <w:rFonts w:ascii="宋体" w:hAnsi="宋体" w:cs="宋体"/>
          <w:sz w:val="24"/>
        </w:rPr>
      </w:pPr>
    </w:p>
    <w:p>
      <w:pPr>
        <w:spacing w:line="500" w:lineRule="exact"/>
        <w:ind w:firstLine="3840" w:firstLineChars="1600"/>
        <w:rPr>
          <w:rFonts w:ascii="宋体" w:hAnsi="宋体" w:cs="宋体"/>
          <w:sz w:val="24"/>
        </w:rPr>
      </w:pPr>
    </w:p>
    <w:p>
      <w:pPr>
        <w:spacing w:line="500" w:lineRule="exact"/>
        <w:ind w:firstLine="3840" w:firstLineChars="1600"/>
        <w:rPr>
          <w:rFonts w:ascii="宋体" w:hAnsi="宋体" w:cs="宋体"/>
          <w:sz w:val="24"/>
        </w:rPr>
      </w:pPr>
    </w:p>
    <w:p>
      <w:pPr>
        <w:spacing w:line="500" w:lineRule="exact"/>
        <w:ind w:firstLine="3840" w:firstLineChars="1600"/>
        <w:rPr>
          <w:rFonts w:ascii="宋体" w:hAnsi="宋体" w:cs="宋体"/>
          <w:sz w:val="24"/>
        </w:rPr>
      </w:pPr>
    </w:p>
    <w:p>
      <w:pPr>
        <w:spacing w:line="500" w:lineRule="exact"/>
        <w:ind w:firstLine="5520" w:firstLineChars="2300"/>
        <w:rPr>
          <w:rFonts w:ascii="宋体" w:hAnsi="宋体" w:cs="宋体"/>
          <w:sz w:val="24"/>
        </w:rPr>
      </w:pPr>
      <w:r>
        <w:rPr>
          <w:rFonts w:hint="eastAsia" w:ascii="宋体" w:hAnsi="宋体" w:cs="宋体"/>
          <w:sz w:val="24"/>
        </w:rPr>
        <w:t>投标人（盖章）：</w:t>
      </w:r>
    </w:p>
    <w:p>
      <w:pPr>
        <w:spacing w:line="500" w:lineRule="exact"/>
        <w:ind w:firstLine="5760" w:firstLineChars="2400"/>
        <w:rPr>
          <w:rFonts w:ascii="宋体" w:hAnsi="宋体" w:cs="宋体"/>
          <w:sz w:val="24"/>
        </w:rPr>
      </w:pPr>
      <w:r>
        <w:rPr>
          <w:rFonts w:hint="eastAsia" w:ascii="宋体" w:hAnsi="宋体" w:cs="宋体"/>
          <w:sz w:val="24"/>
        </w:rPr>
        <w:t xml:space="preserve">    年   月   日</w:t>
      </w:r>
    </w:p>
    <w:p>
      <w:pPr>
        <w:overflowPunct w:val="0"/>
        <w:spacing w:line="400" w:lineRule="exact"/>
        <w:ind w:firstLine="480" w:firstLineChars="200"/>
        <w:jc w:val="left"/>
        <w:rPr>
          <w:rFonts w:ascii="宋体" w:hAnsi="宋体" w:cs="宋体"/>
          <w:b/>
          <w:sz w:val="32"/>
          <w:szCs w:val="32"/>
        </w:rPr>
      </w:pPr>
      <w:r>
        <w:rPr>
          <w:rFonts w:hint="eastAsia" w:ascii="宋体" w:hAnsi="宋体" w:cs="宋体"/>
          <w:bCs/>
          <w:sz w:val="24"/>
        </w:rPr>
        <w:br w:type="page"/>
      </w:r>
      <w:bookmarkStart w:id="489" w:name="_Hlk51327061"/>
      <w:r>
        <w:rPr>
          <w:rFonts w:ascii="宋体" w:hAnsi="宋体" w:cs="宋体"/>
          <w:b/>
          <w:sz w:val="32"/>
          <w:szCs w:val="32"/>
        </w:rPr>
        <w:t>2</w:t>
      </w:r>
      <w:r>
        <w:rPr>
          <w:rFonts w:hint="eastAsia" w:ascii="宋体" w:hAnsi="宋体" w:cs="宋体"/>
          <w:bCs/>
          <w:sz w:val="32"/>
          <w:szCs w:val="32"/>
        </w:rPr>
        <w:t>、</w:t>
      </w:r>
      <w:r>
        <w:rPr>
          <w:rFonts w:hint="eastAsia" w:ascii="宋体" w:hAnsi="宋体" w:cs="宋体"/>
          <w:b/>
          <w:sz w:val="32"/>
          <w:szCs w:val="32"/>
        </w:rPr>
        <w:t>法定代表人授权委托书</w:t>
      </w:r>
    </w:p>
    <w:p>
      <w:pPr>
        <w:snapToGrid w:val="0"/>
        <w:spacing w:before="120" w:beforeLines="50" w:after="50" w:line="520" w:lineRule="exact"/>
        <w:jc w:val="center"/>
        <w:rPr>
          <w:rFonts w:ascii="宋体" w:hAnsi="宋体" w:cs="宋体"/>
          <w:b/>
          <w:sz w:val="24"/>
          <w:szCs w:val="20"/>
        </w:rPr>
      </w:pPr>
      <w:r>
        <w:rPr>
          <w:rFonts w:hint="eastAsia" w:ascii="宋体" w:hAnsi="宋体" w:cs="宋体"/>
          <w:b/>
          <w:sz w:val="24"/>
        </w:rPr>
        <w:t>（法定代表人投标的，不需要此内容）</w:t>
      </w:r>
    </w:p>
    <w:bookmarkEnd w:id="489"/>
    <w:p>
      <w:pPr>
        <w:snapToGrid w:val="0"/>
        <w:spacing w:before="120" w:beforeLines="50" w:after="50" w:line="520" w:lineRule="exact"/>
        <w:rPr>
          <w:rFonts w:ascii="宋体" w:hAnsi="宋体" w:cs="宋体"/>
          <w:b/>
          <w:bCs/>
          <w:sz w:val="24"/>
          <w:szCs w:val="20"/>
        </w:rPr>
      </w:pPr>
      <w:r>
        <w:rPr>
          <w:rFonts w:hint="eastAsia" w:ascii="宋体" w:hAnsi="宋体" w:cs="宋体"/>
          <w:bCs/>
          <w:sz w:val="24"/>
        </w:rPr>
        <w:t>致：</w:t>
      </w:r>
      <w:r>
        <w:rPr>
          <w:rFonts w:hint="eastAsia" w:ascii="宋体" w:hAnsi="宋体" w:cs="宋体"/>
          <w:sz w:val="24"/>
        </w:rPr>
        <w:t>（招标采购单位名称）：</w:t>
      </w:r>
    </w:p>
    <w:p>
      <w:pPr>
        <w:snapToGrid w:val="0"/>
        <w:spacing w:before="120" w:beforeLines="50" w:after="50" w:line="520" w:lineRule="exact"/>
        <w:ind w:firstLine="720" w:firstLineChars="300"/>
        <w:rPr>
          <w:rFonts w:ascii="宋体" w:hAnsi="宋体" w:cs="宋体"/>
          <w:sz w:val="24"/>
          <w:szCs w:val="20"/>
        </w:rPr>
      </w:pPr>
      <w:r>
        <w:rPr>
          <w:rFonts w:hint="eastAsia" w:ascii="宋体" w:hAnsi="宋体" w:cs="宋体"/>
          <w:sz w:val="24"/>
        </w:rPr>
        <w:t>我（姓名）系（投标人名称）的法定代表人，现授权委托本单位在职职工 （姓名）以我方的名义参加标段的投标活动，并代表我方全权办理针对上述标段的投标、开标、评标、签约等具体事务和签署相关文件。</w:t>
      </w:r>
    </w:p>
    <w:p>
      <w:pPr>
        <w:snapToGrid w:val="0"/>
        <w:spacing w:before="120" w:beforeLines="50" w:after="50" w:line="520" w:lineRule="exact"/>
        <w:rPr>
          <w:rFonts w:ascii="宋体" w:hAnsi="宋体" w:cs="宋体"/>
          <w:sz w:val="24"/>
          <w:szCs w:val="20"/>
        </w:rPr>
      </w:pPr>
      <w:r>
        <w:rPr>
          <w:rFonts w:hint="eastAsia" w:ascii="宋体" w:hAnsi="宋体" w:cs="宋体"/>
          <w:sz w:val="24"/>
        </w:rPr>
        <w:t xml:space="preserve">    我方对被授权人的签名事项负全部责任。</w:t>
      </w:r>
    </w:p>
    <w:p>
      <w:pPr>
        <w:snapToGrid w:val="0"/>
        <w:spacing w:before="120" w:beforeLines="50" w:after="50" w:line="520" w:lineRule="exact"/>
        <w:ind w:firstLine="480"/>
        <w:rPr>
          <w:rFonts w:ascii="宋体" w:hAnsi="宋体" w:cs="宋体"/>
          <w:sz w:val="24"/>
          <w:szCs w:val="20"/>
        </w:rPr>
      </w:pPr>
      <w:r>
        <w:rPr>
          <w:rFonts w:hint="eastAsia" w:ascii="宋体" w:hAnsi="宋体" w:cs="宋体"/>
          <w:sz w:val="24"/>
          <w:u w:val="single"/>
        </w:rPr>
        <w:t>在撤销授权的书面通知以前，本授权书一直有效。</w:t>
      </w:r>
      <w:r>
        <w:rPr>
          <w:rFonts w:hint="eastAsia" w:ascii="宋体" w:hAnsi="宋体" w:cs="宋体"/>
          <w:sz w:val="24"/>
        </w:rPr>
        <w:t>被授权人在授权书有效期内签署的所有文件不因授权的撤销而失效。</w:t>
      </w:r>
    </w:p>
    <w:p>
      <w:pPr>
        <w:snapToGrid w:val="0"/>
        <w:spacing w:before="120" w:beforeLines="50" w:after="50" w:line="520" w:lineRule="exact"/>
        <w:ind w:firstLine="480"/>
        <w:rPr>
          <w:rFonts w:ascii="宋体" w:hAnsi="宋体" w:cs="宋体"/>
          <w:sz w:val="24"/>
          <w:szCs w:val="20"/>
        </w:rPr>
      </w:pPr>
      <w:r>
        <w:rPr>
          <w:rFonts w:hint="eastAsia" w:ascii="宋体" w:hAnsi="宋体" w:cs="宋体"/>
          <w:sz w:val="24"/>
        </w:rPr>
        <w:t>被授权人无转委托权，特此委托。</w:t>
      </w:r>
    </w:p>
    <w:p>
      <w:pPr>
        <w:snapToGrid w:val="0"/>
        <w:spacing w:before="120" w:beforeLines="50" w:after="50" w:line="520" w:lineRule="exact"/>
        <w:rPr>
          <w:rFonts w:ascii="宋体" w:hAnsi="宋体" w:cs="宋体"/>
          <w:sz w:val="24"/>
          <w:szCs w:val="20"/>
          <w:u w:val="single"/>
        </w:rPr>
      </w:pPr>
      <w:r>
        <w:rPr>
          <w:rFonts w:hint="eastAsia" w:ascii="宋体" w:hAnsi="宋体" w:cs="宋体"/>
          <w:sz w:val="24"/>
        </w:rPr>
        <w:t>被授权人签名： 法定代表人签名：</w:t>
      </w:r>
    </w:p>
    <w:p>
      <w:pPr>
        <w:snapToGrid w:val="0"/>
        <w:spacing w:before="120" w:beforeLines="50" w:after="50" w:line="520" w:lineRule="exact"/>
        <w:rPr>
          <w:rFonts w:ascii="宋体" w:hAnsi="宋体" w:cs="宋体"/>
          <w:sz w:val="24"/>
          <w:szCs w:val="20"/>
        </w:rPr>
      </w:pPr>
      <w:r>
        <w:rPr>
          <w:rFonts w:hint="eastAsia" w:ascii="宋体" w:hAnsi="宋体" w:cs="宋体"/>
          <w:sz w:val="24"/>
        </w:rPr>
        <w:t>职务：                          职务：</w:t>
      </w:r>
    </w:p>
    <w:p>
      <w:pPr>
        <w:snapToGrid w:val="0"/>
        <w:spacing w:before="120" w:beforeLines="50" w:after="50" w:line="520" w:lineRule="exact"/>
        <w:rPr>
          <w:rFonts w:ascii="宋体" w:hAnsi="宋体" w:cs="宋体"/>
          <w:sz w:val="24"/>
          <w:szCs w:val="20"/>
        </w:rPr>
      </w:pPr>
      <w:r>
        <w:rPr>
          <w:rFonts w:hint="eastAsia" w:ascii="宋体" w:hAnsi="宋体" w:cs="宋体"/>
          <w:sz w:val="24"/>
        </w:rPr>
        <w:t>被授权人身份证号码：</w:t>
      </w:r>
    </w:p>
    <w:p>
      <w:pPr>
        <w:snapToGrid w:val="0"/>
        <w:spacing w:before="120" w:beforeLines="50" w:after="50" w:line="520" w:lineRule="exact"/>
        <w:rPr>
          <w:rFonts w:ascii="宋体" w:hAnsi="宋体" w:cs="宋体"/>
          <w:sz w:val="24"/>
        </w:rPr>
      </w:pPr>
      <w:bookmarkStart w:id="490" w:name="_Hlk56093420"/>
      <w:r>
        <w:rPr>
          <w:rFonts w:hint="eastAsia" w:ascii="宋体" w:hAnsi="宋体" w:cs="宋体"/>
          <w:sz w:val="24"/>
        </w:rPr>
        <w:t>附：授权委托人身份证复印件</w:t>
      </w:r>
      <w:bookmarkEnd w:id="490"/>
    </w:p>
    <w:p>
      <w:pPr>
        <w:snapToGrid w:val="0"/>
        <w:spacing w:before="120" w:beforeLines="50" w:after="50" w:line="520" w:lineRule="exact"/>
        <w:rPr>
          <w:rFonts w:ascii="宋体" w:hAnsi="宋体" w:cs="宋体"/>
          <w:sz w:val="24"/>
        </w:rPr>
      </w:pPr>
    </w:p>
    <w:p>
      <w:pPr>
        <w:snapToGrid w:val="0"/>
        <w:spacing w:before="120" w:beforeLines="50" w:after="50" w:line="520" w:lineRule="exact"/>
        <w:rPr>
          <w:rFonts w:ascii="宋体" w:hAnsi="宋体" w:cs="宋体"/>
          <w:sz w:val="24"/>
        </w:rPr>
      </w:pPr>
    </w:p>
    <w:p>
      <w:pPr>
        <w:snapToGrid w:val="0"/>
        <w:spacing w:before="120" w:beforeLines="50" w:after="50" w:line="520" w:lineRule="exact"/>
        <w:rPr>
          <w:rFonts w:ascii="宋体" w:hAnsi="宋体" w:cs="宋体"/>
          <w:sz w:val="24"/>
        </w:rPr>
      </w:pPr>
    </w:p>
    <w:p>
      <w:pPr>
        <w:snapToGrid w:val="0"/>
        <w:spacing w:before="120" w:beforeLines="50" w:after="50" w:line="520" w:lineRule="exact"/>
        <w:ind w:firstLine="5520" w:firstLineChars="2300"/>
        <w:rPr>
          <w:rFonts w:ascii="宋体" w:hAnsi="宋体" w:cs="宋体"/>
          <w:sz w:val="24"/>
        </w:rPr>
      </w:pPr>
    </w:p>
    <w:p>
      <w:pPr>
        <w:snapToGrid w:val="0"/>
        <w:spacing w:before="120" w:beforeLines="50" w:after="50" w:line="520" w:lineRule="exact"/>
        <w:ind w:firstLine="5520" w:firstLineChars="2300"/>
        <w:rPr>
          <w:rFonts w:ascii="宋体" w:hAnsi="宋体" w:cs="宋体"/>
          <w:sz w:val="24"/>
        </w:rPr>
      </w:pPr>
    </w:p>
    <w:p>
      <w:pPr>
        <w:snapToGrid w:val="0"/>
        <w:spacing w:before="120" w:beforeLines="50" w:after="50" w:line="520" w:lineRule="exact"/>
        <w:ind w:firstLine="5520" w:firstLineChars="2300"/>
        <w:rPr>
          <w:rFonts w:ascii="宋体" w:hAnsi="宋体" w:cs="宋体"/>
          <w:sz w:val="24"/>
          <w:szCs w:val="20"/>
        </w:rPr>
      </w:pPr>
      <w:r>
        <w:rPr>
          <w:rFonts w:hint="eastAsia" w:ascii="宋体" w:hAnsi="宋体" w:cs="宋体"/>
          <w:sz w:val="24"/>
        </w:rPr>
        <w:t>投标人公章：</w:t>
      </w:r>
    </w:p>
    <w:p>
      <w:pPr>
        <w:snapToGrid w:val="0"/>
        <w:spacing w:before="120" w:beforeLines="50" w:after="50" w:line="520" w:lineRule="exact"/>
        <w:jc w:val="center"/>
        <w:rPr>
          <w:rFonts w:ascii="宋体" w:hAnsi="宋体" w:cs="宋体"/>
        </w:rPr>
      </w:pPr>
      <w:r>
        <w:rPr>
          <w:rFonts w:hint="eastAsia" w:ascii="宋体" w:hAnsi="宋体" w:cs="宋体"/>
        </w:rPr>
        <w:t xml:space="preserve">                                    年    月    日</w:t>
      </w:r>
    </w:p>
    <w:p>
      <w:pPr>
        <w:snapToGrid w:val="0"/>
        <w:spacing w:before="120" w:beforeLines="50" w:after="50" w:line="520" w:lineRule="exact"/>
        <w:jc w:val="center"/>
        <w:rPr>
          <w:rFonts w:ascii="宋体" w:hAnsi="宋体" w:cs="宋体"/>
        </w:rPr>
        <w:sectPr>
          <w:footerReference r:id="rId9" w:type="default"/>
          <w:pgSz w:w="11906" w:h="16838"/>
          <w:pgMar w:top="1440" w:right="1077" w:bottom="1440" w:left="1077" w:header="851" w:footer="992" w:gutter="0"/>
          <w:pgNumType w:chapStyle="1"/>
          <w:cols w:space="0" w:num="1"/>
          <w:docGrid w:linePitch="602" w:charSpace="0"/>
        </w:sectPr>
      </w:pPr>
    </w:p>
    <w:p>
      <w:pPr>
        <w:spacing w:line="400" w:lineRule="exact"/>
        <w:ind w:firstLine="643" w:firstLineChars="200"/>
        <w:jc w:val="left"/>
        <w:rPr>
          <w:rFonts w:ascii="宋体" w:hAnsi="宋体" w:cs="宋体"/>
          <w:b/>
          <w:sz w:val="32"/>
          <w:szCs w:val="32"/>
        </w:rPr>
      </w:pPr>
      <w:r>
        <w:rPr>
          <w:rFonts w:hint="eastAsia" w:ascii="宋体" w:hAnsi="宋体" w:cs="宋体"/>
          <w:b/>
          <w:sz w:val="32"/>
          <w:szCs w:val="32"/>
        </w:rPr>
        <w:t>3、投标函</w:t>
      </w:r>
    </w:p>
    <w:p>
      <w:pPr>
        <w:snapToGrid w:val="0"/>
        <w:spacing w:line="440" w:lineRule="exact"/>
        <w:rPr>
          <w:rFonts w:ascii="宋体" w:hAnsi="宋体" w:cs="宋体"/>
          <w:szCs w:val="21"/>
        </w:rPr>
      </w:pPr>
      <w:r>
        <w:rPr>
          <w:rFonts w:hint="eastAsia" w:ascii="宋体" w:hAnsi="宋体" w:cs="宋体"/>
          <w:szCs w:val="21"/>
        </w:rPr>
        <w:t>致：</w:t>
      </w:r>
      <w:r>
        <w:rPr>
          <w:rFonts w:hint="eastAsia" w:ascii="宋体" w:hAnsi="宋体" w:cs="宋体"/>
          <w:szCs w:val="21"/>
          <w:u w:val="single"/>
        </w:rPr>
        <w:t>（采购单位名称）</w:t>
      </w:r>
      <w:r>
        <w:rPr>
          <w:rFonts w:hint="eastAsia" w:ascii="宋体" w:hAnsi="宋体" w:cs="宋体"/>
          <w:szCs w:val="21"/>
        </w:rPr>
        <w:t>：</w:t>
      </w:r>
    </w:p>
    <w:p>
      <w:pPr>
        <w:snapToGrid w:val="0"/>
        <w:spacing w:line="440" w:lineRule="exact"/>
        <w:ind w:firstLine="480"/>
        <w:rPr>
          <w:rFonts w:ascii="宋体" w:hAnsi="宋体" w:cs="宋体"/>
          <w:szCs w:val="21"/>
        </w:rPr>
      </w:pPr>
      <w:r>
        <w:rPr>
          <w:rFonts w:hint="eastAsia" w:ascii="宋体" w:hAnsi="宋体" w:cs="宋体"/>
          <w:szCs w:val="21"/>
        </w:rPr>
        <w:t>根据贵方的招标采购文件，签字代表___（全名）经正式授权并代表投标人_____（投标人名称）提交投标文件。</w:t>
      </w:r>
    </w:p>
    <w:p>
      <w:pPr>
        <w:snapToGrid w:val="0"/>
        <w:spacing w:line="440" w:lineRule="exact"/>
        <w:ind w:firstLine="420" w:firstLineChars="200"/>
        <w:rPr>
          <w:rFonts w:ascii="宋体" w:hAnsi="宋体" w:cs="宋体"/>
          <w:szCs w:val="21"/>
        </w:rPr>
      </w:pPr>
      <w:r>
        <w:rPr>
          <w:rFonts w:hint="eastAsia" w:ascii="宋体" w:hAnsi="宋体" w:cs="宋体"/>
          <w:szCs w:val="21"/>
        </w:rPr>
        <w:t>据此函，我方承诺：</w:t>
      </w:r>
    </w:p>
    <w:p>
      <w:pPr>
        <w:snapToGrid w:val="0"/>
        <w:spacing w:line="440" w:lineRule="exact"/>
        <w:ind w:firstLine="420" w:firstLineChars="200"/>
        <w:rPr>
          <w:rFonts w:ascii="宋体" w:hAnsi="宋体" w:cs="宋体"/>
          <w:szCs w:val="21"/>
        </w:rPr>
      </w:pPr>
      <w:r>
        <w:rPr>
          <w:rFonts w:hint="eastAsia" w:ascii="宋体" w:hAnsi="宋体" w:cs="宋体"/>
          <w:szCs w:val="21"/>
        </w:rPr>
        <w:t>1.投标人已详细审查全部“招标文件”，包括修改文件（如有）以及全部参考资料和有关附件，已经了解我方对于招标文件、采购过程、采购结果有依法进行询问、质疑、投诉的权利及相关渠道和要求。</w:t>
      </w:r>
    </w:p>
    <w:p>
      <w:pPr>
        <w:snapToGrid w:val="0"/>
        <w:spacing w:line="440" w:lineRule="exact"/>
        <w:ind w:firstLine="420" w:firstLineChars="200"/>
        <w:rPr>
          <w:rFonts w:ascii="宋体" w:hAnsi="宋体" w:cs="宋体"/>
          <w:szCs w:val="21"/>
        </w:rPr>
      </w:pPr>
      <w:r>
        <w:rPr>
          <w:rFonts w:hint="eastAsia" w:ascii="宋体" w:hAnsi="宋体" w:cs="宋体"/>
          <w:szCs w:val="21"/>
        </w:rPr>
        <w:t>2.我单位承诺本项目投标报价为：</w:t>
      </w:r>
      <w:r>
        <w:rPr>
          <w:rFonts w:hint="eastAsia" w:ascii="宋体" w:hAnsi="宋体" w:cs="宋体"/>
          <w:szCs w:val="21"/>
          <w:u w:val="single"/>
        </w:rPr>
        <w:t>（人民币大写：       ）</w:t>
      </w:r>
      <w:r>
        <w:rPr>
          <w:rFonts w:hint="eastAsia" w:ascii="宋体" w:hAnsi="宋体" w:cs="宋体"/>
          <w:szCs w:val="21"/>
        </w:rPr>
        <w:t>（小写</w:t>
      </w:r>
      <w:r>
        <w:rPr>
          <w:rFonts w:hint="eastAsia" w:ascii="宋体" w:hAnsi="宋体" w:cs="宋体"/>
          <w:szCs w:val="21"/>
          <w:u w:val="single"/>
        </w:rPr>
        <w:t xml:space="preserve">           </w:t>
      </w:r>
      <w:r>
        <w:rPr>
          <w:rFonts w:hint="eastAsia" w:ascii="宋体" w:hAnsi="宋体" w:cs="宋体"/>
          <w:szCs w:val="21"/>
        </w:rPr>
        <w:t xml:space="preserve"> 元），明细如下：</w:t>
      </w:r>
    </w:p>
    <w:p>
      <w:pPr>
        <w:snapToGrid w:val="0"/>
        <w:spacing w:line="440" w:lineRule="exact"/>
        <w:ind w:firstLine="420" w:firstLineChars="200"/>
        <w:rPr>
          <w:rFonts w:ascii="宋体" w:hAnsi="宋体" w:cs="宋体"/>
          <w:szCs w:val="21"/>
        </w:rPr>
      </w:pPr>
      <w:r>
        <w:rPr>
          <w:rFonts w:hint="eastAsia" w:ascii="宋体" w:hAnsi="宋体" w:cs="宋体"/>
          <w:szCs w:val="21"/>
        </w:rPr>
        <w:t>我单位承诺供货数量以实际供货数量为准，结算总价=∑实际供货数量×上述投标单价。你单位若无变更，上述报价即为最终结算单价。</w:t>
      </w:r>
    </w:p>
    <w:p>
      <w:pPr>
        <w:snapToGrid w:val="0"/>
        <w:spacing w:line="440" w:lineRule="exact"/>
        <w:ind w:firstLine="420" w:firstLineChars="200"/>
        <w:rPr>
          <w:rFonts w:ascii="宋体" w:hAnsi="宋体" w:cs="宋体"/>
          <w:szCs w:val="21"/>
        </w:rPr>
      </w:pPr>
      <w:r>
        <w:rPr>
          <w:rFonts w:hint="eastAsia" w:ascii="宋体" w:hAnsi="宋体" w:cs="宋体"/>
          <w:szCs w:val="21"/>
        </w:rPr>
        <w:t>如我单位中标，我单位承诺在合同签订后</w:t>
      </w:r>
      <w:r>
        <w:rPr>
          <w:rFonts w:hint="eastAsia" w:ascii="宋体" w:hAnsi="宋体" w:cs="宋体"/>
          <w:szCs w:val="21"/>
          <w:u w:val="single"/>
        </w:rPr>
        <w:t xml:space="preserve">       </w:t>
      </w:r>
      <w:r>
        <w:rPr>
          <w:rFonts w:hint="eastAsia" w:ascii="宋体" w:hAnsi="宋体" w:cs="宋体"/>
          <w:szCs w:val="21"/>
        </w:rPr>
        <w:t>日历天内完成供货、安装等全部工作内容。</w:t>
      </w:r>
    </w:p>
    <w:p>
      <w:pPr>
        <w:snapToGrid w:val="0"/>
        <w:spacing w:line="440" w:lineRule="exact"/>
        <w:ind w:firstLine="420" w:firstLineChars="200"/>
        <w:rPr>
          <w:rFonts w:ascii="宋体" w:hAnsi="宋体" w:cs="宋体"/>
          <w:szCs w:val="21"/>
        </w:rPr>
      </w:pPr>
      <w:r>
        <w:rPr>
          <w:rFonts w:hint="eastAsia" w:ascii="宋体" w:hAnsi="宋体" w:cs="宋体"/>
          <w:szCs w:val="21"/>
        </w:rPr>
        <w:t>3. 如果我方的投标书被接受，我方将严格履行招标文件中规定的每一项要求，严格履行合同的责任和义务，保证按期、按质履行合同，完成合同内容所规定的全部工作；投标人在投标之前已经完全理解并接受招标文件的各项规定和要求，对招标文件的合理性、合法性不再有异议。</w:t>
      </w:r>
    </w:p>
    <w:p>
      <w:pPr>
        <w:tabs>
          <w:tab w:val="left" w:pos="780"/>
          <w:tab w:val="left" w:pos="1400"/>
        </w:tabs>
        <w:spacing w:line="440" w:lineRule="exact"/>
        <w:ind w:firstLine="420" w:firstLineChars="200"/>
        <w:rPr>
          <w:rFonts w:ascii="宋体" w:hAnsi="宋体" w:cs="宋体"/>
          <w:szCs w:val="21"/>
        </w:rPr>
      </w:pPr>
      <w:r>
        <w:rPr>
          <w:rFonts w:hint="eastAsia" w:ascii="宋体" w:hAnsi="宋体" w:cs="宋体"/>
          <w:szCs w:val="21"/>
        </w:rPr>
        <w:t xml:space="preserve">4. 本投标有效期自开标日起 </w:t>
      </w:r>
      <w:r>
        <w:rPr>
          <w:rFonts w:ascii="宋体" w:hAnsi="宋体" w:cs="宋体"/>
          <w:szCs w:val="21"/>
        </w:rPr>
        <w:t>6</w:t>
      </w:r>
      <w:r>
        <w:rPr>
          <w:rFonts w:hint="eastAsia" w:ascii="宋体" w:hAnsi="宋体" w:cs="宋体"/>
          <w:szCs w:val="21"/>
        </w:rPr>
        <w:t>0日历天。</w:t>
      </w:r>
    </w:p>
    <w:p>
      <w:pPr>
        <w:snapToGrid w:val="0"/>
        <w:spacing w:line="440" w:lineRule="exact"/>
        <w:ind w:firstLine="420" w:firstLineChars="200"/>
        <w:rPr>
          <w:rFonts w:ascii="宋体" w:hAnsi="宋体" w:cs="宋体"/>
          <w:szCs w:val="21"/>
        </w:rPr>
      </w:pPr>
      <w:r>
        <w:rPr>
          <w:rFonts w:ascii="宋体" w:hAnsi="宋体" w:cs="宋体"/>
          <w:szCs w:val="21"/>
        </w:rPr>
        <w:t>5</w:t>
      </w:r>
      <w:r>
        <w:rPr>
          <w:rFonts w:hint="eastAsia" w:ascii="宋体" w:hAnsi="宋体" w:cs="宋体"/>
          <w:szCs w:val="21"/>
        </w:rPr>
        <w:t>.如中标，本投标文件至本项目合同履行完毕止均保持有效，本投标人将按“招标文件”及政府采购法律、法规的规定履行合同责任和义务。</w:t>
      </w:r>
    </w:p>
    <w:p>
      <w:pPr>
        <w:snapToGrid w:val="0"/>
        <w:spacing w:line="440" w:lineRule="exact"/>
        <w:ind w:firstLine="420" w:firstLineChars="200"/>
        <w:rPr>
          <w:rFonts w:ascii="宋体" w:hAnsi="宋体" w:cs="宋体"/>
          <w:szCs w:val="21"/>
        </w:rPr>
      </w:pPr>
      <w:r>
        <w:rPr>
          <w:rFonts w:ascii="宋体" w:hAnsi="宋体" w:cs="宋体"/>
          <w:szCs w:val="21"/>
        </w:rPr>
        <w:t>6</w:t>
      </w:r>
      <w:r>
        <w:rPr>
          <w:rFonts w:hint="eastAsia" w:ascii="宋体" w:hAnsi="宋体" w:cs="宋体"/>
          <w:szCs w:val="21"/>
        </w:rPr>
        <w:t>.投标人同意按照贵方要求提供与投标有关的一切数据或资料。</w:t>
      </w:r>
    </w:p>
    <w:p>
      <w:pPr>
        <w:snapToGrid w:val="0"/>
        <w:spacing w:line="440" w:lineRule="exact"/>
        <w:ind w:firstLine="420" w:firstLineChars="200"/>
        <w:rPr>
          <w:rFonts w:ascii="宋体" w:hAnsi="宋体" w:cs="宋体"/>
          <w:szCs w:val="21"/>
        </w:rPr>
      </w:pPr>
      <w:r>
        <w:rPr>
          <w:rFonts w:ascii="宋体" w:hAnsi="宋体" w:cs="宋体"/>
          <w:szCs w:val="21"/>
        </w:rPr>
        <w:t>7</w:t>
      </w:r>
      <w:r>
        <w:rPr>
          <w:rFonts w:hint="eastAsia" w:ascii="宋体" w:hAnsi="宋体" w:cs="宋体"/>
          <w:szCs w:val="21"/>
        </w:rPr>
        <w:t>.我单位承诺：如果我单位中标，我单位在中标公示结束后的2个工作日内领取中标通知书，并于领取中标通知书后的5日内与你单位签订合同，如我单位不能在上述规定的时间内领取中标通知书、未能或拒签合同，你单位有权另行选择中标单位，我单位已经发生的各项费用由我单位承担。</w:t>
      </w:r>
    </w:p>
    <w:p>
      <w:pPr>
        <w:snapToGrid w:val="0"/>
        <w:spacing w:line="440" w:lineRule="exact"/>
        <w:ind w:firstLine="420" w:firstLineChars="200"/>
        <w:rPr>
          <w:rFonts w:ascii="宋体" w:hAnsi="宋体" w:cs="宋体"/>
          <w:szCs w:val="21"/>
        </w:rPr>
      </w:pPr>
      <w:r>
        <w:rPr>
          <w:rFonts w:ascii="宋体" w:hAnsi="宋体" w:cs="宋体"/>
          <w:szCs w:val="21"/>
        </w:rPr>
        <w:t>8</w:t>
      </w:r>
      <w:r>
        <w:rPr>
          <w:rFonts w:hint="eastAsia" w:ascii="宋体" w:hAnsi="宋体" w:cs="宋体"/>
          <w:szCs w:val="21"/>
        </w:rPr>
        <w:t>.与本投标有关的一切正式往来信函请寄：</w:t>
      </w:r>
    </w:p>
    <w:p>
      <w:pPr>
        <w:snapToGrid w:val="0"/>
        <w:spacing w:line="440" w:lineRule="exact"/>
        <w:rPr>
          <w:rFonts w:ascii="宋体" w:hAnsi="宋体" w:cs="宋体"/>
          <w:szCs w:val="21"/>
        </w:rPr>
      </w:pPr>
      <w:r>
        <w:rPr>
          <w:rFonts w:hint="eastAsia" w:ascii="宋体" w:hAnsi="宋体" w:cs="宋体"/>
          <w:szCs w:val="21"/>
        </w:rPr>
        <w:t>地址：__________</w:t>
      </w:r>
      <w:r>
        <w:rPr>
          <w:rFonts w:hint="eastAsia" w:ascii="宋体" w:hAnsi="宋体" w:cs="宋体"/>
          <w:szCs w:val="21"/>
          <w:u w:val="single"/>
        </w:rPr>
        <w:t xml:space="preserve">        _</w:t>
      </w:r>
      <w:r>
        <w:rPr>
          <w:rFonts w:hint="eastAsia" w:ascii="宋体" w:hAnsi="宋体" w:cs="宋体"/>
          <w:szCs w:val="21"/>
        </w:rPr>
        <w:t>____邮编：__________   电话：______________</w:t>
      </w:r>
    </w:p>
    <w:p>
      <w:pPr>
        <w:snapToGrid w:val="0"/>
        <w:spacing w:line="440" w:lineRule="exact"/>
        <w:rPr>
          <w:rFonts w:ascii="宋体" w:hAnsi="宋体" w:cs="宋体"/>
          <w:szCs w:val="21"/>
        </w:rPr>
      </w:pPr>
      <w:r>
        <w:rPr>
          <w:rFonts w:hint="eastAsia" w:ascii="宋体" w:hAnsi="宋体" w:cs="宋体"/>
          <w:szCs w:val="21"/>
        </w:rPr>
        <w:t>传真：______________投标人代表姓名 ___________  职务：_____________</w:t>
      </w:r>
    </w:p>
    <w:p>
      <w:pPr>
        <w:snapToGrid w:val="0"/>
        <w:spacing w:line="440" w:lineRule="exact"/>
        <w:rPr>
          <w:rFonts w:ascii="宋体" w:hAnsi="宋体" w:cs="宋体"/>
          <w:szCs w:val="21"/>
        </w:rPr>
      </w:pPr>
      <w:r>
        <w:rPr>
          <w:rFonts w:hint="eastAsia" w:ascii="宋体" w:hAnsi="宋体" w:cs="宋体"/>
          <w:szCs w:val="21"/>
        </w:rPr>
        <w:t>投标人名称(公章):___________________</w:t>
      </w:r>
    </w:p>
    <w:p>
      <w:pPr>
        <w:snapToGrid w:val="0"/>
        <w:spacing w:line="440" w:lineRule="exact"/>
        <w:rPr>
          <w:rFonts w:ascii="宋体" w:hAnsi="宋体" w:cs="宋体"/>
          <w:szCs w:val="21"/>
        </w:rPr>
      </w:pPr>
      <w:r>
        <w:rPr>
          <w:rFonts w:hint="eastAsia" w:ascii="宋体" w:hAnsi="宋体" w:cs="宋体"/>
          <w:szCs w:val="21"/>
        </w:rPr>
        <w:t>开户银行：   银行帐号：</w:t>
      </w:r>
    </w:p>
    <w:p>
      <w:pPr>
        <w:snapToGrid w:val="0"/>
        <w:spacing w:line="440" w:lineRule="exact"/>
        <w:rPr>
          <w:rFonts w:ascii="宋体" w:hAnsi="宋体" w:cs="宋体"/>
          <w:sz w:val="28"/>
          <w:szCs w:val="21"/>
        </w:rPr>
      </w:pPr>
      <w:r>
        <w:rPr>
          <w:rFonts w:hint="eastAsia" w:ascii="宋体" w:hAnsi="宋体" w:cs="宋体"/>
          <w:szCs w:val="21"/>
        </w:rPr>
        <w:t>授权代表签字:___________                      日期:_____年___月___日</w:t>
      </w:r>
    </w:p>
    <w:p>
      <w:pPr>
        <w:spacing w:before="120" w:after="120" w:line="440" w:lineRule="exact"/>
        <w:rPr>
          <w:rFonts w:ascii="宋体" w:hAnsi="宋体" w:cs="宋体"/>
          <w:sz w:val="28"/>
          <w:szCs w:val="21"/>
        </w:rPr>
        <w:sectPr>
          <w:pgSz w:w="11906" w:h="16838"/>
          <w:pgMar w:top="1440" w:right="1077" w:bottom="1440" w:left="1077" w:header="851" w:footer="992" w:gutter="0"/>
          <w:cols w:space="0" w:num="1"/>
          <w:docGrid w:linePitch="602" w:charSpace="0"/>
        </w:sectPr>
      </w:pPr>
    </w:p>
    <w:p>
      <w:pPr>
        <w:spacing w:line="360" w:lineRule="auto"/>
        <w:ind w:firstLine="361"/>
        <w:rPr>
          <w:rFonts w:ascii="宋体" w:hAnsi="宋体" w:cs="宋体"/>
          <w:b/>
          <w:sz w:val="32"/>
          <w:szCs w:val="32"/>
        </w:rPr>
      </w:pPr>
      <w:r>
        <w:rPr>
          <w:rFonts w:hint="eastAsia" w:ascii="宋体" w:hAnsi="宋体" w:cs="宋体"/>
          <w:b/>
          <w:sz w:val="32"/>
          <w:szCs w:val="32"/>
        </w:rPr>
        <w:t>4、投标报价表（格式）</w:t>
      </w:r>
    </w:p>
    <w:p>
      <w:pPr>
        <w:spacing w:line="360" w:lineRule="auto"/>
        <w:ind w:firstLine="361"/>
        <w:rPr>
          <w:rFonts w:ascii="宋体" w:hAnsi="宋体" w:cs="宋体"/>
          <w:b/>
          <w:sz w:val="18"/>
          <w:szCs w:val="18"/>
        </w:rPr>
      </w:pPr>
    </w:p>
    <w:p>
      <w:pPr>
        <w:spacing w:line="360" w:lineRule="auto"/>
        <w:jc w:val="center"/>
        <w:rPr>
          <w:rFonts w:ascii="宋体" w:hAnsi="宋体" w:cs="宋体"/>
          <w:b/>
          <w:bCs/>
          <w:sz w:val="24"/>
        </w:rPr>
      </w:pPr>
      <w:r>
        <w:rPr>
          <w:rFonts w:hint="eastAsia" w:ascii="宋体" w:hAnsi="宋体" w:cs="宋体"/>
          <w:b/>
          <w:bCs/>
          <w:sz w:val="24"/>
        </w:rPr>
        <w:t>投标报价明细表</w:t>
      </w:r>
    </w:p>
    <w:p>
      <w:pPr>
        <w:widowControl/>
        <w:spacing w:before="50" w:after="50" w:line="360" w:lineRule="auto"/>
        <w:ind w:firstLine="480"/>
        <w:rPr>
          <w:rFonts w:ascii="宋体" w:hAnsi="宋体" w:cs="宋体"/>
          <w:spacing w:val="20"/>
          <w:kern w:val="0"/>
          <w:sz w:val="24"/>
          <w:u w:val="single"/>
        </w:rPr>
      </w:pPr>
    </w:p>
    <w:p>
      <w:pPr>
        <w:widowControl/>
        <w:spacing w:before="50" w:after="50" w:line="360" w:lineRule="auto"/>
        <w:ind w:firstLine="480"/>
        <w:rPr>
          <w:rFonts w:ascii="宋体" w:hAnsi="宋体" w:cs="宋体"/>
          <w:spacing w:val="20"/>
          <w:kern w:val="0"/>
          <w:szCs w:val="21"/>
          <w:u w:val="single"/>
        </w:rPr>
      </w:pPr>
      <w:r>
        <w:rPr>
          <w:rFonts w:hint="eastAsia" w:ascii="宋体" w:hAnsi="宋体" w:cs="宋体"/>
          <w:spacing w:val="20"/>
          <w:kern w:val="0"/>
          <w:szCs w:val="21"/>
          <w:u w:val="single"/>
        </w:rPr>
        <w:t>投标人根据采购需求自制，包括品牌型号、技术参数、单价、数量、合价等内容。</w:t>
      </w:r>
    </w:p>
    <w:p>
      <w:pPr>
        <w:widowControl/>
        <w:spacing w:before="50" w:after="50" w:line="360" w:lineRule="auto"/>
        <w:ind w:firstLine="480"/>
        <w:rPr>
          <w:rFonts w:ascii="宋体" w:hAnsi="宋体" w:cs="宋体"/>
          <w:spacing w:val="20"/>
          <w:kern w:val="0"/>
          <w:szCs w:val="21"/>
          <w:u w:val="single"/>
        </w:rPr>
      </w:pPr>
    </w:p>
    <w:p>
      <w:pPr>
        <w:widowControl/>
        <w:spacing w:before="50" w:after="50" w:line="360" w:lineRule="auto"/>
        <w:rPr>
          <w:rFonts w:ascii="宋体" w:hAnsi="宋体" w:cs="宋体"/>
          <w:spacing w:val="20"/>
          <w:kern w:val="0"/>
          <w:szCs w:val="21"/>
          <w:u w:val="single"/>
        </w:rPr>
      </w:pPr>
      <w:r>
        <w:rPr>
          <w:rFonts w:hint="eastAsia" w:ascii="宋体" w:hAnsi="宋体" w:cs="宋体"/>
          <w:spacing w:val="20"/>
          <w:kern w:val="0"/>
          <w:szCs w:val="21"/>
        </w:rPr>
        <w:t>授权代表签名：</w:t>
      </w:r>
    </w:p>
    <w:p>
      <w:pPr>
        <w:widowControl/>
        <w:spacing w:before="50" w:after="50" w:line="360" w:lineRule="auto"/>
        <w:rPr>
          <w:rFonts w:ascii="宋体" w:hAnsi="宋体" w:cs="宋体"/>
          <w:spacing w:val="20"/>
          <w:kern w:val="0"/>
          <w:szCs w:val="21"/>
          <w:u w:val="single"/>
        </w:rPr>
      </w:pPr>
      <w:r>
        <w:rPr>
          <w:rFonts w:hint="eastAsia" w:ascii="宋体" w:hAnsi="宋体" w:cs="宋体"/>
          <w:spacing w:val="20"/>
          <w:kern w:val="0"/>
          <w:szCs w:val="21"/>
        </w:rPr>
        <w:t>投标人盖章：          日 期：</w:t>
      </w:r>
    </w:p>
    <w:p>
      <w:pPr>
        <w:widowControl/>
        <w:spacing w:line="360" w:lineRule="auto"/>
        <w:ind w:left="546" w:leftChars="210" w:hanging="105" w:hangingChars="50"/>
        <w:rPr>
          <w:rFonts w:ascii="宋体" w:hAnsi="宋体" w:cs="宋体"/>
          <w:kern w:val="0"/>
          <w:szCs w:val="21"/>
        </w:rPr>
      </w:pPr>
      <w:r>
        <w:rPr>
          <w:rFonts w:hint="eastAsia" w:ascii="宋体" w:hAnsi="宋体" w:cs="宋体"/>
          <w:kern w:val="0"/>
          <w:szCs w:val="21"/>
        </w:rPr>
        <w:t>注：投标总报价包含材料费、运杂费、人工费、检测费、各种辅助材料、招标代理费及税费等一切费用（确保运行正常）。</w:t>
      </w:r>
    </w:p>
    <w:p>
      <w:pPr>
        <w:spacing w:line="440" w:lineRule="exact"/>
        <w:jc w:val="center"/>
        <w:rPr>
          <w:rFonts w:ascii="宋体" w:hAnsi="宋体" w:cs="宋体"/>
          <w:b/>
          <w:bCs/>
          <w:szCs w:val="21"/>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autoSpaceDE w:val="0"/>
        <w:autoSpaceDN w:val="0"/>
        <w:spacing w:line="360" w:lineRule="auto"/>
        <w:rPr>
          <w:rFonts w:ascii="宋体" w:hAnsi="宋体" w:cs="宋体"/>
          <w:bCs/>
          <w:szCs w:val="21"/>
          <w:lang w:val="zh-CN"/>
        </w:rPr>
      </w:pPr>
      <w:r>
        <w:rPr>
          <w:rFonts w:hint="eastAsia" w:ascii="宋体" w:hAnsi="宋体" w:cs="宋体"/>
          <w:lang w:val="zh-CN"/>
        </w:rPr>
        <w:br w:type="page"/>
      </w:r>
    </w:p>
    <w:p>
      <w:pPr>
        <w:widowControl/>
        <w:jc w:val="left"/>
        <w:rPr>
          <w:rFonts w:ascii="宋体" w:hAnsi="宋体" w:cs="宋体"/>
          <w:b/>
          <w:sz w:val="24"/>
        </w:rPr>
      </w:pPr>
    </w:p>
    <w:p>
      <w:r>
        <w:rPr>
          <w:rFonts w:hint="eastAsia" w:ascii="宋体" w:hAnsi="宋体" w:cs="宋体"/>
          <w:b/>
          <w:sz w:val="32"/>
          <w:szCs w:val="32"/>
        </w:rPr>
        <w:t>5. 商务及技术条款偏离表</w:t>
      </w:r>
    </w:p>
    <w:p>
      <w:pPr>
        <w:spacing w:line="360" w:lineRule="auto"/>
        <w:ind w:firstLine="363"/>
        <w:jc w:val="center"/>
        <w:rPr>
          <w:rFonts w:ascii="宋体" w:hAnsi="宋体" w:cs="宋体"/>
          <w:b/>
          <w:sz w:val="28"/>
          <w:szCs w:val="28"/>
        </w:rPr>
      </w:pPr>
      <w:r>
        <w:rPr>
          <w:rFonts w:hint="eastAsia" w:ascii="宋体" w:hAnsi="宋体" w:cs="宋体"/>
          <w:b/>
          <w:sz w:val="28"/>
          <w:szCs w:val="28"/>
        </w:rPr>
        <w:t>商务及技术条款偏离表</w:t>
      </w:r>
    </w:p>
    <w:p>
      <w:pPr>
        <w:spacing w:line="360" w:lineRule="auto"/>
        <w:jc w:val="center"/>
        <w:rPr>
          <w:rFonts w:ascii="宋体" w:hAnsi="宋体" w:cs="宋体"/>
        </w:rPr>
      </w:pPr>
    </w:p>
    <w:p>
      <w:pPr>
        <w:spacing w:line="360" w:lineRule="auto"/>
        <w:ind w:right="-365" w:rightChars="-174" w:firstLine="329" w:firstLineChars="157"/>
        <w:rPr>
          <w:rFonts w:ascii="宋体" w:hAnsi="宋体" w:cs="宋体"/>
          <w:szCs w:val="21"/>
        </w:rPr>
      </w:pPr>
      <w:r>
        <w:rPr>
          <w:rFonts w:hint="eastAsia" w:ascii="宋体" w:hAnsi="宋体" w:cs="宋体"/>
          <w:szCs w:val="21"/>
        </w:rPr>
        <w:t>招标编号：                                         标段号（如有时）：</w:t>
      </w:r>
    </w:p>
    <w:tbl>
      <w:tblPr>
        <w:tblStyle w:val="31"/>
        <w:tblW w:w="8941"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400"/>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序号</w:t>
            </w:r>
          </w:p>
        </w:tc>
        <w:tc>
          <w:tcPr>
            <w:tcW w:w="144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szCs w:val="21"/>
              </w:rPr>
            </w:pPr>
            <w:r>
              <w:rPr>
                <w:rFonts w:hint="eastAsia" w:ascii="宋体" w:hAnsi="宋体" w:cs="宋体"/>
                <w:szCs w:val="21"/>
              </w:rPr>
              <w:t>招标文件</w:t>
            </w:r>
          </w:p>
          <w:p>
            <w:pPr>
              <w:spacing w:line="360" w:lineRule="auto"/>
              <w:jc w:val="center"/>
              <w:rPr>
                <w:rFonts w:ascii="宋体" w:hAnsi="宋体" w:cs="宋体"/>
                <w:szCs w:val="21"/>
              </w:rPr>
            </w:pPr>
            <w:r>
              <w:rPr>
                <w:rFonts w:hint="eastAsia" w:ascii="宋体" w:hAnsi="宋体" w:cs="宋体"/>
                <w:szCs w:val="21"/>
              </w:rPr>
              <w:t>条目号</w:t>
            </w:r>
          </w:p>
        </w:tc>
        <w:tc>
          <w:tcPr>
            <w:tcW w:w="22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szCs w:val="21"/>
              </w:rPr>
            </w:pPr>
            <w:r>
              <w:rPr>
                <w:rFonts w:hint="eastAsia" w:ascii="宋体" w:hAnsi="宋体" w:cs="宋体"/>
                <w:szCs w:val="21"/>
              </w:rPr>
              <w:t>招标文件的</w:t>
            </w:r>
          </w:p>
          <w:p>
            <w:pPr>
              <w:spacing w:line="360" w:lineRule="auto"/>
              <w:jc w:val="center"/>
              <w:rPr>
                <w:rFonts w:ascii="宋体" w:hAnsi="宋体" w:cs="宋体"/>
                <w:szCs w:val="21"/>
              </w:rPr>
            </w:pPr>
            <w:r>
              <w:rPr>
                <w:rFonts w:hint="eastAsia" w:ascii="宋体" w:hAnsi="宋体" w:cs="宋体"/>
                <w:szCs w:val="21"/>
              </w:rPr>
              <w:t>商务、技术条款</w:t>
            </w:r>
          </w:p>
        </w:tc>
        <w:tc>
          <w:tcPr>
            <w:tcW w:w="240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szCs w:val="21"/>
              </w:rPr>
            </w:pPr>
            <w:r>
              <w:rPr>
                <w:rFonts w:hint="eastAsia" w:ascii="宋体" w:hAnsi="宋体" w:cs="宋体"/>
                <w:szCs w:val="21"/>
              </w:rPr>
              <w:t>投标文件的</w:t>
            </w:r>
          </w:p>
          <w:p>
            <w:pPr>
              <w:spacing w:line="360" w:lineRule="auto"/>
              <w:jc w:val="center"/>
              <w:rPr>
                <w:rFonts w:ascii="宋体" w:hAnsi="宋体" w:cs="宋体"/>
                <w:szCs w:val="21"/>
              </w:rPr>
            </w:pPr>
            <w:r>
              <w:rPr>
                <w:rFonts w:hint="eastAsia" w:ascii="宋体" w:hAnsi="宋体" w:cs="宋体"/>
                <w:szCs w:val="21"/>
              </w:rPr>
              <w:t>商务、技术条款</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9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9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9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9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9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9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9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9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9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9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bl>
    <w:p>
      <w:pPr>
        <w:spacing w:line="360" w:lineRule="auto"/>
        <w:ind w:left="630" w:leftChars="100" w:hanging="420" w:hangingChars="200"/>
        <w:rPr>
          <w:rFonts w:ascii="宋体" w:hAnsi="宋体" w:cs="宋体"/>
          <w:szCs w:val="21"/>
        </w:rPr>
      </w:pPr>
      <w:r>
        <w:rPr>
          <w:rFonts w:hint="eastAsia" w:ascii="宋体" w:hAnsi="宋体" w:cs="宋体"/>
          <w:szCs w:val="21"/>
        </w:rPr>
        <w:t>注：投标人必须对招标文件的主要商务技术条款（如供货期、付款方式、履约保证、质保期等）逐条填写。</w:t>
      </w:r>
    </w:p>
    <w:p>
      <w:pPr>
        <w:spacing w:line="360" w:lineRule="auto"/>
        <w:ind w:firstLine="4139" w:firstLineChars="1971"/>
        <w:rPr>
          <w:rFonts w:ascii="宋体" w:hAnsi="宋体" w:cs="宋体"/>
          <w:szCs w:val="21"/>
        </w:rPr>
      </w:pPr>
      <w:r>
        <w:rPr>
          <w:rFonts w:hint="eastAsia" w:ascii="宋体" w:hAnsi="宋体" w:cs="宋体"/>
          <w:szCs w:val="21"/>
        </w:rPr>
        <w:t>授权委托人（签字）：</w:t>
      </w:r>
    </w:p>
    <w:p>
      <w:pPr>
        <w:pStyle w:val="57"/>
        <w:spacing w:line="360" w:lineRule="auto"/>
        <w:ind w:firstLine="4139" w:firstLineChars="1971"/>
        <w:rPr>
          <w:rFonts w:hAnsi="宋体" w:cs="宋体"/>
          <w:sz w:val="21"/>
          <w:szCs w:val="21"/>
          <w:u w:val="single"/>
        </w:rPr>
      </w:pPr>
      <w:r>
        <w:rPr>
          <w:rFonts w:hint="eastAsia" w:hAnsi="宋体" w:cs="宋体"/>
          <w:sz w:val="21"/>
          <w:szCs w:val="21"/>
        </w:rPr>
        <w:t>日             期：</w:t>
      </w:r>
    </w:p>
    <w:p>
      <w:pPr>
        <w:pStyle w:val="57"/>
        <w:spacing w:line="360" w:lineRule="auto"/>
        <w:ind w:firstLine="4139" w:firstLineChars="1971"/>
        <w:rPr>
          <w:rFonts w:hAnsi="宋体" w:cs="宋体"/>
          <w:sz w:val="21"/>
          <w:szCs w:val="21"/>
          <w:u w:val="single"/>
        </w:rPr>
      </w:pPr>
    </w:p>
    <w:p>
      <w:pPr>
        <w:pStyle w:val="57"/>
        <w:spacing w:line="360" w:lineRule="auto"/>
        <w:ind w:firstLine="4139" w:firstLineChars="1971"/>
        <w:rPr>
          <w:rFonts w:hAnsi="宋体" w:cs="宋体"/>
          <w:sz w:val="21"/>
          <w:szCs w:val="21"/>
        </w:rPr>
      </w:pPr>
    </w:p>
    <w:p>
      <w:pPr>
        <w:spacing w:line="480" w:lineRule="auto"/>
        <w:jc w:val="left"/>
        <w:rPr>
          <w:rFonts w:ascii="宋体" w:hAnsi="宋体" w:cs="宋体"/>
          <w:b/>
          <w:sz w:val="32"/>
          <w:szCs w:val="32"/>
        </w:rPr>
      </w:pPr>
    </w:p>
    <w:p>
      <w:pPr>
        <w:spacing w:line="480" w:lineRule="auto"/>
        <w:jc w:val="left"/>
        <w:rPr>
          <w:rFonts w:ascii="宋体" w:hAnsi="宋体" w:cs="宋体"/>
          <w:b/>
          <w:sz w:val="32"/>
          <w:szCs w:val="32"/>
        </w:rPr>
      </w:pPr>
      <w:r>
        <w:rPr>
          <w:rFonts w:hint="eastAsia" w:ascii="宋体" w:hAnsi="宋体" w:cs="宋体"/>
          <w:b/>
          <w:sz w:val="32"/>
          <w:szCs w:val="32"/>
        </w:rPr>
        <w:t xml:space="preserve">6、企业声明函（如有） </w:t>
      </w:r>
    </w:p>
    <w:p>
      <w:pPr>
        <w:spacing w:after="120" w:line="360" w:lineRule="auto"/>
        <w:rPr>
          <w:rFonts w:ascii="Calibri" w:hAnsi="Calibri"/>
        </w:rPr>
      </w:pPr>
    </w:p>
    <w:p>
      <w:pPr>
        <w:spacing w:after="120" w:line="360" w:lineRule="auto"/>
        <w:jc w:val="center"/>
        <w:rPr>
          <w:rFonts w:ascii="Calibri" w:hAnsi="Calibri"/>
          <w:sz w:val="28"/>
          <w:szCs w:val="36"/>
        </w:rPr>
      </w:pPr>
      <w:r>
        <w:rPr>
          <w:rFonts w:hint="eastAsia" w:ascii="Calibri" w:hAnsi="Calibri"/>
          <w:sz w:val="28"/>
          <w:szCs w:val="36"/>
        </w:rPr>
        <w:t>企业声明函（如有）</w:t>
      </w:r>
    </w:p>
    <w:p>
      <w:pPr>
        <w:spacing w:after="120" w:line="360" w:lineRule="auto"/>
        <w:ind w:firstLine="480" w:firstLineChars="200"/>
        <w:rPr>
          <w:rFonts w:ascii="宋体" w:hAnsi="宋体"/>
          <w:sz w:val="24"/>
        </w:rPr>
      </w:pPr>
      <w:r>
        <w:rPr>
          <w:rFonts w:hint="eastAsia" w:ascii="宋体" w:hAnsi="宋体"/>
          <w:sz w:val="24"/>
        </w:rPr>
        <w:t>本公司郑重声明，根据《政府采购促进中小企业发展暂行办法》(财库[2011]181号)的规定，本公司为</w:t>
      </w:r>
      <w:r>
        <w:rPr>
          <w:rFonts w:hint="eastAsia" w:ascii="宋体" w:hAnsi="宋体"/>
          <w:sz w:val="24"/>
          <w:u w:val="single"/>
        </w:rPr>
        <w:t>(请填写：小型、微型)</w:t>
      </w:r>
      <w:r>
        <w:rPr>
          <w:rFonts w:hint="eastAsia" w:ascii="宋体" w:hAnsi="宋体"/>
          <w:sz w:val="24"/>
        </w:rPr>
        <w:t xml:space="preserve">企业。即，本公司同时满足以下条件： </w:t>
      </w:r>
    </w:p>
    <w:p>
      <w:pPr>
        <w:spacing w:after="120" w:line="360" w:lineRule="auto"/>
        <w:ind w:firstLine="480" w:firstLineChars="20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w:t>
      </w:r>
      <w:r>
        <w:rPr>
          <w:rFonts w:hint="eastAsia" w:ascii="宋体" w:hAnsi="宋体"/>
          <w:sz w:val="24"/>
          <w:u w:val="single"/>
        </w:rPr>
        <w:t>(请填写：小型、微型)</w:t>
      </w:r>
      <w:r>
        <w:rPr>
          <w:rFonts w:hint="eastAsia" w:ascii="宋体" w:hAnsi="宋体"/>
          <w:sz w:val="24"/>
        </w:rPr>
        <w:t xml:space="preserve">企业。 </w:t>
      </w:r>
    </w:p>
    <w:p>
      <w:pPr>
        <w:spacing w:after="120" w:line="360" w:lineRule="auto"/>
        <w:ind w:firstLine="480" w:firstLineChars="200"/>
        <w:rPr>
          <w:rFonts w:ascii="宋体" w:hAnsi="宋体"/>
          <w:sz w:val="24"/>
        </w:rPr>
      </w:pPr>
      <w:r>
        <w:rPr>
          <w:rFonts w:hint="eastAsia" w:ascii="宋体" w:hAnsi="宋体"/>
          <w:sz w:val="24"/>
        </w:rPr>
        <w:t>2、本公司参加单位的项目采购活动提供本企业制造的货物，由本企业承担本项目、提供服务，或者提供其他</w:t>
      </w:r>
      <w:r>
        <w:rPr>
          <w:rFonts w:hint="eastAsia" w:ascii="宋体" w:hAnsi="宋体"/>
          <w:sz w:val="24"/>
          <w:u w:val="single"/>
        </w:rPr>
        <w:t xml:space="preserve">  (请填写：小型、微型)</w:t>
      </w:r>
      <w:r>
        <w:rPr>
          <w:rFonts w:hint="eastAsia" w:ascii="宋体" w:hAnsi="宋体"/>
          <w:sz w:val="24"/>
        </w:rPr>
        <w:t xml:space="preserve">企业制造的货物。本条所称货物不包括使用大型企业注册商标的货物。 </w:t>
      </w:r>
    </w:p>
    <w:p>
      <w:pPr>
        <w:spacing w:after="120" w:line="360" w:lineRule="auto"/>
        <w:ind w:firstLine="480" w:firstLineChars="200"/>
        <w:rPr>
          <w:rFonts w:ascii="宋体" w:hAnsi="宋体"/>
          <w:sz w:val="24"/>
          <w:u w:val="single"/>
        </w:rPr>
      </w:pPr>
      <w:r>
        <w:rPr>
          <w:rFonts w:hint="eastAsia" w:ascii="宋体" w:hAnsi="宋体"/>
          <w:sz w:val="24"/>
        </w:rPr>
        <w:t>3、本公司在本次政府采购活动中提供的小微型企业产品报价合计为人民币</w:t>
      </w:r>
      <w:r>
        <w:rPr>
          <w:rFonts w:hint="eastAsia" w:ascii="宋体" w:hAnsi="宋体"/>
          <w:sz w:val="24"/>
          <w:u w:val="single"/>
        </w:rPr>
        <w:t xml:space="preserve">（大写）      元（￥：     ）。 </w:t>
      </w:r>
    </w:p>
    <w:p>
      <w:pPr>
        <w:spacing w:after="120" w:line="360" w:lineRule="auto"/>
        <w:ind w:firstLine="480" w:firstLineChars="200"/>
        <w:rPr>
          <w:rFonts w:ascii="宋体" w:hAnsi="宋体"/>
          <w:sz w:val="24"/>
        </w:rPr>
      </w:pPr>
      <w:r>
        <w:rPr>
          <w:rFonts w:hint="eastAsia" w:ascii="宋体" w:hAnsi="宋体"/>
          <w:sz w:val="24"/>
        </w:rPr>
        <w:t xml:space="preserve">本公司对上述声明的真实性负责。如有虚假，将依法承担相应责任。 </w:t>
      </w:r>
    </w:p>
    <w:p>
      <w:pPr>
        <w:spacing w:after="120" w:line="360" w:lineRule="auto"/>
        <w:rPr>
          <w:rFonts w:ascii="宋体" w:hAnsi="宋体"/>
          <w:sz w:val="24"/>
        </w:rPr>
      </w:pPr>
    </w:p>
    <w:p>
      <w:pPr>
        <w:spacing w:after="120" w:line="360" w:lineRule="auto"/>
        <w:ind w:firstLine="6000" w:firstLineChars="2500"/>
        <w:rPr>
          <w:rFonts w:ascii="宋体" w:hAnsi="宋体"/>
          <w:sz w:val="24"/>
        </w:rPr>
      </w:pPr>
      <w:r>
        <w:rPr>
          <w:rFonts w:hint="eastAsia" w:ascii="宋体" w:hAnsi="宋体"/>
          <w:sz w:val="24"/>
        </w:rPr>
        <w:t xml:space="preserve">企业名称(盖章)： </w:t>
      </w:r>
    </w:p>
    <w:p>
      <w:pPr>
        <w:spacing w:after="120" w:line="360" w:lineRule="auto"/>
        <w:ind w:firstLine="6000" w:firstLineChars="2500"/>
        <w:rPr>
          <w:rFonts w:ascii="宋体" w:hAnsi="宋体"/>
          <w:sz w:val="24"/>
        </w:rPr>
      </w:pPr>
      <w:r>
        <w:rPr>
          <w:rFonts w:hint="eastAsia" w:ascii="宋体" w:hAnsi="宋体"/>
          <w:sz w:val="24"/>
        </w:rPr>
        <w:t xml:space="preserve">日  期： </w:t>
      </w:r>
    </w:p>
    <w:p>
      <w:pPr>
        <w:spacing w:after="120" w:line="360" w:lineRule="auto"/>
        <w:ind w:firstLine="480" w:firstLineChars="200"/>
        <w:rPr>
          <w:rFonts w:ascii="宋体" w:hAnsi="宋体"/>
          <w:sz w:val="24"/>
        </w:rPr>
      </w:pPr>
    </w:p>
    <w:p>
      <w:pPr>
        <w:spacing w:after="120" w:line="360" w:lineRule="auto"/>
        <w:ind w:firstLine="480" w:firstLineChars="200"/>
        <w:rPr>
          <w:rFonts w:ascii="宋体" w:hAnsi="宋体"/>
          <w:sz w:val="24"/>
        </w:rPr>
      </w:pPr>
    </w:p>
    <w:p>
      <w:pPr>
        <w:spacing w:after="120" w:line="360" w:lineRule="auto"/>
        <w:ind w:firstLine="480" w:firstLineChars="200"/>
        <w:rPr>
          <w:rFonts w:ascii="宋体" w:hAnsi="宋体"/>
          <w:sz w:val="24"/>
        </w:rPr>
      </w:pPr>
    </w:p>
    <w:p>
      <w:pPr>
        <w:spacing w:after="120" w:line="360" w:lineRule="auto"/>
        <w:ind w:firstLine="480" w:firstLineChars="200"/>
        <w:rPr>
          <w:rFonts w:ascii="宋体" w:hAnsi="宋体"/>
          <w:sz w:val="24"/>
        </w:rPr>
      </w:pPr>
      <w:r>
        <w:rPr>
          <w:rFonts w:hint="eastAsia" w:ascii="宋体" w:hAnsi="宋体"/>
          <w:sz w:val="24"/>
        </w:rPr>
        <w:t>注：小微企业如不提供此声明函，价格将不做相应扣除。小微企业提供中型企业制造或使用中型企业注册商标的货物的，视同为中型企业。小微企业提供大型企业制造或使用大型企业注册商标的货物的，视同为大型企业。</w:t>
      </w:r>
    </w:p>
    <w:p>
      <w:pPr>
        <w:spacing w:after="120"/>
        <w:rPr>
          <w:rFonts w:ascii="Calibri" w:hAnsi="Calibri"/>
        </w:rPr>
      </w:pPr>
      <w:r>
        <w:rPr>
          <w:rFonts w:ascii="Calibri" w:hAnsi="Calibri"/>
        </w:rPr>
        <w:br w:type="page"/>
      </w:r>
    </w:p>
    <w:p>
      <w:pPr>
        <w:spacing w:line="480" w:lineRule="auto"/>
        <w:jc w:val="left"/>
        <w:rPr>
          <w:rFonts w:ascii="宋体" w:hAnsi="宋体" w:cs="宋体"/>
          <w:b/>
          <w:sz w:val="32"/>
          <w:szCs w:val="32"/>
        </w:rPr>
      </w:pPr>
      <w:r>
        <w:rPr>
          <w:rFonts w:hint="eastAsia" w:ascii="宋体" w:hAnsi="宋体" w:cs="宋体"/>
          <w:b/>
          <w:sz w:val="32"/>
          <w:szCs w:val="32"/>
        </w:rPr>
        <w:t>7、</w:t>
      </w:r>
      <w:bookmarkStart w:id="491" w:name="_Hlk55314006"/>
      <w:r>
        <w:rPr>
          <w:rFonts w:hint="eastAsia" w:ascii="宋体" w:hAnsi="宋体" w:cs="宋体"/>
          <w:b/>
          <w:sz w:val="32"/>
          <w:szCs w:val="32"/>
        </w:rPr>
        <w:t>盐城市政府采购事前信用承诺书</w:t>
      </w:r>
      <w:bookmarkEnd w:id="491"/>
      <w:bookmarkStart w:id="492" w:name="_Hlk55313893"/>
    </w:p>
    <w:p>
      <w:pPr>
        <w:spacing w:before="120" w:beforeLines="50"/>
        <w:ind w:firstLine="2520" w:firstLineChars="900"/>
        <w:rPr>
          <w:rFonts w:asciiTheme="minorEastAsia" w:hAnsiTheme="minorEastAsia" w:eastAsiaTheme="minorEastAsia"/>
          <w:sz w:val="28"/>
          <w:szCs w:val="28"/>
        </w:rPr>
      </w:pPr>
      <w:r>
        <w:rPr>
          <w:rFonts w:hint="eastAsia" w:asciiTheme="minorEastAsia" w:hAnsiTheme="minorEastAsia" w:eastAsiaTheme="minorEastAsia"/>
          <w:sz w:val="28"/>
          <w:szCs w:val="28"/>
        </w:rPr>
        <w:t>盐城市政府采购事前信用承诺书</w:t>
      </w:r>
    </w:p>
    <w:bookmarkEnd w:id="492"/>
    <w:p>
      <w:pPr>
        <w:widowControl/>
        <w:spacing w:line="500" w:lineRule="exact"/>
        <w:ind w:firstLine="480" w:firstLineChars="200"/>
        <w:jc w:val="left"/>
        <w:rPr>
          <w:rFonts w:ascii="宋体" w:hAnsi="宋体"/>
          <w:sz w:val="24"/>
          <w:szCs w:val="22"/>
        </w:rPr>
      </w:pPr>
      <w:r>
        <w:rPr>
          <w:rFonts w:hint="eastAsia" w:ascii="宋体" w:hAnsi="宋体"/>
          <w:sz w:val="24"/>
          <w:szCs w:val="22"/>
        </w:rPr>
        <w:t>为营造公开、公平、公正、诚实守信的政府采购交易环境，树立诚信守法的投标人形象，本人代表本单位作出以下承诺：</w:t>
      </w:r>
    </w:p>
    <w:p>
      <w:pPr>
        <w:widowControl/>
        <w:spacing w:line="500" w:lineRule="exact"/>
        <w:jc w:val="left"/>
        <w:rPr>
          <w:rFonts w:ascii="宋体" w:hAnsi="宋体"/>
          <w:sz w:val="24"/>
          <w:szCs w:val="22"/>
        </w:rPr>
      </w:pPr>
      <w:r>
        <w:rPr>
          <w:rFonts w:hint="eastAsia" w:ascii="宋体" w:hAnsi="宋体"/>
          <w:sz w:val="24"/>
          <w:szCs w:val="22"/>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sz w:val="24"/>
          <w:szCs w:val="22"/>
        </w:rPr>
      </w:pPr>
      <w:r>
        <w:rPr>
          <w:rFonts w:hint="eastAsia" w:ascii="宋体" w:hAnsi="宋体"/>
          <w:sz w:val="24"/>
          <w:szCs w:val="22"/>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sz w:val="24"/>
          <w:szCs w:val="22"/>
        </w:rPr>
      </w:pPr>
      <w:r>
        <w:rPr>
          <w:rFonts w:hint="eastAsia" w:ascii="宋体" w:hAnsi="宋体"/>
          <w:sz w:val="24"/>
          <w:szCs w:val="22"/>
        </w:rPr>
        <w:t xml:space="preserve">   （三）严格依照国家和省、市关于政府采购的法律、法规、规章、规范性文件，参加政府采购投标活动；积极履行社会责任，促进廉政建设； </w:t>
      </w:r>
    </w:p>
    <w:p>
      <w:pPr>
        <w:widowControl/>
        <w:spacing w:line="500" w:lineRule="exact"/>
        <w:jc w:val="left"/>
        <w:rPr>
          <w:rFonts w:ascii="宋体" w:hAnsi="宋体"/>
          <w:sz w:val="24"/>
          <w:szCs w:val="22"/>
        </w:rPr>
      </w:pPr>
      <w:r>
        <w:rPr>
          <w:rFonts w:hint="eastAsia" w:ascii="宋体" w:hAnsi="宋体"/>
          <w:sz w:val="24"/>
          <w:szCs w:val="22"/>
        </w:rPr>
        <w:t>   （四）严格遵守即时信息公示规定，及时维护和更新盐城市政府采购网中与本单位相关的信息；</w:t>
      </w:r>
    </w:p>
    <w:p>
      <w:pPr>
        <w:widowControl/>
        <w:spacing w:line="500" w:lineRule="exact"/>
        <w:jc w:val="left"/>
        <w:rPr>
          <w:rFonts w:ascii="宋体" w:hAnsi="宋体"/>
          <w:sz w:val="24"/>
          <w:szCs w:val="22"/>
        </w:rPr>
      </w:pPr>
      <w:r>
        <w:rPr>
          <w:rFonts w:hint="eastAsia" w:ascii="宋体" w:hAnsi="宋体"/>
          <w:sz w:val="24"/>
          <w:szCs w:val="22"/>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00" w:lineRule="exact"/>
        <w:jc w:val="left"/>
        <w:rPr>
          <w:rFonts w:ascii="宋体" w:hAnsi="宋体"/>
          <w:sz w:val="24"/>
          <w:szCs w:val="22"/>
        </w:rPr>
      </w:pPr>
      <w:r>
        <w:rPr>
          <w:rFonts w:hint="eastAsia" w:ascii="宋体" w:hAnsi="宋体"/>
          <w:sz w:val="24"/>
          <w:szCs w:val="22"/>
        </w:rPr>
        <w:t>   （六）自觉接受政府、行业组织、社会公众、新闻舆论的监督；</w:t>
      </w:r>
    </w:p>
    <w:p>
      <w:pPr>
        <w:widowControl/>
        <w:spacing w:line="500" w:lineRule="exact"/>
        <w:ind w:firstLine="480" w:firstLineChars="200"/>
        <w:jc w:val="left"/>
        <w:rPr>
          <w:rFonts w:ascii="宋体" w:hAnsi="宋体"/>
          <w:sz w:val="24"/>
          <w:szCs w:val="22"/>
        </w:rPr>
      </w:pPr>
      <w:r>
        <w:rPr>
          <w:rFonts w:hint="eastAsia" w:ascii="宋体" w:hAnsi="宋体"/>
          <w:sz w:val="24"/>
          <w:szCs w:val="22"/>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rFonts w:ascii="宋体" w:hAnsi="宋体"/>
          <w:sz w:val="24"/>
          <w:szCs w:val="22"/>
        </w:rPr>
      </w:pPr>
      <w:r>
        <w:rPr>
          <w:rFonts w:hint="eastAsia" w:ascii="宋体" w:hAnsi="宋体"/>
          <w:sz w:val="24"/>
          <w:szCs w:val="22"/>
        </w:rPr>
        <w:t>   （八）本人已认真阅读了上述承诺，并向本单位员工作了宣传教育。</w:t>
      </w:r>
    </w:p>
    <w:p>
      <w:pPr>
        <w:widowControl/>
        <w:spacing w:line="500" w:lineRule="exact"/>
        <w:jc w:val="left"/>
        <w:rPr>
          <w:rFonts w:ascii="宋体" w:hAnsi="宋体"/>
          <w:sz w:val="24"/>
          <w:szCs w:val="22"/>
        </w:rPr>
      </w:pPr>
    </w:p>
    <w:p>
      <w:pPr>
        <w:widowControl/>
        <w:spacing w:line="500" w:lineRule="exact"/>
        <w:jc w:val="center"/>
        <w:rPr>
          <w:rFonts w:ascii="宋体" w:hAnsi="宋体"/>
          <w:sz w:val="24"/>
          <w:szCs w:val="22"/>
        </w:rPr>
      </w:pPr>
      <w:r>
        <w:rPr>
          <w:rFonts w:hint="eastAsia" w:ascii="宋体" w:hAnsi="宋体"/>
          <w:sz w:val="24"/>
          <w:szCs w:val="22"/>
        </w:rPr>
        <w:t xml:space="preserve">                   法定代表人签名：</w:t>
      </w:r>
    </w:p>
    <w:p>
      <w:pPr>
        <w:widowControl/>
        <w:spacing w:line="500" w:lineRule="exact"/>
        <w:jc w:val="center"/>
        <w:rPr>
          <w:rFonts w:ascii="宋体" w:hAnsi="宋体"/>
          <w:sz w:val="24"/>
          <w:szCs w:val="22"/>
        </w:rPr>
      </w:pPr>
      <w:r>
        <w:rPr>
          <w:rFonts w:hint="eastAsia" w:ascii="宋体" w:hAnsi="宋体"/>
          <w:sz w:val="24"/>
          <w:szCs w:val="22"/>
        </w:rPr>
        <w:t>单位名称（盖章）：</w:t>
      </w:r>
    </w:p>
    <w:p>
      <w:pPr>
        <w:widowControl/>
        <w:spacing w:line="500" w:lineRule="exact"/>
        <w:jc w:val="center"/>
        <w:rPr>
          <w:rFonts w:ascii="Calibri" w:hAnsi="Calibri"/>
        </w:rPr>
      </w:pPr>
      <w:r>
        <w:rPr>
          <w:rFonts w:hint="eastAsia" w:ascii="宋体" w:hAnsi="宋体"/>
          <w:sz w:val="24"/>
          <w:szCs w:val="22"/>
        </w:rPr>
        <w:t xml:space="preserve">                      年    月    日</w:t>
      </w:r>
      <w:r>
        <w:rPr>
          <w:rFonts w:ascii="Calibri" w:hAnsi="Calibri"/>
        </w:rPr>
        <w:br w:type="page"/>
      </w:r>
    </w:p>
    <w:p>
      <w:pPr>
        <w:spacing w:after="120"/>
        <w:rPr>
          <w:rFonts w:ascii="Calibri" w:hAnsi="Calibri"/>
        </w:rPr>
      </w:pPr>
    </w:p>
    <w:p>
      <w:pPr>
        <w:spacing w:line="480" w:lineRule="auto"/>
        <w:jc w:val="left"/>
        <w:rPr>
          <w:rFonts w:ascii="宋体" w:hAnsi="宋体" w:cs="宋体"/>
          <w:b/>
          <w:sz w:val="32"/>
          <w:szCs w:val="32"/>
        </w:rPr>
      </w:pPr>
      <w:r>
        <w:rPr>
          <w:rFonts w:hint="eastAsia" w:ascii="宋体" w:hAnsi="宋体" w:cs="宋体"/>
          <w:b/>
          <w:sz w:val="32"/>
          <w:szCs w:val="32"/>
        </w:rPr>
        <w:t>8、为完成本项目投标人认为所需要的其它资料</w:t>
      </w:r>
    </w:p>
    <w:p>
      <w:pPr>
        <w:spacing w:after="120"/>
        <w:rPr>
          <w:rFonts w:ascii="宋体" w:hAnsi="宋体" w:cs="宋体"/>
          <w:b/>
          <w:sz w:val="24"/>
        </w:rPr>
        <w:sectPr>
          <w:footerReference r:id="rId10" w:type="default"/>
          <w:footerReference r:id="rId11" w:type="even"/>
          <w:pgSz w:w="11906" w:h="16838"/>
          <w:pgMar w:top="1440" w:right="1077" w:bottom="1440" w:left="1077" w:header="851" w:footer="992" w:gutter="0"/>
          <w:cols w:space="0" w:num="1"/>
          <w:docGrid w:linePitch="312" w:charSpace="0"/>
        </w:sectPr>
      </w:pPr>
      <w:r>
        <w:rPr>
          <w:rFonts w:ascii="Calibri" w:hAnsi="Calibri"/>
        </w:rPr>
        <w:br w:type="page"/>
      </w:r>
    </w:p>
    <w:p>
      <w:pPr>
        <w:spacing w:line="440" w:lineRule="exact"/>
        <w:jc w:val="center"/>
        <w:rPr>
          <w:rFonts w:ascii="宋体" w:hAnsi="宋体" w:cs="宋体"/>
          <w:b/>
          <w:sz w:val="24"/>
        </w:rPr>
      </w:pPr>
      <w:r>
        <w:rPr>
          <w:rFonts w:hint="eastAsia" w:ascii="宋体" w:hAnsi="宋体" w:cs="宋体"/>
          <w:b/>
          <w:sz w:val="24"/>
        </w:rPr>
        <w:t>开标一览表</w:t>
      </w:r>
    </w:p>
    <w:p>
      <w:pPr>
        <w:snapToGrid w:val="0"/>
        <w:spacing w:before="50" w:after="50" w:line="440" w:lineRule="exact"/>
        <w:ind w:firstLine="420" w:firstLineChars="200"/>
        <w:rPr>
          <w:rFonts w:ascii="宋体" w:hAnsi="宋体" w:cs="宋体"/>
          <w:szCs w:val="21"/>
          <w:u w:val="single"/>
        </w:rPr>
      </w:pPr>
      <w:r>
        <w:rPr>
          <w:rFonts w:hint="eastAsia" w:ascii="宋体" w:hAnsi="宋体" w:cs="宋体"/>
          <w:szCs w:val="21"/>
        </w:rPr>
        <w:t>采购编号：</w:t>
      </w:r>
    </w:p>
    <w:p>
      <w:pPr>
        <w:snapToGrid w:val="0"/>
        <w:spacing w:before="50" w:after="50" w:line="440" w:lineRule="exact"/>
        <w:ind w:firstLine="420" w:firstLineChars="200"/>
        <w:rPr>
          <w:rFonts w:ascii="宋体" w:hAnsi="宋体" w:cs="宋体"/>
          <w:szCs w:val="21"/>
        </w:rPr>
      </w:pPr>
      <w:r>
        <w:rPr>
          <w:rFonts w:hint="eastAsia" w:ascii="宋体" w:hAnsi="宋体" w:cs="宋体"/>
          <w:szCs w:val="21"/>
        </w:rPr>
        <w:t>投标人名称：</w:t>
      </w:r>
    </w:p>
    <w:tbl>
      <w:tblPr>
        <w:tblStyle w:val="31"/>
        <w:tblW w:w="13005" w:type="dxa"/>
        <w:tblInd w:w="6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5141"/>
        <w:gridCol w:w="70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exact"/>
        </w:trPr>
        <w:tc>
          <w:tcPr>
            <w:tcW w:w="7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b/>
                <w:szCs w:val="21"/>
              </w:rPr>
            </w:pPr>
            <w:r>
              <w:rPr>
                <w:rFonts w:hint="eastAsia" w:ascii="宋体" w:hAnsi="宋体"/>
                <w:b/>
                <w:szCs w:val="21"/>
              </w:rPr>
              <w:t>序号</w:t>
            </w:r>
          </w:p>
        </w:tc>
        <w:tc>
          <w:tcPr>
            <w:tcW w:w="51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b/>
                <w:szCs w:val="21"/>
              </w:rPr>
            </w:pPr>
            <w:r>
              <w:rPr>
                <w:rFonts w:hint="eastAsia" w:ascii="宋体" w:hAnsi="宋体"/>
                <w:b/>
                <w:szCs w:val="21"/>
              </w:rPr>
              <w:t>项目名称</w:t>
            </w:r>
          </w:p>
        </w:tc>
        <w:tc>
          <w:tcPr>
            <w:tcW w:w="70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b/>
                <w:szCs w:val="21"/>
              </w:rPr>
            </w:pPr>
            <w:r>
              <w:rPr>
                <w:rFonts w:hint="eastAsia" w:ascii="宋体" w:hAnsi="宋体"/>
                <w:b/>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exact"/>
        </w:trPr>
        <w:tc>
          <w:tcPr>
            <w:tcW w:w="777" w:type="dxa"/>
            <w:vMerge w:val="restart"/>
            <w:tcBorders>
              <w:top w:val="single" w:color="auto" w:sz="4" w:space="0"/>
              <w:left w:val="single" w:color="auto" w:sz="4" w:space="0"/>
              <w:right w:val="single" w:color="auto" w:sz="4" w:space="0"/>
            </w:tcBorders>
            <w:vAlign w:val="center"/>
          </w:tcPr>
          <w:p>
            <w:pPr>
              <w:snapToGrid w:val="0"/>
              <w:spacing w:before="50" w:after="50" w:line="440" w:lineRule="exact"/>
              <w:jc w:val="center"/>
              <w:rPr>
                <w:rFonts w:ascii="宋体" w:hAnsi="宋体"/>
                <w:szCs w:val="21"/>
              </w:rPr>
            </w:pPr>
            <w:r>
              <w:rPr>
                <w:rFonts w:hint="eastAsia" w:ascii="宋体" w:hAnsi="宋体"/>
                <w:szCs w:val="21"/>
              </w:rPr>
              <w:t>1</w:t>
            </w:r>
          </w:p>
        </w:tc>
        <w:tc>
          <w:tcPr>
            <w:tcW w:w="5141" w:type="dxa"/>
            <w:vMerge w:val="restart"/>
            <w:tcBorders>
              <w:top w:val="single" w:color="auto" w:sz="4" w:space="0"/>
              <w:left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szCs w:val="21"/>
              </w:rPr>
              <w:t>大丰区幸福路小学LED全彩显示屏及灯光采购、安装及伴随服务项目</w:t>
            </w:r>
          </w:p>
        </w:tc>
        <w:tc>
          <w:tcPr>
            <w:tcW w:w="70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ind w:right="-861" w:rightChars="-410"/>
              <w:jc w:val="left"/>
              <w:rPr>
                <w:rFonts w:ascii="宋体" w:hAnsi="宋体"/>
                <w:bCs/>
                <w:szCs w:val="21"/>
              </w:rPr>
            </w:pPr>
            <w:r>
              <w:rPr>
                <w:rFonts w:hint="eastAsia" w:ascii="宋体" w:hAnsi="宋体"/>
                <w:bCs/>
                <w:szCs w:val="21"/>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exact"/>
        </w:trPr>
        <w:tc>
          <w:tcPr>
            <w:tcW w:w="777" w:type="dxa"/>
            <w:vMerge w:val="continue"/>
            <w:tcBorders>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szCs w:val="21"/>
              </w:rPr>
            </w:pPr>
          </w:p>
        </w:tc>
        <w:tc>
          <w:tcPr>
            <w:tcW w:w="514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70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ind w:right="-861" w:rightChars="-410"/>
              <w:jc w:val="left"/>
              <w:rPr>
                <w:rFonts w:ascii="宋体" w:hAnsi="宋体"/>
                <w:bCs/>
                <w:szCs w:val="21"/>
              </w:rPr>
            </w:pPr>
            <w:r>
              <w:rPr>
                <w:rFonts w:hint="eastAsia" w:ascii="宋体" w:hAnsi="宋体"/>
                <w:bCs/>
                <w:szCs w:val="21"/>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exact"/>
        </w:trPr>
        <w:tc>
          <w:tcPr>
            <w:tcW w:w="5918"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b/>
                <w:sz w:val="18"/>
                <w:szCs w:val="18"/>
              </w:rPr>
            </w:pPr>
            <w:r>
              <w:rPr>
                <w:rFonts w:hint="eastAsia" w:ascii="宋体" w:hAnsi="宋体"/>
                <w:b/>
                <w:szCs w:val="21"/>
              </w:rPr>
              <w:t>质保期</w:t>
            </w:r>
          </w:p>
        </w:tc>
        <w:tc>
          <w:tcPr>
            <w:tcW w:w="70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szCs w:val="21"/>
              </w:rPr>
            </w:pP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4" w:hRule="exact"/>
        </w:trPr>
        <w:tc>
          <w:tcPr>
            <w:tcW w:w="5918"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b/>
                <w:szCs w:val="21"/>
              </w:rPr>
            </w:pPr>
            <w:r>
              <w:rPr>
                <w:rFonts w:hint="eastAsia" w:ascii="宋体" w:hAnsi="宋体"/>
                <w:b/>
                <w:szCs w:val="21"/>
              </w:rPr>
              <w:t>供货期限</w:t>
            </w:r>
          </w:p>
        </w:tc>
        <w:tc>
          <w:tcPr>
            <w:tcW w:w="70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szCs w:val="21"/>
              </w:rPr>
            </w:pPr>
            <w:r>
              <w:rPr>
                <w:rFonts w:hint="eastAsia" w:ascii="宋体" w:hAnsi="宋体"/>
                <w:szCs w:val="21"/>
              </w:rPr>
              <w:t>合同签订后</w:t>
            </w:r>
            <w:r>
              <w:rPr>
                <w:rFonts w:hint="eastAsia" w:ascii="宋体" w:hAnsi="宋体"/>
                <w:szCs w:val="21"/>
                <w:u w:val="single"/>
              </w:rPr>
              <w:t xml:space="preserve">       </w:t>
            </w:r>
            <w:r>
              <w:rPr>
                <w:rFonts w:hint="eastAsia" w:ascii="宋体" w:hAnsi="宋体" w:cs="宋体"/>
                <w:kern w:val="0"/>
                <w:szCs w:val="21"/>
              </w:rPr>
              <w:t>日历天内完成供货、安装调试等全部工作内容</w:t>
            </w:r>
          </w:p>
        </w:tc>
      </w:tr>
    </w:tbl>
    <w:p>
      <w:pPr>
        <w:snapToGrid w:val="0"/>
        <w:spacing w:before="50" w:after="50" w:line="440" w:lineRule="exact"/>
        <w:jc w:val="left"/>
        <w:rPr>
          <w:rFonts w:ascii="宋体" w:hAnsi="宋体" w:cs="宋体"/>
          <w:szCs w:val="21"/>
        </w:rPr>
      </w:pPr>
      <w:r>
        <w:rPr>
          <w:rFonts w:hint="eastAsia" w:ascii="宋体" w:hAnsi="宋体" w:cs="宋体"/>
          <w:szCs w:val="21"/>
        </w:rPr>
        <w:t>注: 1、报价一经涂改，应在涂改处加盖单位公章或者由法定代表人或委托代理人签字或盖章，否则其投标作无效标处理。</w:t>
      </w:r>
    </w:p>
    <w:p>
      <w:pPr>
        <w:snapToGrid w:val="0"/>
        <w:spacing w:before="50" w:after="50" w:line="440" w:lineRule="exact"/>
        <w:ind w:firstLine="420" w:firstLineChars="200"/>
        <w:jc w:val="left"/>
        <w:rPr>
          <w:rFonts w:ascii="宋体" w:hAnsi="宋体" w:cs="宋体"/>
          <w:szCs w:val="21"/>
        </w:rPr>
      </w:pPr>
      <w:r>
        <w:rPr>
          <w:rFonts w:hint="eastAsia" w:ascii="宋体" w:hAnsi="宋体" w:cs="宋体"/>
          <w:szCs w:val="21"/>
        </w:rPr>
        <w:t>2、投标费用包括项目实施所需的材料费、人工费、服务费、运输费、相关检测费、购买及制作标书费、税费、招标代理费等及本项目采购文件规定的一切费用。</w:t>
      </w:r>
    </w:p>
    <w:p>
      <w:pPr>
        <w:snapToGrid w:val="0"/>
        <w:spacing w:before="50" w:after="50" w:line="440" w:lineRule="exact"/>
        <w:ind w:firstLine="420" w:firstLineChars="200"/>
        <w:rPr>
          <w:rFonts w:ascii="宋体" w:hAnsi="宋体" w:cs="宋体"/>
          <w:szCs w:val="21"/>
        </w:rPr>
      </w:pPr>
      <w:r>
        <w:rPr>
          <w:rFonts w:hint="eastAsia" w:ascii="宋体" w:hAnsi="宋体" w:cs="宋体"/>
          <w:szCs w:val="21"/>
        </w:rPr>
        <w:t>3、</w:t>
      </w:r>
      <w:r>
        <w:rPr>
          <w:rFonts w:hint="eastAsia" w:ascii="宋体" w:hAnsi="宋体" w:cs="宋体"/>
          <w:szCs w:val="21"/>
          <w:u w:val="single"/>
        </w:rPr>
        <w:t>此表请单独信封放入投标文件袋，信封封面请注明招标编号、标项、投标人名称及“开标一览表”字样。</w:t>
      </w:r>
    </w:p>
    <w:p>
      <w:pPr>
        <w:snapToGrid w:val="0"/>
        <w:spacing w:line="440" w:lineRule="exact"/>
        <w:ind w:left="-2" w:leftChars="-1" w:right="-817" w:rightChars="-389" w:firstLine="420" w:firstLineChars="200"/>
        <w:rPr>
          <w:rFonts w:ascii="宋体" w:hAnsi="宋体" w:cs="宋体"/>
          <w:szCs w:val="21"/>
        </w:rPr>
      </w:pPr>
      <w:r>
        <w:rPr>
          <w:rFonts w:hint="eastAsia" w:ascii="宋体" w:hAnsi="宋体" w:cs="宋体"/>
          <w:szCs w:val="21"/>
        </w:rPr>
        <w:t xml:space="preserve">投标人名称（盖章）：                       法定代表人（签字或盖章）： </w:t>
      </w:r>
    </w:p>
    <w:p>
      <w:pPr>
        <w:snapToGrid w:val="0"/>
        <w:spacing w:line="440" w:lineRule="exact"/>
        <w:ind w:left="-2" w:leftChars="-1" w:right="-817" w:rightChars="-389" w:firstLine="420" w:firstLineChars="200"/>
        <w:rPr>
          <w:rFonts w:ascii="宋体" w:hAnsi="宋体" w:cs="宋体"/>
          <w:szCs w:val="21"/>
          <w:u w:val="single"/>
        </w:rPr>
      </w:pPr>
      <w:r>
        <w:rPr>
          <w:rFonts w:hint="eastAsia" w:ascii="宋体" w:hAnsi="宋体" w:cs="宋体"/>
          <w:szCs w:val="21"/>
        </w:rPr>
        <w:t>授权委托代理人（签字或盖章）：  （如有授权）                             日期：</w:t>
      </w:r>
      <w:r>
        <w:rPr>
          <w:rFonts w:hint="eastAsia" w:ascii="宋体" w:hAnsi="宋体" w:cs="宋体"/>
          <w:szCs w:val="21"/>
          <w:u w:val="single"/>
        </w:rPr>
        <w:t xml:space="preserve">    年   月   日</w:t>
      </w:r>
    </w:p>
    <w:p>
      <w:pPr>
        <w:snapToGrid w:val="0"/>
        <w:spacing w:line="440" w:lineRule="exact"/>
        <w:ind w:left="-2" w:leftChars="-1" w:right="-817" w:rightChars="-389" w:firstLine="422" w:firstLineChars="200"/>
        <w:rPr>
          <w:rFonts w:ascii="宋体" w:hAnsi="宋体"/>
          <w:b/>
          <w:sz w:val="32"/>
          <w:szCs w:val="32"/>
        </w:rPr>
      </w:pPr>
      <w:r>
        <w:rPr>
          <w:rFonts w:hint="eastAsia" w:ascii="宋体" w:hAnsi="宋体"/>
          <w:b/>
          <w:szCs w:val="21"/>
          <w:u w:val="single"/>
        </w:rPr>
        <w:t>需附：</w:t>
      </w:r>
      <w:bookmarkStart w:id="493" w:name="_Hlk56093342"/>
      <w:r>
        <w:rPr>
          <w:rFonts w:hint="eastAsia" w:ascii="宋体" w:hAnsi="宋体"/>
          <w:b/>
          <w:szCs w:val="21"/>
          <w:u w:val="single"/>
        </w:rPr>
        <w:t>法定代表人身份证明书或授权委托代理人身份证复印件</w:t>
      </w:r>
      <w:bookmarkEnd w:id="493"/>
      <w:r>
        <w:rPr>
          <w:rFonts w:hint="eastAsia" w:ascii="宋体" w:hAnsi="宋体"/>
          <w:b/>
          <w:szCs w:val="21"/>
          <w:u w:val="single"/>
        </w:rPr>
        <w:t>及授权委托书原件</w:t>
      </w:r>
    </w:p>
    <w:p>
      <w:pPr>
        <w:pStyle w:val="7"/>
        <w:spacing w:line="500" w:lineRule="exact"/>
        <w:ind w:firstLine="0"/>
        <w:jc w:val="center"/>
        <w:rPr>
          <w:rFonts w:ascii="宋体" w:hAnsi="宋体"/>
          <w:b/>
          <w:sz w:val="32"/>
          <w:szCs w:val="32"/>
        </w:rPr>
      </w:pPr>
    </w:p>
    <w:sectPr>
      <w:pgSz w:w="16838" w:h="11906" w:orient="landscape"/>
      <w:pgMar w:top="1077" w:right="1440" w:bottom="1077" w:left="1440" w:header="851" w:footer="992" w:gutter="0"/>
      <w:pgNumType w:chapStyle="1"/>
      <w:cols w:space="0" w:num="1"/>
      <w:docGrid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ˎ̥">
    <w:altName w:val="Segoe Print"/>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7233325"/>
    </w:sdtPr>
    <w:sdtContent>
      <w:p>
        <w:pPr>
          <w:pStyle w:val="19"/>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Style w:val="35"/>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19"/>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u8AFjRAAAAAgEAAA8AAAAAAAAAAQAgAAAAIgAAAGRycy9kb3ducmV2LnhtbFBL&#10;AQIUABQAAAAIAIdO4kABSzKsNgIAAGIEAAAOAAAAAAAAAAEAIAAAACABAABkcnMvZTJvRG9jLnht&#10;bFBLBQYAAAAABgAGAFkBAADI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40</w:t>
                    </w:r>
                    <w:r>
                      <w:fldChar w:fldCharType="end"/>
                    </w:r>
                  </w:p>
                </w:txbxContent>
              </v:textbox>
            </v:shape>
          </w:pict>
        </mc:Fallback>
      </mc:AlternateContent>
    </w:r>
  </w:p>
  <w:p>
    <w:pPr>
      <w:pStyle w:val="19"/>
      <w:jc w:val="center"/>
    </w:pPr>
  </w:p>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840" w:hanging="420"/>
      <w:jc w:val="center"/>
    </w:pPr>
    <w:r>
      <w:fldChar w:fldCharType="begin"/>
    </w:r>
    <w:r>
      <w:instrText xml:space="preserve"> PAGE   \* MERGEFORMAT </w:instrText>
    </w:r>
    <w:r>
      <w:fldChar w:fldCharType="separate"/>
    </w:r>
    <w:r>
      <w:rPr>
        <w:lang w:val="zh-CN"/>
      </w:rPr>
      <w:t>45</w:t>
    </w:r>
    <w:r>
      <w:rPr>
        <w:lang w:val="zh-CN"/>
      </w:rPr>
      <w:fldChar w:fldCharType="end"/>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840" w:hanging="420"/>
      <w:jc w:val="center"/>
    </w:pPr>
    <w:r>
      <w:fldChar w:fldCharType="begin"/>
    </w:r>
    <w:r>
      <w:instrText xml:space="preserve"> PAGE   \* MERGEFORMAT </w:instrText>
    </w:r>
    <w:r>
      <w:fldChar w:fldCharType="separate"/>
    </w:r>
    <w:r>
      <w:rPr>
        <w:lang w:val="zh-CN"/>
      </w:rPr>
      <w:t>45</w:t>
    </w:r>
    <w:r>
      <w:rPr>
        <w:lang w:val="zh-CN"/>
      </w:rPr>
      <w:fldChar w:fldCharType="end"/>
    </w:r>
  </w:p>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52</w:t>
    </w:r>
    <w:r>
      <w:rPr>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09238"/>
    <w:multiLevelType w:val="singleLevel"/>
    <w:tmpl w:val="36709238"/>
    <w:lvl w:ilvl="0" w:tentative="0">
      <w:start w:val="1"/>
      <w:numFmt w:val="decimal"/>
      <w:suff w:val="space"/>
      <w:lvlText w:val="%1."/>
      <w:lvlJc w:val="left"/>
    </w:lvl>
  </w:abstractNum>
  <w:abstractNum w:abstractNumId="1">
    <w:nsid w:val="4E98592C"/>
    <w:multiLevelType w:val="multilevel"/>
    <w:tmpl w:val="4E98592C"/>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5F100E3D"/>
    <w:multiLevelType w:val="singleLevel"/>
    <w:tmpl w:val="5F100E3D"/>
    <w:lvl w:ilvl="0" w:tentative="0">
      <w:start w:val="1"/>
      <w:numFmt w:val="decimal"/>
      <w:suff w:val="nothing"/>
      <w:lvlText w:val="%1、"/>
      <w:lvlJc w:val="left"/>
    </w:lvl>
  </w:abstractNum>
  <w:abstractNum w:abstractNumId="3">
    <w:nsid w:val="5F100F27"/>
    <w:multiLevelType w:val="singleLevel"/>
    <w:tmpl w:val="5F100F27"/>
    <w:lvl w:ilvl="0" w:tentative="0">
      <w:start w:val="1"/>
      <w:numFmt w:val="decimal"/>
      <w:suff w:val="nothing"/>
      <w:lvlText w:val="%1、"/>
      <w:lvlJc w:val="left"/>
    </w:lvl>
  </w:abstractNum>
  <w:abstractNum w:abstractNumId="4">
    <w:nsid w:val="5F100F8D"/>
    <w:multiLevelType w:val="singleLevel"/>
    <w:tmpl w:val="5F100F8D"/>
    <w:lvl w:ilvl="0" w:tentative="0">
      <w:start w:val="1"/>
      <w:numFmt w:val="decimal"/>
      <w:suff w:val="nothing"/>
      <w:lvlText w:val="%1、"/>
      <w:lvlJc w:val="left"/>
    </w:lvl>
  </w:abstractNum>
  <w:abstractNum w:abstractNumId="5">
    <w:nsid w:val="642F31C7"/>
    <w:multiLevelType w:val="multilevel"/>
    <w:tmpl w:val="642F31C7"/>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64526F82"/>
    <w:multiLevelType w:val="multilevel"/>
    <w:tmpl w:val="64526F8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676F6D2B"/>
    <w:multiLevelType w:val="multilevel"/>
    <w:tmpl w:val="676F6D2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5"/>
  </w:num>
  <w:num w:numId="2">
    <w:abstractNumId w:val="1"/>
  </w:num>
  <w:num w:numId="3">
    <w:abstractNumId w:val="6"/>
  </w:num>
  <w:num w:numId="4">
    <w:abstractNumId w:val="7"/>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861"/>
    <w:rsid w:val="0001380A"/>
    <w:rsid w:val="00022044"/>
    <w:rsid w:val="000222C0"/>
    <w:rsid w:val="00022ABA"/>
    <w:rsid w:val="00025002"/>
    <w:rsid w:val="00026ED5"/>
    <w:rsid w:val="00033F0E"/>
    <w:rsid w:val="000345C5"/>
    <w:rsid w:val="00035BC2"/>
    <w:rsid w:val="00041646"/>
    <w:rsid w:val="000426DB"/>
    <w:rsid w:val="00042A88"/>
    <w:rsid w:val="00047895"/>
    <w:rsid w:val="000552D7"/>
    <w:rsid w:val="000556FA"/>
    <w:rsid w:val="000569D5"/>
    <w:rsid w:val="00057A18"/>
    <w:rsid w:val="00057CB6"/>
    <w:rsid w:val="00057EAA"/>
    <w:rsid w:val="000620CB"/>
    <w:rsid w:val="00062D01"/>
    <w:rsid w:val="00064A68"/>
    <w:rsid w:val="000678B3"/>
    <w:rsid w:val="000728F3"/>
    <w:rsid w:val="00077EA1"/>
    <w:rsid w:val="00080EFA"/>
    <w:rsid w:val="00083CBC"/>
    <w:rsid w:val="00083CC8"/>
    <w:rsid w:val="0009207F"/>
    <w:rsid w:val="00093331"/>
    <w:rsid w:val="00094A4C"/>
    <w:rsid w:val="00094EBB"/>
    <w:rsid w:val="000A4273"/>
    <w:rsid w:val="000A64BF"/>
    <w:rsid w:val="000B147F"/>
    <w:rsid w:val="000B7C76"/>
    <w:rsid w:val="000C07F2"/>
    <w:rsid w:val="000C19C9"/>
    <w:rsid w:val="000C1B3B"/>
    <w:rsid w:val="000C674B"/>
    <w:rsid w:val="000E4293"/>
    <w:rsid w:val="000F3040"/>
    <w:rsid w:val="000F3380"/>
    <w:rsid w:val="000F3B0A"/>
    <w:rsid w:val="000F6719"/>
    <w:rsid w:val="000F6A87"/>
    <w:rsid w:val="00100E3F"/>
    <w:rsid w:val="00101154"/>
    <w:rsid w:val="00104BD5"/>
    <w:rsid w:val="00106D53"/>
    <w:rsid w:val="001123AE"/>
    <w:rsid w:val="001131CB"/>
    <w:rsid w:val="0011412E"/>
    <w:rsid w:val="00120F09"/>
    <w:rsid w:val="00124544"/>
    <w:rsid w:val="00124C9D"/>
    <w:rsid w:val="00126E99"/>
    <w:rsid w:val="0013089A"/>
    <w:rsid w:val="0013570F"/>
    <w:rsid w:val="00143914"/>
    <w:rsid w:val="00146578"/>
    <w:rsid w:val="0015139F"/>
    <w:rsid w:val="0016422B"/>
    <w:rsid w:val="00171EBC"/>
    <w:rsid w:val="00172A27"/>
    <w:rsid w:val="00173013"/>
    <w:rsid w:val="0017450A"/>
    <w:rsid w:val="001836EF"/>
    <w:rsid w:val="001845E1"/>
    <w:rsid w:val="00185FF0"/>
    <w:rsid w:val="00190AAA"/>
    <w:rsid w:val="00191C8C"/>
    <w:rsid w:val="00192950"/>
    <w:rsid w:val="0019685B"/>
    <w:rsid w:val="001A0514"/>
    <w:rsid w:val="001A137A"/>
    <w:rsid w:val="001A70F1"/>
    <w:rsid w:val="001B1569"/>
    <w:rsid w:val="001B2C49"/>
    <w:rsid w:val="001C180A"/>
    <w:rsid w:val="001C1EF8"/>
    <w:rsid w:val="001C2FF7"/>
    <w:rsid w:val="001C5435"/>
    <w:rsid w:val="001C5C50"/>
    <w:rsid w:val="001C6767"/>
    <w:rsid w:val="001D0F87"/>
    <w:rsid w:val="001D2898"/>
    <w:rsid w:val="001D2A9C"/>
    <w:rsid w:val="001D4F00"/>
    <w:rsid w:val="001D5E3D"/>
    <w:rsid w:val="001D65FD"/>
    <w:rsid w:val="001E2D50"/>
    <w:rsid w:val="001E35C9"/>
    <w:rsid w:val="001E48A5"/>
    <w:rsid w:val="001E6644"/>
    <w:rsid w:val="001F0A22"/>
    <w:rsid w:val="00204B2A"/>
    <w:rsid w:val="00206ABF"/>
    <w:rsid w:val="002072B9"/>
    <w:rsid w:val="00207F05"/>
    <w:rsid w:val="00207FFB"/>
    <w:rsid w:val="0021062F"/>
    <w:rsid w:val="00210C18"/>
    <w:rsid w:val="0021631D"/>
    <w:rsid w:val="00217A0F"/>
    <w:rsid w:val="0022522E"/>
    <w:rsid w:val="00225320"/>
    <w:rsid w:val="0022727D"/>
    <w:rsid w:val="00227D60"/>
    <w:rsid w:val="00227E09"/>
    <w:rsid w:val="00230234"/>
    <w:rsid w:val="00232BB6"/>
    <w:rsid w:val="00235284"/>
    <w:rsid w:val="00235362"/>
    <w:rsid w:val="00235C2B"/>
    <w:rsid w:val="00236DB2"/>
    <w:rsid w:val="00240638"/>
    <w:rsid w:val="00247976"/>
    <w:rsid w:val="0025090D"/>
    <w:rsid w:val="00253B57"/>
    <w:rsid w:val="00256D8A"/>
    <w:rsid w:val="0025799C"/>
    <w:rsid w:val="00261C47"/>
    <w:rsid w:val="00262085"/>
    <w:rsid w:val="00265DEA"/>
    <w:rsid w:val="00270017"/>
    <w:rsid w:val="0027030C"/>
    <w:rsid w:val="00270902"/>
    <w:rsid w:val="00272A7D"/>
    <w:rsid w:val="00277F7D"/>
    <w:rsid w:val="00280C1A"/>
    <w:rsid w:val="00283506"/>
    <w:rsid w:val="00283B9B"/>
    <w:rsid w:val="0029003C"/>
    <w:rsid w:val="00290429"/>
    <w:rsid w:val="00290D1F"/>
    <w:rsid w:val="00290D37"/>
    <w:rsid w:val="00292C13"/>
    <w:rsid w:val="00293E38"/>
    <w:rsid w:val="00295D7C"/>
    <w:rsid w:val="00296003"/>
    <w:rsid w:val="0029629B"/>
    <w:rsid w:val="002976C7"/>
    <w:rsid w:val="00297C0A"/>
    <w:rsid w:val="002A55EB"/>
    <w:rsid w:val="002A65F6"/>
    <w:rsid w:val="002A700B"/>
    <w:rsid w:val="002B2D3E"/>
    <w:rsid w:val="002B5330"/>
    <w:rsid w:val="002B6FC8"/>
    <w:rsid w:val="002B7435"/>
    <w:rsid w:val="002C0D83"/>
    <w:rsid w:val="002C367C"/>
    <w:rsid w:val="002C3C5D"/>
    <w:rsid w:val="002C5C2E"/>
    <w:rsid w:val="002E16B1"/>
    <w:rsid w:val="002E334E"/>
    <w:rsid w:val="002F3EAA"/>
    <w:rsid w:val="00303A8A"/>
    <w:rsid w:val="00303AF3"/>
    <w:rsid w:val="00307260"/>
    <w:rsid w:val="00310772"/>
    <w:rsid w:val="00311876"/>
    <w:rsid w:val="0031265D"/>
    <w:rsid w:val="00314F93"/>
    <w:rsid w:val="00315259"/>
    <w:rsid w:val="00316EF4"/>
    <w:rsid w:val="00320E17"/>
    <w:rsid w:val="00322966"/>
    <w:rsid w:val="003250B3"/>
    <w:rsid w:val="0032751F"/>
    <w:rsid w:val="00332715"/>
    <w:rsid w:val="0033288F"/>
    <w:rsid w:val="00337FF0"/>
    <w:rsid w:val="0034013F"/>
    <w:rsid w:val="00341F2F"/>
    <w:rsid w:val="00342AD9"/>
    <w:rsid w:val="0034416F"/>
    <w:rsid w:val="003466FC"/>
    <w:rsid w:val="0035110A"/>
    <w:rsid w:val="003519EE"/>
    <w:rsid w:val="003533B8"/>
    <w:rsid w:val="0036010C"/>
    <w:rsid w:val="00361012"/>
    <w:rsid w:val="00362702"/>
    <w:rsid w:val="00363B79"/>
    <w:rsid w:val="0036458C"/>
    <w:rsid w:val="0036535B"/>
    <w:rsid w:val="00365E18"/>
    <w:rsid w:val="00365E57"/>
    <w:rsid w:val="003665C0"/>
    <w:rsid w:val="0037475A"/>
    <w:rsid w:val="0037783B"/>
    <w:rsid w:val="00381772"/>
    <w:rsid w:val="003833F6"/>
    <w:rsid w:val="00394313"/>
    <w:rsid w:val="003958B9"/>
    <w:rsid w:val="00396D16"/>
    <w:rsid w:val="00397567"/>
    <w:rsid w:val="00397868"/>
    <w:rsid w:val="003A217F"/>
    <w:rsid w:val="003A4D32"/>
    <w:rsid w:val="003A5AFA"/>
    <w:rsid w:val="003A73F8"/>
    <w:rsid w:val="003A751C"/>
    <w:rsid w:val="003A75EC"/>
    <w:rsid w:val="003B0974"/>
    <w:rsid w:val="003B09DE"/>
    <w:rsid w:val="003B0CE1"/>
    <w:rsid w:val="003B4D7F"/>
    <w:rsid w:val="003B6669"/>
    <w:rsid w:val="003C036A"/>
    <w:rsid w:val="003C1849"/>
    <w:rsid w:val="003C1FE4"/>
    <w:rsid w:val="003C4292"/>
    <w:rsid w:val="003C5324"/>
    <w:rsid w:val="003C71F0"/>
    <w:rsid w:val="003D54C9"/>
    <w:rsid w:val="003D73CF"/>
    <w:rsid w:val="003E55AA"/>
    <w:rsid w:val="003E7843"/>
    <w:rsid w:val="003F3F06"/>
    <w:rsid w:val="00401BC2"/>
    <w:rsid w:val="00404A17"/>
    <w:rsid w:val="0040550E"/>
    <w:rsid w:val="00417CEE"/>
    <w:rsid w:val="00422436"/>
    <w:rsid w:val="00422E84"/>
    <w:rsid w:val="00424598"/>
    <w:rsid w:val="00433152"/>
    <w:rsid w:val="00434273"/>
    <w:rsid w:val="004362DB"/>
    <w:rsid w:val="004365B4"/>
    <w:rsid w:val="00437485"/>
    <w:rsid w:val="00437A74"/>
    <w:rsid w:val="00440FFE"/>
    <w:rsid w:val="0044345A"/>
    <w:rsid w:val="00453E03"/>
    <w:rsid w:val="00454C15"/>
    <w:rsid w:val="00454EB2"/>
    <w:rsid w:val="00455F08"/>
    <w:rsid w:val="00461D9D"/>
    <w:rsid w:val="00464E48"/>
    <w:rsid w:val="00465D2C"/>
    <w:rsid w:val="0047351E"/>
    <w:rsid w:val="00476200"/>
    <w:rsid w:val="00481A72"/>
    <w:rsid w:val="00482E1C"/>
    <w:rsid w:val="00483155"/>
    <w:rsid w:val="00483A29"/>
    <w:rsid w:val="004911B4"/>
    <w:rsid w:val="0049185F"/>
    <w:rsid w:val="004969AD"/>
    <w:rsid w:val="004A3921"/>
    <w:rsid w:val="004A460A"/>
    <w:rsid w:val="004A4E4E"/>
    <w:rsid w:val="004A53E8"/>
    <w:rsid w:val="004A63C4"/>
    <w:rsid w:val="004B545C"/>
    <w:rsid w:val="004B69B3"/>
    <w:rsid w:val="004B76EB"/>
    <w:rsid w:val="004C31D4"/>
    <w:rsid w:val="004D1EA6"/>
    <w:rsid w:val="004D4E7E"/>
    <w:rsid w:val="004E326B"/>
    <w:rsid w:val="004E522A"/>
    <w:rsid w:val="004F5A68"/>
    <w:rsid w:val="004F61F7"/>
    <w:rsid w:val="005003B8"/>
    <w:rsid w:val="00501525"/>
    <w:rsid w:val="00503A24"/>
    <w:rsid w:val="00505F6F"/>
    <w:rsid w:val="005077B6"/>
    <w:rsid w:val="0051385A"/>
    <w:rsid w:val="00514991"/>
    <w:rsid w:val="0051516A"/>
    <w:rsid w:val="005160E9"/>
    <w:rsid w:val="00516A8D"/>
    <w:rsid w:val="00521B3B"/>
    <w:rsid w:val="005229BE"/>
    <w:rsid w:val="00522D25"/>
    <w:rsid w:val="00545775"/>
    <w:rsid w:val="00547249"/>
    <w:rsid w:val="00552412"/>
    <w:rsid w:val="00560E52"/>
    <w:rsid w:val="00561E02"/>
    <w:rsid w:val="005635E3"/>
    <w:rsid w:val="00564954"/>
    <w:rsid w:val="00566998"/>
    <w:rsid w:val="00574690"/>
    <w:rsid w:val="00574738"/>
    <w:rsid w:val="00581428"/>
    <w:rsid w:val="00592E97"/>
    <w:rsid w:val="00595137"/>
    <w:rsid w:val="005A0BFF"/>
    <w:rsid w:val="005A0CFF"/>
    <w:rsid w:val="005A2FBF"/>
    <w:rsid w:val="005A504D"/>
    <w:rsid w:val="005A716F"/>
    <w:rsid w:val="005B0C3F"/>
    <w:rsid w:val="005B391C"/>
    <w:rsid w:val="005B3E6A"/>
    <w:rsid w:val="005B6CC9"/>
    <w:rsid w:val="005C21CC"/>
    <w:rsid w:val="005C3782"/>
    <w:rsid w:val="005C683D"/>
    <w:rsid w:val="005C79CC"/>
    <w:rsid w:val="005D1277"/>
    <w:rsid w:val="005D164F"/>
    <w:rsid w:val="005D7A9C"/>
    <w:rsid w:val="005E0328"/>
    <w:rsid w:val="005E1E0E"/>
    <w:rsid w:val="005E2601"/>
    <w:rsid w:val="005E4E7C"/>
    <w:rsid w:val="005F1B15"/>
    <w:rsid w:val="005F71DA"/>
    <w:rsid w:val="00600F37"/>
    <w:rsid w:val="0060363E"/>
    <w:rsid w:val="00605A24"/>
    <w:rsid w:val="00605E39"/>
    <w:rsid w:val="00606034"/>
    <w:rsid w:val="00606084"/>
    <w:rsid w:val="00610567"/>
    <w:rsid w:val="00611A76"/>
    <w:rsid w:val="00615D45"/>
    <w:rsid w:val="0062716E"/>
    <w:rsid w:val="006365AE"/>
    <w:rsid w:val="00641D96"/>
    <w:rsid w:val="00642272"/>
    <w:rsid w:val="006449B9"/>
    <w:rsid w:val="00660ECF"/>
    <w:rsid w:val="00661221"/>
    <w:rsid w:val="006760A4"/>
    <w:rsid w:val="006773EF"/>
    <w:rsid w:val="006827BA"/>
    <w:rsid w:val="00682E8A"/>
    <w:rsid w:val="00684A40"/>
    <w:rsid w:val="00685729"/>
    <w:rsid w:val="006A08FA"/>
    <w:rsid w:val="006A28C9"/>
    <w:rsid w:val="006B2D3F"/>
    <w:rsid w:val="006B3927"/>
    <w:rsid w:val="006B5753"/>
    <w:rsid w:val="006B73A2"/>
    <w:rsid w:val="006C474F"/>
    <w:rsid w:val="006C6A46"/>
    <w:rsid w:val="006C7312"/>
    <w:rsid w:val="006D35D0"/>
    <w:rsid w:val="006E25AB"/>
    <w:rsid w:val="006E44CA"/>
    <w:rsid w:val="006E60AA"/>
    <w:rsid w:val="006F0C6F"/>
    <w:rsid w:val="006F3DD9"/>
    <w:rsid w:val="006F52B1"/>
    <w:rsid w:val="007006FF"/>
    <w:rsid w:val="00701595"/>
    <w:rsid w:val="00701C18"/>
    <w:rsid w:val="00703908"/>
    <w:rsid w:val="00703A7D"/>
    <w:rsid w:val="00703EA2"/>
    <w:rsid w:val="00706BB9"/>
    <w:rsid w:val="007072A1"/>
    <w:rsid w:val="00710B8E"/>
    <w:rsid w:val="007111C7"/>
    <w:rsid w:val="007178F2"/>
    <w:rsid w:val="00721A02"/>
    <w:rsid w:val="00721C9A"/>
    <w:rsid w:val="00722416"/>
    <w:rsid w:val="00732417"/>
    <w:rsid w:val="00735DE4"/>
    <w:rsid w:val="00741A5B"/>
    <w:rsid w:val="00744DB4"/>
    <w:rsid w:val="0074756A"/>
    <w:rsid w:val="00750240"/>
    <w:rsid w:val="00753321"/>
    <w:rsid w:val="0075689E"/>
    <w:rsid w:val="00756907"/>
    <w:rsid w:val="00760F59"/>
    <w:rsid w:val="00762396"/>
    <w:rsid w:val="007648C0"/>
    <w:rsid w:val="007676A6"/>
    <w:rsid w:val="00770CB8"/>
    <w:rsid w:val="00770F1D"/>
    <w:rsid w:val="00772479"/>
    <w:rsid w:val="00776C8E"/>
    <w:rsid w:val="0078257E"/>
    <w:rsid w:val="007871FE"/>
    <w:rsid w:val="00791BB7"/>
    <w:rsid w:val="00795AD7"/>
    <w:rsid w:val="00795E33"/>
    <w:rsid w:val="007967A9"/>
    <w:rsid w:val="00796DD2"/>
    <w:rsid w:val="007A17AC"/>
    <w:rsid w:val="007A4DE8"/>
    <w:rsid w:val="007A5DB4"/>
    <w:rsid w:val="007A662F"/>
    <w:rsid w:val="007B0FEF"/>
    <w:rsid w:val="007B2F6F"/>
    <w:rsid w:val="007B4192"/>
    <w:rsid w:val="007B51B0"/>
    <w:rsid w:val="007B5AEA"/>
    <w:rsid w:val="007B6E7C"/>
    <w:rsid w:val="007B7873"/>
    <w:rsid w:val="007B787E"/>
    <w:rsid w:val="007B7B1A"/>
    <w:rsid w:val="007C259A"/>
    <w:rsid w:val="007C3EA2"/>
    <w:rsid w:val="007C5AAF"/>
    <w:rsid w:val="007C5F2A"/>
    <w:rsid w:val="007D1954"/>
    <w:rsid w:val="007D247E"/>
    <w:rsid w:val="007D5F47"/>
    <w:rsid w:val="007D7B9C"/>
    <w:rsid w:val="007E159C"/>
    <w:rsid w:val="007E2D25"/>
    <w:rsid w:val="007E344E"/>
    <w:rsid w:val="007E46D9"/>
    <w:rsid w:val="007F485C"/>
    <w:rsid w:val="00802726"/>
    <w:rsid w:val="008028CE"/>
    <w:rsid w:val="00803746"/>
    <w:rsid w:val="008108F7"/>
    <w:rsid w:val="008109CA"/>
    <w:rsid w:val="00811A94"/>
    <w:rsid w:val="00812F33"/>
    <w:rsid w:val="0081408E"/>
    <w:rsid w:val="0081626B"/>
    <w:rsid w:val="00816804"/>
    <w:rsid w:val="008179A8"/>
    <w:rsid w:val="008244B1"/>
    <w:rsid w:val="00825086"/>
    <w:rsid w:val="00827C03"/>
    <w:rsid w:val="00835204"/>
    <w:rsid w:val="00835685"/>
    <w:rsid w:val="00850376"/>
    <w:rsid w:val="008546B9"/>
    <w:rsid w:val="00855F5B"/>
    <w:rsid w:val="008610A6"/>
    <w:rsid w:val="00861B86"/>
    <w:rsid w:val="00870EF3"/>
    <w:rsid w:val="00873D2D"/>
    <w:rsid w:val="00874242"/>
    <w:rsid w:val="00880A74"/>
    <w:rsid w:val="0088212E"/>
    <w:rsid w:val="00882797"/>
    <w:rsid w:val="0088457B"/>
    <w:rsid w:val="008845DA"/>
    <w:rsid w:val="00885C88"/>
    <w:rsid w:val="00890F99"/>
    <w:rsid w:val="008942FD"/>
    <w:rsid w:val="00896BC5"/>
    <w:rsid w:val="008A156D"/>
    <w:rsid w:val="008A3CA1"/>
    <w:rsid w:val="008B323B"/>
    <w:rsid w:val="008B3F5F"/>
    <w:rsid w:val="008B410C"/>
    <w:rsid w:val="008B51E1"/>
    <w:rsid w:val="008B71CD"/>
    <w:rsid w:val="008C18DC"/>
    <w:rsid w:val="008C20BF"/>
    <w:rsid w:val="008C2A67"/>
    <w:rsid w:val="008C543A"/>
    <w:rsid w:val="008C66BC"/>
    <w:rsid w:val="008C6A17"/>
    <w:rsid w:val="008D19BA"/>
    <w:rsid w:val="008D68C2"/>
    <w:rsid w:val="008E0CBC"/>
    <w:rsid w:val="008E43D8"/>
    <w:rsid w:val="008F193D"/>
    <w:rsid w:val="008F51C9"/>
    <w:rsid w:val="008F5730"/>
    <w:rsid w:val="009103DB"/>
    <w:rsid w:val="009170F2"/>
    <w:rsid w:val="009201C4"/>
    <w:rsid w:val="0092166B"/>
    <w:rsid w:val="009254AE"/>
    <w:rsid w:val="00925C78"/>
    <w:rsid w:val="0092635D"/>
    <w:rsid w:val="0092798A"/>
    <w:rsid w:val="00930EC3"/>
    <w:rsid w:val="00932665"/>
    <w:rsid w:val="00932AFB"/>
    <w:rsid w:val="00937475"/>
    <w:rsid w:val="0094069C"/>
    <w:rsid w:val="009434B5"/>
    <w:rsid w:val="0094440D"/>
    <w:rsid w:val="009448DB"/>
    <w:rsid w:val="00944E57"/>
    <w:rsid w:val="00945D28"/>
    <w:rsid w:val="009464D3"/>
    <w:rsid w:val="00946ABC"/>
    <w:rsid w:val="00950675"/>
    <w:rsid w:val="009507F5"/>
    <w:rsid w:val="00953D7D"/>
    <w:rsid w:val="00954098"/>
    <w:rsid w:val="00955BB9"/>
    <w:rsid w:val="00956134"/>
    <w:rsid w:val="00956F92"/>
    <w:rsid w:val="00957169"/>
    <w:rsid w:val="00960416"/>
    <w:rsid w:val="00971056"/>
    <w:rsid w:val="0097360E"/>
    <w:rsid w:val="009768BB"/>
    <w:rsid w:val="00977253"/>
    <w:rsid w:val="00982905"/>
    <w:rsid w:val="009858AD"/>
    <w:rsid w:val="00987C63"/>
    <w:rsid w:val="0099144B"/>
    <w:rsid w:val="009935F8"/>
    <w:rsid w:val="009947DE"/>
    <w:rsid w:val="00996E7E"/>
    <w:rsid w:val="0099717F"/>
    <w:rsid w:val="009A05B2"/>
    <w:rsid w:val="009A0696"/>
    <w:rsid w:val="009A09EC"/>
    <w:rsid w:val="009A24F5"/>
    <w:rsid w:val="009B4DB1"/>
    <w:rsid w:val="009B4E33"/>
    <w:rsid w:val="009B4EA1"/>
    <w:rsid w:val="009C15EC"/>
    <w:rsid w:val="009C636E"/>
    <w:rsid w:val="009D2A22"/>
    <w:rsid w:val="009D6A93"/>
    <w:rsid w:val="009D77A0"/>
    <w:rsid w:val="009D7D80"/>
    <w:rsid w:val="009E1647"/>
    <w:rsid w:val="009E54D6"/>
    <w:rsid w:val="009E75FE"/>
    <w:rsid w:val="009F3461"/>
    <w:rsid w:val="009F680F"/>
    <w:rsid w:val="00A0162B"/>
    <w:rsid w:val="00A05F97"/>
    <w:rsid w:val="00A14993"/>
    <w:rsid w:val="00A15569"/>
    <w:rsid w:val="00A158E8"/>
    <w:rsid w:val="00A16209"/>
    <w:rsid w:val="00A20E3C"/>
    <w:rsid w:val="00A22F1B"/>
    <w:rsid w:val="00A239A1"/>
    <w:rsid w:val="00A2709B"/>
    <w:rsid w:val="00A33032"/>
    <w:rsid w:val="00A334B8"/>
    <w:rsid w:val="00A33726"/>
    <w:rsid w:val="00A33EB8"/>
    <w:rsid w:val="00A34777"/>
    <w:rsid w:val="00A37F54"/>
    <w:rsid w:val="00A37FD1"/>
    <w:rsid w:val="00A4477B"/>
    <w:rsid w:val="00A47F31"/>
    <w:rsid w:val="00A54CD0"/>
    <w:rsid w:val="00A56054"/>
    <w:rsid w:val="00A56B50"/>
    <w:rsid w:val="00A56EA4"/>
    <w:rsid w:val="00A66162"/>
    <w:rsid w:val="00A73804"/>
    <w:rsid w:val="00A73A7F"/>
    <w:rsid w:val="00A76723"/>
    <w:rsid w:val="00A77D66"/>
    <w:rsid w:val="00A8117D"/>
    <w:rsid w:val="00A82804"/>
    <w:rsid w:val="00A901FF"/>
    <w:rsid w:val="00A90AD8"/>
    <w:rsid w:val="00A919CF"/>
    <w:rsid w:val="00AA037A"/>
    <w:rsid w:val="00AA0CEB"/>
    <w:rsid w:val="00AA3D09"/>
    <w:rsid w:val="00AA7F19"/>
    <w:rsid w:val="00AA7F9A"/>
    <w:rsid w:val="00AB39E0"/>
    <w:rsid w:val="00AB4715"/>
    <w:rsid w:val="00AB6162"/>
    <w:rsid w:val="00AB6886"/>
    <w:rsid w:val="00AC15D0"/>
    <w:rsid w:val="00AC3F96"/>
    <w:rsid w:val="00AC594C"/>
    <w:rsid w:val="00AD1128"/>
    <w:rsid w:val="00AD23DD"/>
    <w:rsid w:val="00AD2B61"/>
    <w:rsid w:val="00AD36EA"/>
    <w:rsid w:val="00AE26F7"/>
    <w:rsid w:val="00AE47AA"/>
    <w:rsid w:val="00AE78D1"/>
    <w:rsid w:val="00AF12BE"/>
    <w:rsid w:val="00AF1B7F"/>
    <w:rsid w:val="00AF3E9D"/>
    <w:rsid w:val="00AF73C6"/>
    <w:rsid w:val="00B0074C"/>
    <w:rsid w:val="00B01FDE"/>
    <w:rsid w:val="00B0516B"/>
    <w:rsid w:val="00B10E23"/>
    <w:rsid w:val="00B1238A"/>
    <w:rsid w:val="00B17B25"/>
    <w:rsid w:val="00B20631"/>
    <w:rsid w:val="00B2071F"/>
    <w:rsid w:val="00B20CB4"/>
    <w:rsid w:val="00B2294F"/>
    <w:rsid w:val="00B278C1"/>
    <w:rsid w:val="00B353E8"/>
    <w:rsid w:val="00B37A92"/>
    <w:rsid w:val="00B37D00"/>
    <w:rsid w:val="00B40777"/>
    <w:rsid w:val="00B44ED8"/>
    <w:rsid w:val="00B45B03"/>
    <w:rsid w:val="00B5248D"/>
    <w:rsid w:val="00B5311F"/>
    <w:rsid w:val="00B54743"/>
    <w:rsid w:val="00B5652C"/>
    <w:rsid w:val="00B567CD"/>
    <w:rsid w:val="00B57167"/>
    <w:rsid w:val="00B57270"/>
    <w:rsid w:val="00B6081E"/>
    <w:rsid w:val="00B6121C"/>
    <w:rsid w:val="00B61F95"/>
    <w:rsid w:val="00B654F6"/>
    <w:rsid w:val="00B678B9"/>
    <w:rsid w:val="00B70941"/>
    <w:rsid w:val="00B722B1"/>
    <w:rsid w:val="00B72535"/>
    <w:rsid w:val="00B73375"/>
    <w:rsid w:val="00B80201"/>
    <w:rsid w:val="00B80C46"/>
    <w:rsid w:val="00B811A6"/>
    <w:rsid w:val="00B81BCA"/>
    <w:rsid w:val="00B954C7"/>
    <w:rsid w:val="00B9628B"/>
    <w:rsid w:val="00BA0A61"/>
    <w:rsid w:val="00BA6734"/>
    <w:rsid w:val="00BA7704"/>
    <w:rsid w:val="00BA7CE0"/>
    <w:rsid w:val="00BB123F"/>
    <w:rsid w:val="00BB1C0B"/>
    <w:rsid w:val="00BC09F7"/>
    <w:rsid w:val="00BC23A6"/>
    <w:rsid w:val="00BC7856"/>
    <w:rsid w:val="00BD39C2"/>
    <w:rsid w:val="00BD3B8E"/>
    <w:rsid w:val="00BD50AF"/>
    <w:rsid w:val="00BE3E07"/>
    <w:rsid w:val="00BE7441"/>
    <w:rsid w:val="00BF0B55"/>
    <w:rsid w:val="00BF5009"/>
    <w:rsid w:val="00C02A38"/>
    <w:rsid w:val="00C05095"/>
    <w:rsid w:val="00C11516"/>
    <w:rsid w:val="00C15212"/>
    <w:rsid w:val="00C15C94"/>
    <w:rsid w:val="00C17AE8"/>
    <w:rsid w:val="00C21A80"/>
    <w:rsid w:val="00C22B4F"/>
    <w:rsid w:val="00C24DDC"/>
    <w:rsid w:val="00C31173"/>
    <w:rsid w:val="00C350C8"/>
    <w:rsid w:val="00C35688"/>
    <w:rsid w:val="00C36BE4"/>
    <w:rsid w:val="00C407B0"/>
    <w:rsid w:val="00C414CB"/>
    <w:rsid w:val="00C419FD"/>
    <w:rsid w:val="00C42B36"/>
    <w:rsid w:val="00C443E9"/>
    <w:rsid w:val="00C45F7B"/>
    <w:rsid w:val="00C50B86"/>
    <w:rsid w:val="00C50C9A"/>
    <w:rsid w:val="00C51020"/>
    <w:rsid w:val="00C53AA0"/>
    <w:rsid w:val="00C53CF4"/>
    <w:rsid w:val="00C55D29"/>
    <w:rsid w:val="00C6008A"/>
    <w:rsid w:val="00C6158F"/>
    <w:rsid w:val="00C66A43"/>
    <w:rsid w:val="00C719FA"/>
    <w:rsid w:val="00C72BD3"/>
    <w:rsid w:val="00C73B43"/>
    <w:rsid w:val="00C75293"/>
    <w:rsid w:val="00C77614"/>
    <w:rsid w:val="00C77CDF"/>
    <w:rsid w:val="00C77FCF"/>
    <w:rsid w:val="00C80CA6"/>
    <w:rsid w:val="00C86322"/>
    <w:rsid w:val="00C90450"/>
    <w:rsid w:val="00C91734"/>
    <w:rsid w:val="00C94F9E"/>
    <w:rsid w:val="00C95844"/>
    <w:rsid w:val="00C96180"/>
    <w:rsid w:val="00C96282"/>
    <w:rsid w:val="00C96738"/>
    <w:rsid w:val="00C97E2D"/>
    <w:rsid w:val="00CA2AE8"/>
    <w:rsid w:val="00CA527D"/>
    <w:rsid w:val="00CA65BE"/>
    <w:rsid w:val="00CA79A0"/>
    <w:rsid w:val="00CC05A4"/>
    <w:rsid w:val="00CC43F8"/>
    <w:rsid w:val="00CC500A"/>
    <w:rsid w:val="00CC6C2D"/>
    <w:rsid w:val="00CD593F"/>
    <w:rsid w:val="00CE0184"/>
    <w:rsid w:val="00CE13C1"/>
    <w:rsid w:val="00CE3748"/>
    <w:rsid w:val="00CE5DA8"/>
    <w:rsid w:val="00CE6D7A"/>
    <w:rsid w:val="00CE7DD9"/>
    <w:rsid w:val="00CF1409"/>
    <w:rsid w:val="00CF36DA"/>
    <w:rsid w:val="00CF4EE5"/>
    <w:rsid w:val="00CF7B6B"/>
    <w:rsid w:val="00D04262"/>
    <w:rsid w:val="00D07963"/>
    <w:rsid w:val="00D15B32"/>
    <w:rsid w:val="00D26314"/>
    <w:rsid w:val="00D274D3"/>
    <w:rsid w:val="00D27ABB"/>
    <w:rsid w:val="00D31885"/>
    <w:rsid w:val="00D37480"/>
    <w:rsid w:val="00D42870"/>
    <w:rsid w:val="00D42F15"/>
    <w:rsid w:val="00D47676"/>
    <w:rsid w:val="00D547A7"/>
    <w:rsid w:val="00D556C3"/>
    <w:rsid w:val="00D56298"/>
    <w:rsid w:val="00D64FB7"/>
    <w:rsid w:val="00D6560E"/>
    <w:rsid w:val="00D65D2C"/>
    <w:rsid w:val="00D7096A"/>
    <w:rsid w:val="00D74573"/>
    <w:rsid w:val="00D77D42"/>
    <w:rsid w:val="00D86753"/>
    <w:rsid w:val="00D86CDA"/>
    <w:rsid w:val="00D87E9D"/>
    <w:rsid w:val="00D90512"/>
    <w:rsid w:val="00D912FA"/>
    <w:rsid w:val="00D93F63"/>
    <w:rsid w:val="00DA2FFC"/>
    <w:rsid w:val="00DA4897"/>
    <w:rsid w:val="00DA6179"/>
    <w:rsid w:val="00DB06A3"/>
    <w:rsid w:val="00DB27B3"/>
    <w:rsid w:val="00DB51F2"/>
    <w:rsid w:val="00DC0EEB"/>
    <w:rsid w:val="00DC1EF2"/>
    <w:rsid w:val="00DC6E28"/>
    <w:rsid w:val="00DC7B27"/>
    <w:rsid w:val="00DD44DA"/>
    <w:rsid w:val="00DD626C"/>
    <w:rsid w:val="00DE1E87"/>
    <w:rsid w:val="00DE26E5"/>
    <w:rsid w:val="00DF13CA"/>
    <w:rsid w:val="00DF5D27"/>
    <w:rsid w:val="00DF60F6"/>
    <w:rsid w:val="00E041CD"/>
    <w:rsid w:val="00E04FA6"/>
    <w:rsid w:val="00E1132F"/>
    <w:rsid w:val="00E113FF"/>
    <w:rsid w:val="00E15178"/>
    <w:rsid w:val="00E209F9"/>
    <w:rsid w:val="00E22D8F"/>
    <w:rsid w:val="00E23D8F"/>
    <w:rsid w:val="00E25482"/>
    <w:rsid w:val="00E26808"/>
    <w:rsid w:val="00E27109"/>
    <w:rsid w:val="00E40718"/>
    <w:rsid w:val="00E46E77"/>
    <w:rsid w:val="00E53B82"/>
    <w:rsid w:val="00E5733F"/>
    <w:rsid w:val="00E600C2"/>
    <w:rsid w:val="00E633CE"/>
    <w:rsid w:val="00E7149D"/>
    <w:rsid w:val="00E7247D"/>
    <w:rsid w:val="00E746C1"/>
    <w:rsid w:val="00E75A60"/>
    <w:rsid w:val="00E823A0"/>
    <w:rsid w:val="00E82CB3"/>
    <w:rsid w:val="00E8558B"/>
    <w:rsid w:val="00E93453"/>
    <w:rsid w:val="00E9483A"/>
    <w:rsid w:val="00E95E86"/>
    <w:rsid w:val="00E963A6"/>
    <w:rsid w:val="00E97291"/>
    <w:rsid w:val="00EA0082"/>
    <w:rsid w:val="00EA0364"/>
    <w:rsid w:val="00EA1722"/>
    <w:rsid w:val="00EA4CB1"/>
    <w:rsid w:val="00EA510D"/>
    <w:rsid w:val="00EB0E30"/>
    <w:rsid w:val="00EB2A18"/>
    <w:rsid w:val="00EB3B12"/>
    <w:rsid w:val="00EB3B24"/>
    <w:rsid w:val="00EB78E1"/>
    <w:rsid w:val="00EC2F33"/>
    <w:rsid w:val="00EC698E"/>
    <w:rsid w:val="00EC754F"/>
    <w:rsid w:val="00ED04A5"/>
    <w:rsid w:val="00ED0A52"/>
    <w:rsid w:val="00EE093D"/>
    <w:rsid w:val="00EE5231"/>
    <w:rsid w:val="00EE7898"/>
    <w:rsid w:val="00EF18EE"/>
    <w:rsid w:val="00EF1F47"/>
    <w:rsid w:val="00EF2B7C"/>
    <w:rsid w:val="00EF4BDC"/>
    <w:rsid w:val="00F01ADE"/>
    <w:rsid w:val="00F0216C"/>
    <w:rsid w:val="00F0439B"/>
    <w:rsid w:val="00F05E48"/>
    <w:rsid w:val="00F07B9C"/>
    <w:rsid w:val="00F105B5"/>
    <w:rsid w:val="00F12DEE"/>
    <w:rsid w:val="00F16574"/>
    <w:rsid w:val="00F16757"/>
    <w:rsid w:val="00F1716A"/>
    <w:rsid w:val="00F17AEA"/>
    <w:rsid w:val="00F2327A"/>
    <w:rsid w:val="00F24145"/>
    <w:rsid w:val="00F25089"/>
    <w:rsid w:val="00F31684"/>
    <w:rsid w:val="00F31E22"/>
    <w:rsid w:val="00F41442"/>
    <w:rsid w:val="00F42BAA"/>
    <w:rsid w:val="00F43BE9"/>
    <w:rsid w:val="00F451E2"/>
    <w:rsid w:val="00F458A1"/>
    <w:rsid w:val="00F51E79"/>
    <w:rsid w:val="00F544A2"/>
    <w:rsid w:val="00F5763F"/>
    <w:rsid w:val="00F6029A"/>
    <w:rsid w:val="00F621DE"/>
    <w:rsid w:val="00F62581"/>
    <w:rsid w:val="00F654A0"/>
    <w:rsid w:val="00F65CD0"/>
    <w:rsid w:val="00F67C78"/>
    <w:rsid w:val="00F716BD"/>
    <w:rsid w:val="00F727DA"/>
    <w:rsid w:val="00F72A3E"/>
    <w:rsid w:val="00F73186"/>
    <w:rsid w:val="00F741EA"/>
    <w:rsid w:val="00F84294"/>
    <w:rsid w:val="00F915EF"/>
    <w:rsid w:val="00F92B32"/>
    <w:rsid w:val="00FA00C7"/>
    <w:rsid w:val="00FA00E2"/>
    <w:rsid w:val="00FA257E"/>
    <w:rsid w:val="00FA2A05"/>
    <w:rsid w:val="00FA2FE9"/>
    <w:rsid w:val="00FA31BD"/>
    <w:rsid w:val="00FA54FB"/>
    <w:rsid w:val="00FA6051"/>
    <w:rsid w:val="00FB1237"/>
    <w:rsid w:val="00FB1D83"/>
    <w:rsid w:val="00FB24D3"/>
    <w:rsid w:val="00FB2C33"/>
    <w:rsid w:val="00FB7D2F"/>
    <w:rsid w:val="00FC2D8C"/>
    <w:rsid w:val="00FC457C"/>
    <w:rsid w:val="00FC5FD3"/>
    <w:rsid w:val="00FD4972"/>
    <w:rsid w:val="00FD6778"/>
    <w:rsid w:val="00FE3281"/>
    <w:rsid w:val="00FE3B60"/>
    <w:rsid w:val="00FE6FCC"/>
    <w:rsid w:val="00FF08E1"/>
    <w:rsid w:val="00FF6A5C"/>
    <w:rsid w:val="00FF7665"/>
    <w:rsid w:val="010B75EE"/>
    <w:rsid w:val="01113C7A"/>
    <w:rsid w:val="01211D6B"/>
    <w:rsid w:val="01290DE3"/>
    <w:rsid w:val="013E7F72"/>
    <w:rsid w:val="014E5E33"/>
    <w:rsid w:val="01570F81"/>
    <w:rsid w:val="015753C2"/>
    <w:rsid w:val="01702985"/>
    <w:rsid w:val="018055EB"/>
    <w:rsid w:val="0195287E"/>
    <w:rsid w:val="019F5E10"/>
    <w:rsid w:val="01B252F2"/>
    <w:rsid w:val="01B43A85"/>
    <w:rsid w:val="01CC5D76"/>
    <w:rsid w:val="021423FA"/>
    <w:rsid w:val="02160A08"/>
    <w:rsid w:val="02517403"/>
    <w:rsid w:val="025B7CFE"/>
    <w:rsid w:val="026B03B0"/>
    <w:rsid w:val="026D2EF1"/>
    <w:rsid w:val="028E6483"/>
    <w:rsid w:val="029947F7"/>
    <w:rsid w:val="02AF6568"/>
    <w:rsid w:val="02BC3AB3"/>
    <w:rsid w:val="02C20C6B"/>
    <w:rsid w:val="02F5530D"/>
    <w:rsid w:val="02FF1B8C"/>
    <w:rsid w:val="031B11A8"/>
    <w:rsid w:val="03286A48"/>
    <w:rsid w:val="032925DE"/>
    <w:rsid w:val="036A3745"/>
    <w:rsid w:val="036D42E3"/>
    <w:rsid w:val="037C63E2"/>
    <w:rsid w:val="03835D5E"/>
    <w:rsid w:val="038A0478"/>
    <w:rsid w:val="038F2514"/>
    <w:rsid w:val="03912774"/>
    <w:rsid w:val="039239D5"/>
    <w:rsid w:val="03B16EF1"/>
    <w:rsid w:val="03B330AF"/>
    <w:rsid w:val="03B72761"/>
    <w:rsid w:val="03C87BD4"/>
    <w:rsid w:val="03D03673"/>
    <w:rsid w:val="03DA116A"/>
    <w:rsid w:val="03E104A4"/>
    <w:rsid w:val="04232B72"/>
    <w:rsid w:val="047C49E9"/>
    <w:rsid w:val="04950940"/>
    <w:rsid w:val="04A2345D"/>
    <w:rsid w:val="04A43A2A"/>
    <w:rsid w:val="04A77363"/>
    <w:rsid w:val="04B862FF"/>
    <w:rsid w:val="04BC4384"/>
    <w:rsid w:val="04C42DBA"/>
    <w:rsid w:val="04D3646D"/>
    <w:rsid w:val="04D951CF"/>
    <w:rsid w:val="04E95C74"/>
    <w:rsid w:val="05031ED0"/>
    <w:rsid w:val="05475103"/>
    <w:rsid w:val="058916B9"/>
    <w:rsid w:val="05B61A59"/>
    <w:rsid w:val="05B958B7"/>
    <w:rsid w:val="05BC654A"/>
    <w:rsid w:val="05C541CE"/>
    <w:rsid w:val="05C82943"/>
    <w:rsid w:val="05DB5D12"/>
    <w:rsid w:val="05DE4CBA"/>
    <w:rsid w:val="05E13BCE"/>
    <w:rsid w:val="05F40748"/>
    <w:rsid w:val="061359C3"/>
    <w:rsid w:val="065451EC"/>
    <w:rsid w:val="06611562"/>
    <w:rsid w:val="066200D6"/>
    <w:rsid w:val="06630702"/>
    <w:rsid w:val="06900A60"/>
    <w:rsid w:val="069C07FE"/>
    <w:rsid w:val="06A034AF"/>
    <w:rsid w:val="06B02C76"/>
    <w:rsid w:val="06C64667"/>
    <w:rsid w:val="06E85327"/>
    <w:rsid w:val="06EE11B7"/>
    <w:rsid w:val="06EE5803"/>
    <w:rsid w:val="071C03CB"/>
    <w:rsid w:val="07643338"/>
    <w:rsid w:val="078B3124"/>
    <w:rsid w:val="07AA137A"/>
    <w:rsid w:val="07C34AFD"/>
    <w:rsid w:val="07E50B7D"/>
    <w:rsid w:val="07EF4C09"/>
    <w:rsid w:val="080A3BEC"/>
    <w:rsid w:val="080D2D4D"/>
    <w:rsid w:val="080D6661"/>
    <w:rsid w:val="082C7BCF"/>
    <w:rsid w:val="0844792B"/>
    <w:rsid w:val="084906CF"/>
    <w:rsid w:val="086A5496"/>
    <w:rsid w:val="089747A6"/>
    <w:rsid w:val="08976237"/>
    <w:rsid w:val="08AA2B37"/>
    <w:rsid w:val="08C12E8E"/>
    <w:rsid w:val="08D8051E"/>
    <w:rsid w:val="08EF5BBF"/>
    <w:rsid w:val="08F82244"/>
    <w:rsid w:val="0905169F"/>
    <w:rsid w:val="090F67D0"/>
    <w:rsid w:val="091579C2"/>
    <w:rsid w:val="0917788B"/>
    <w:rsid w:val="09243D59"/>
    <w:rsid w:val="092D7B21"/>
    <w:rsid w:val="09424B2A"/>
    <w:rsid w:val="094312AF"/>
    <w:rsid w:val="095312D8"/>
    <w:rsid w:val="09673436"/>
    <w:rsid w:val="097543E0"/>
    <w:rsid w:val="097E6577"/>
    <w:rsid w:val="098A6439"/>
    <w:rsid w:val="098B6263"/>
    <w:rsid w:val="098C3DE3"/>
    <w:rsid w:val="0997337F"/>
    <w:rsid w:val="09E17044"/>
    <w:rsid w:val="09E42787"/>
    <w:rsid w:val="09E44A37"/>
    <w:rsid w:val="09EC2344"/>
    <w:rsid w:val="09EE4477"/>
    <w:rsid w:val="09EF6ADC"/>
    <w:rsid w:val="0A287E6D"/>
    <w:rsid w:val="0A2C408E"/>
    <w:rsid w:val="0A3970A8"/>
    <w:rsid w:val="0A554284"/>
    <w:rsid w:val="0A624385"/>
    <w:rsid w:val="0A866982"/>
    <w:rsid w:val="0A871539"/>
    <w:rsid w:val="0AA029D0"/>
    <w:rsid w:val="0AA6313E"/>
    <w:rsid w:val="0AAF36BC"/>
    <w:rsid w:val="0AED157F"/>
    <w:rsid w:val="0AED7CBA"/>
    <w:rsid w:val="0AF67582"/>
    <w:rsid w:val="0B0924FB"/>
    <w:rsid w:val="0B3749FC"/>
    <w:rsid w:val="0B423BA9"/>
    <w:rsid w:val="0BA04C54"/>
    <w:rsid w:val="0BA13483"/>
    <w:rsid w:val="0BA511D7"/>
    <w:rsid w:val="0BB25941"/>
    <w:rsid w:val="0BCD5152"/>
    <w:rsid w:val="0BCF41E3"/>
    <w:rsid w:val="0BE52D75"/>
    <w:rsid w:val="0BF547C7"/>
    <w:rsid w:val="0C14669F"/>
    <w:rsid w:val="0C2674A3"/>
    <w:rsid w:val="0C2A5BFB"/>
    <w:rsid w:val="0C347E89"/>
    <w:rsid w:val="0C420BB0"/>
    <w:rsid w:val="0C493EB3"/>
    <w:rsid w:val="0C694328"/>
    <w:rsid w:val="0C737263"/>
    <w:rsid w:val="0C826577"/>
    <w:rsid w:val="0C8D0BFD"/>
    <w:rsid w:val="0CA95644"/>
    <w:rsid w:val="0CB33DBB"/>
    <w:rsid w:val="0CB73F02"/>
    <w:rsid w:val="0CB866B6"/>
    <w:rsid w:val="0CBF4EE9"/>
    <w:rsid w:val="0CD25B03"/>
    <w:rsid w:val="0D211F0B"/>
    <w:rsid w:val="0D3D1484"/>
    <w:rsid w:val="0D4532F7"/>
    <w:rsid w:val="0D546CC3"/>
    <w:rsid w:val="0D5E6A18"/>
    <w:rsid w:val="0D8D1244"/>
    <w:rsid w:val="0D9457F9"/>
    <w:rsid w:val="0DB80058"/>
    <w:rsid w:val="0DBC5B60"/>
    <w:rsid w:val="0DBF0FB5"/>
    <w:rsid w:val="0DCC7C5C"/>
    <w:rsid w:val="0DFB6B7F"/>
    <w:rsid w:val="0DFF4313"/>
    <w:rsid w:val="0E0D1A6C"/>
    <w:rsid w:val="0E100167"/>
    <w:rsid w:val="0E523D0A"/>
    <w:rsid w:val="0E5C4B53"/>
    <w:rsid w:val="0E80225C"/>
    <w:rsid w:val="0E824BD7"/>
    <w:rsid w:val="0E841B32"/>
    <w:rsid w:val="0E9E1BE9"/>
    <w:rsid w:val="0F0E3736"/>
    <w:rsid w:val="0F0F5C68"/>
    <w:rsid w:val="0F147624"/>
    <w:rsid w:val="0F154EDC"/>
    <w:rsid w:val="0F1673CC"/>
    <w:rsid w:val="0F18622C"/>
    <w:rsid w:val="0F186B13"/>
    <w:rsid w:val="0F27295E"/>
    <w:rsid w:val="0F5E4F8E"/>
    <w:rsid w:val="0F5E6673"/>
    <w:rsid w:val="0F760A3B"/>
    <w:rsid w:val="0F7A5AE6"/>
    <w:rsid w:val="0FAC33AA"/>
    <w:rsid w:val="0FC93F43"/>
    <w:rsid w:val="0FDA5A2A"/>
    <w:rsid w:val="0FE73BD5"/>
    <w:rsid w:val="0FF26AE4"/>
    <w:rsid w:val="10007DA6"/>
    <w:rsid w:val="101A3766"/>
    <w:rsid w:val="10873436"/>
    <w:rsid w:val="10BE77EB"/>
    <w:rsid w:val="10DC71D6"/>
    <w:rsid w:val="10DD7A38"/>
    <w:rsid w:val="10DE7DBB"/>
    <w:rsid w:val="10E76172"/>
    <w:rsid w:val="10EA30D1"/>
    <w:rsid w:val="10FF095E"/>
    <w:rsid w:val="110759C7"/>
    <w:rsid w:val="110D2BD7"/>
    <w:rsid w:val="11332756"/>
    <w:rsid w:val="11515EBC"/>
    <w:rsid w:val="11571F3F"/>
    <w:rsid w:val="11A23477"/>
    <w:rsid w:val="11AF4518"/>
    <w:rsid w:val="11B14995"/>
    <w:rsid w:val="11B36D52"/>
    <w:rsid w:val="11B5691A"/>
    <w:rsid w:val="11BB7881"/>
    <w:rsid w:val="11BC38BE"/>
    <w:rsid w:val="11CD2877"/>
    <w:rsid w:val="11E723F2"/>
    <w:rsid w:val="11ED2110"/>
    <w:rsid w:val="11EE39B2"/>
    <w:rsid w:val="11FA2FCC"/>
    <w:rsid w:val="121D09C3"/>
    <w:rsid w:val="125D6A4B"/>
    <w:rsid w:val="126431AD"/>
    <w:rsid w:val="126871CB"/>
    <w:rsid w:val="12695F3E"/>
    <w:rsid w:val="12A165D1"/>
    <w:rsid w:val="12A827FA"/>
    <w:rsid w:val="12C5153E"/>
    <w:rsid w:val="12E11F66"/>
    <w:rsid w:val="12F42616"/>
    <w:rsid w:val="12F72E79"/>
    <w:rsid w:val="13061931"/>
    <w:rsid w:val="131C59EF"/>
    <w:rsid w:val="13370CEB"/>
    <w:rsid w:val="133D0A99"/>
    <w:rsid w:val="13424218"/>
    <w:rsid w:val="13542648"/>
    <w:rsid w:val="136E72FD"/>
    <w:rsid w:val="13B552B6"/>
    <w:rsid w:val="13CC43E2"/>
    <w:rsid w:val="13DD5677"/>
    <w:rsid w:val="13F63688"/>
    <w:rsid w:val="14007E5C"/>
    <w:rsid w:val="14024DD1"/>
    <w:rsid w:val="14053100"/>
    <w:rsid w:val="140735F8"/>
    <w:rsid w:val="14140B20"/>
    <w:rsid w:val="142C1139"/>
    <w:rsid w:val="14620D95"/>
    <w:rsid w:val="14634876"/>
    <w:rsid w:val="14650972"/>
    <w:rsid w:val="146816EA"/>
    <w:rsid w:val="14685E22"/>
    <w:rsid w:val="146A4F2F"/>
    <w:rsid w:val="148235B5"/>
    <w:rsid w:val="14AB5A5A"/>
    <w:rsid w:val="14CD1D9C"/>
    <w:rsid w:val="14D66E9E"/>
    <w:rsid w:val="14E51EB2"/>
    <w:rsid w:val="15154200"/>
    <w:rsid w:val="15222345"/>
    <w:rsid w:val="15230A27"/>
    <w:rsid w:val="1534613D"/>
    <w:rsid w:val="1541577E"/>
    <w:rsid w:val="15696714"/>
    <w:rsid w:val="159161B7"/>
    <w:rsid w:val="1597298C"/>
    <w:rsid w:val="15B0325D"/>
    <w:rsid w:val="15B35C85"/>
    <w:rsid w:val="15BE1469"/>
    <w:rsid w:val="15C810CB"/>
    <w:rsid w:val="15C9122E"/>
    <w:rsid w:val="15F775ED"/>
    <w:rsid w:val="161E7072"/>
    <w:rsid w:val="162F5153"/>
    <w:rsid w:val="163860A6"/>
    <w:rsid w:val="1639279F"/>
    <w:rsid w:val="163F31BD"/>
    <w:rsid w:val="165544F8"/>
    <w:rsid w:val="16815279"/>
    <w:rsid w:val="168360D2"/>
    <w:rsid w:val="169337A7"/>
    <w:rsid w:val="16AF69F3"/>
    <w:rsid w:val="16B61EFF"/>
    <w:rsid w:val="16E96472"/>
    <w:rsid w:val="170C4660"/>
    <w:rsid w:val="17112FDD"/>
    <w:rsid w:val="171913E8"/>
    <w:rsid w:val="1720499D"/>
    <w:rsid w:val="172C5FED"/>
    <w:rsid w:val="17464CF1"/>
    <w:rsid w:val="17596BA5"/>
    <w:rsid w:val="17603CF9"/>
    <w:rsid w:val="17642758"/>
    <w:rsid w:val="178F3CB2"/>
    <w:rsid w:val="17A247B2"/>
    <w:rsid w:val="17AB171A"/>
    <w:rsid w:val="17BD20BC"/>
    <w:rsid w:val="17C5167D"/>
    <w:rsid w:val="17CB6A0E"/>
    <w:rsid w:val="17CC012D"/>
    <w:rsid w:val="17DF7ABF"/>
    <w:rsid w:val="17E91426"/>
    <w:rsid w:val="17F458B3"/>
    <w:rsid w:val="180711EF"/>
    <w:rsid w:val="180A6FD8"/>
    <w:rsid w:val="18185BCA"/>
    <w:rsid w:val="181B6095"/>
    <w:rsid w:val="181E7E6B"/>
    <w:rsid w:val="182663EF"/>
    <w:rsid w:val="18334922"/>
    <w:rsid w:val="185A1CB1"/>
    <w:rsid w:val="185A23D3"/>
    <w:rsid w:val="185B5689"/>
    <w:rsid w:val="1864142A"/>
    <w:rsid w:val="18661787"/>
    <w:rsid w:val="189709B8"/>
    <w:rsid w:val="18B610CA"/>
    <w:rsid w:val="18BD49D3"/>
    <w:rsid w:val="18C25A7A"/>
    <w:rsid w:val="18D934B6"/>
    <w:rsid w:val="18F178F2"/>
    <w:rsid w:val="190456CF"/>
    <w:rsid w:val="19226148"/>
    <w:rsid w:val="193B5EC2"/>
    <w:rsid w:val="194143B3"/>
    <w:rsid w:val="19574333"/>
    <w:rsid w:val="197B7503"/>
    <w:rsid w:val="198034F4"/>
    <w:rsid w:val="19955D09"/>
    <w:rsid w:val="199E70BE"/>
    <w:rsid w:val="19A80934"/>
    <w:rsid w:val="19C34E69"/>
    <w:rsid w:val="19E144F4"/>
    <w:rsid w:val="19EA2E21"/>
    <w:rsid w:val="19F83FA7"/>
    <w:rsid w:val="19FD47A3"/>
    <w:rsid w:val="1A132E41"/>
    <w:rsid w:val="1A281BDD"/>
    <w:rsid w:val="1A2A670B"/>
    <w:rsid w:val="1A40168B"/>
    <w:rsid w:val="1A4235AE"/>
    <w:rsid w:val="1A8A7A40"/>
    <w:rsid w:val="1AC62CAA"/>
    <w:rsid w:val="1AC71D67"/>
    <w:rsid w:val="1AC8397F"/>
    <w:rsid w:val="1AE23856"/>
    <w:rsid w:val="1AF65F02"/>
    <w:rsid w:val="1AF9390C"/>
    <w:rsid w:val="1B1E2DC8"/>
    <w:rsid w:val="1B36223B"/>
    <w:rsid w:val="1B407834"/>
    <w:rsid w:val="1B4433AA"/>
    <w:rsid w:val="1B453ECB"/>
    <w:rsid w:val="1B580002"/>
    <w:rsid w:val="1B751314"/>
    <w:rsid w:val="1BD6536F"/>
    <w:rsid w:val="1BD94050"/>
    <w:rsid w:val="1C0844A9"/>
    <w:rsid w:val="1C1E0BD8"/>
    <w:rsid w:val="1C330C5C"/>
    <w:rsid w:val="1C3E50FE"/>
    <w:rsid w:val="1C454A0F"/>
    <w:rsid w:val="1C46282E"/>
    <w:rsid w:val="1C5354BF"/>
    <w:rsid w:val="1C8532F2"/>
    <w:rsid w:val="1C8E1695"/>
    <w:rsid w:val="1CA4508E"/>
    <w:rsid w:val="1CB355AE"/>
    <w:rsid w:val="1CBE1CD4"/>
    <w:rsid w:val="1CC30A78"/>
    <w:rsid w:val="1CD04F3F"/>
    <w:rsid w:val="1CD83D50"/>
    <w:rsid w:val="1CF06255"/>
    <w:rsid w:val="1CF259B0"/>
    <w:rsid w:val="1D1E1017"/>
    <w:rsid w:val="1D460EAD"/>
    <w:rsid w:val="1D92576A"/>
    <w:rsid w:val="1D927B80"/>
    <w:rsid w:val="1DB56FA4"/>
    <w:rsid w:val="1DE937AA"/>
    <w:rsid w:val="1E242D92"/>
    <w:rsid w:val="1E2B7545"/>
    <w:rsid w:val="1E440340"/>
    <w:rsid w:val="1E7342BF"/>
    <w:rsid w:val="1E7C1BC8"/>
    <w:rsid w:val="1E86520F"/>
    <w:rsid w:val="1E8A4D45"/>
    <w:rsid w:val="1EA42A0C"/>
    <w:rsid w:val="1ECA4C83"/>
    <w:rsid w:val="1ED65AF2"/>
    <w:rsid w:val="1ED7182E"/>
    <w:rsid w:val="1EF7166B"/>
    <w:rsid w:val="1F4E2325"/>
    <w:rsid w:val="1F5C4703"/>
    <w:rsid w:val="1F5E54EA"/>
    <w:rsid w:val="1F6E6774"/>
    <w:rsid w:val="1F7161F5"/>
    <w:rsid w:val="1F7F204F"/>
    <w:rsid w:val="1F83275E"/>
    <w:rsid w:val="1F8960C7"/>
    <w:rsid w:val="1F8F49CC"/>
    <w:rsid w:val="1F935659"/>
    <w:rsid w:val="1FB04590"/>
    <w:rsid w:val="1FB1584B"/>
    <w:rsid w:val="1FEC6D9D"/>
    <w:rsid w:val="1FF45B7B"/>
    <w:rsid w:val="1FF46A15"/>
    <w:rsid w:val="1FF470A7"/>
    <w:rsid w:val="1FF60A3F"/>
    <w:rsid w:val="20041824"/>
    <w:rsid w:val="202048CF"/>
    <w:rsid w:val="203D54DC"/>
    <w:rsid w:val="205B5A86"/>
    <w:rsid w:val="206013F7"/>
    <w:rsid w:val="20854785"/>
    <w:rsid w:val="20A62BA0"/>
    <w:rsid w:val="20B86367"/>
    <w:rsid w:val="20E50128"/>
    <w:rsid w:val="20EC361C"/>
    <w:rsid w:val="20F547C7"/>
    <w:rsid w:val="20F63F42"/>
    <w:rsid w:val="210D09B5"/>
    <w:rsid w:val="21115335"/>
    <w:rsid w:val="214D7AF2"/>
    <w:rsid w:val="21510F3B"/>
    <w:rsid w:val="215514A8"/>
    <w:rsid w:val="21727655"/>
    <w:rsid w:val="219016AC"/>
    <w:rsid w:val="219A44EF"/>
    <w:rsid w:val="21A0236E"/>
    <w:rsid w:val="21AB79DF"/>
    <w:rsid w:val="21BA7471"/>
    <w:rsid w:val="21C35611"/>
    <w:rsid w:val="21C37B19"/>
    <w:rsid w:val="21C8594A"/>
    <w:rsid w:val="21DA7CD9"/>
    <w:rsid w:val="21DC2EC2"/>
    <w:rsid w:val="21E01BE3"/>
    <w:rsid w:val="21E26A21"/>
    <w:rsid w:val="21EA4E51"/>
    <w:rsid w:val="21F759C3"/>
    <w:rsid w:val="22016A27"/>
    <w:rsid w:val="22081CD6"/>
    <w:rsid w:val="221D4F4D"/>
    <w:rsid w:val="22270F70"/>
    <w:rsid w:val="222E0E7D"/>
    <w:rsid w:val="22517B11"/>
    <w:rsid w:val="22555867"/>
    <w:rsid w:val="22555A1B"/>
    <w:rsid w:val="225B0F76"/>
    <w:rsid w:val="225F60DF"/>
    <w:rsid w:val="2260180A"/>
    <w:rsid w:val="22657368"/>
    <w:rsid w:val="226C10B7"/>
    <w:rsid w:val="228220EA"/>
    <w:rsid w:val="22870190"/>
    <w:rsid w:val="228F1464"/>
    <w:rsid w:val="22AF07B5"/>
    <w:rsid w:val="22C67DE1"/>
    <w:rsid w:val="22CC1BB6"/>
    <w:rsid w:val="22D82D0D"/>
    <w:rsid w:val="22E2555C"/>
    <w:rsid w:val="22F80F2B"/>
    <w:rsid w:val="230671FD"/>
    <w:rsid w:val="233424BC"/>
    <w:rsid w:val="233E7B81"/>
    <w:rsid w:val="234318F4"/>
    <w:rsid w:val="234F4FF1"/>
    <w:rsid w:val="23544EB8"/>
    <w:rsid w:val="23593502"/>
    <w:rsid w:val="23775C8D"/>
    <w:rsid w:val="238877BB"/>
    <w:rsid w:val="23C27DB9"/>
    <w:rsid w:val="23C610C2"/>
    <w:rsid w:val="23E245AC"/>
    <w:rsid w:val="23E726EF"/>
    <w:rsid w:val="23EE3462"/>
    <w:rsid w:val="23F85DF1"/>
    <w:rsid w:val="23FE3359"/>
    <w:rsid w:val="24196B74"/>
    <w:rsid w:val="243D499B"/>
    <w:rsid w:val="245D630E"/>
    <w:rsid w:val="245F54D6"/>
    <w:rsid w:val="246B1BCE"/>
    <w:rsid w:val="24764D32"/>
    <w:rsid w:val="247E14B6"/>
    <w:rsid w:val="249511A1"/>
    <w:rsid w:val="24A32BA0"/>
    <w:rsid w:val="24DD0BE6"/>
    <w:rsid w:val="24EC11D6"/>
    <w:rsid w:val="24ED1971"/>
    <w:rsid w:val="25234DE3"/>
    <w:rsid w:val="253537B8"/>
    <w:rsid w:val="253954E1"/>
    <w:rsid w:val="254750BA"/>
    <w:rsid w:val="256D5C8B"/>
    <w:rsid w:val="257B62BB"/>
    <w:rsid w:val="25840F14"/>
    <w:rsid w:val="25910056"/>
    <w:rsid w:val="259F1D02"/>
    <w:rsid w:val="25B42BD6"/>
    <w:rsid w:val="25D971A5"/>
    <w:rsid w:val="25E32C65"/>
    <w:rsid w:val="25EA7351"/>
    <w:rsid w:val="26012980"/>
    <w:rsid w:val="260559DA"/>
    <w:rsid w:val="260F4E77"/>
    <w:rsid w:val="260F625F"/>
    <w:rsid w:val="261F61CF"/>
    <w:rsid w:val="262003F5"/>
    <w:rsid w:val="263D65F7"/>
    <w:rsid w:val="264247DC"/>
    <w:rsid w:val="26540D1F"/>
    <w:rsid w:val="26630200"/>
    <w:rsid w:val="268C5CF0"/>
    <w:rsid w:val="26B12D1E"/>
    <w:rsid w:val="26B21BE8"/>
    <w:rsid w:val="26BD3317"/>
    <w:rsid w:val="26D62889"/>
    <w:rsid w:val="26E140AA"/>
    <w:rsid w:val="26EA4C4F"/>
    <w:rsid w:val="26F11C4B"/>
    <w:rsid w:val="2709120D"/>
    <w:rsid w:val="27104A65"/>
    <w:rsid w:val="273F35F4"/>
    <w:rsid w:val="276B40B8"/>
    <w:rsid w:val="278F6CF1"/>
    <w:rsid w:val="2792399D"/>
    <w:rsid w:val="279C359B"/>
    <w:rsid w:val="27A4006E"/>
    <w:rsid w:val="27A4681F"/>
    <w:rsid w:val="27A62F58"/>
    <w:rsid w:val="27C308B4"/>
    <w:rsid w:val="27DE298D"/>
    <w:rsid w:val="27ED6D62"/>
    <w:rsid w:val="285D3F3A"/>
    <w:rsid w:val="286010DF"/>
    <w:rsid w:val="28843159"/>
    <w:rsid w:val="288B65BC"/>
    <w:rsid w:val="289A6067"/>
    <w:rsid w:val="28AE7A53"/>
    <w:rsid w:val="28AF118A"/>
    <w:rsid w:val="28F70F21"/>
    <w:rsid w:val="28F947C4"/>
    <w:rsid w:val="28FC111B"/>
    <w:rsid w:val="29315658"/>
    <w:rsid w:val="29596A37"/>
    <w:rsid w:val="29733578"/>
    <w:rsid w:val="29B062ED"/>
    <w:rsid w:val="29BA372D"/>
    <w:rsid w:val="29BB2694"/>
    <w:rsid w:val="29CD0E50"/>
    <w:rsid w:val="29D2360E"/>
    <w:rsid w:val="29D76F32"/>
    <w:rsid w:val="29DB4A9C"/>
    <w:rsid w:val="29EC7678"/>
    <w:rsid w:val="2A0C681F"/>
    <w:rsid w:val="2A1D3413"/>
    <w:rsid w:val="2A37487A"/>
    <w:rsid w:val="2A56592C"/>
    <w:rsid w:val="2A631504"/>
    <w:rsid w:val="2A6B4D5A"/>
    <w:rsid w:val="2A7C6E1E"/>
    <w:rsid w:val="2A935D49"/>
    <w:rsid w:val="2AA7403B"/>
    <w:rsid w:val="2AB241E8"/>
    <w:rsid w:val="2AC84049"/>
    <w:rsid w:val="2AE45EC6"/>
    <w:rsid w:val="2B1C5B88"/>
    <w:rsid w:val="2B1D445E"/>
    <w:rsid w:val="2B453E06"/>
    <w:rsid w:val="2B70517F"/>
    <w:rsid w:val="2B72324B"/>
    <w:rsid w:val="2B72595F"/>
    <w:rsid w:val="2B986627"/>
    <w:rsid w:val="2BB46428"/>
    <w:rsid w:val="2BBF6D78"/>
    <w:rsid w:val="2BC207B1"/>
    <w:rsid w:val="2BC435BB"/>
    <w:rsid w:val="2BCD12CC"/>
    <w:rsid w:val="2BCD366E"/>
    <w:rsid w:val="2BDE1033"/>
    <w:rsid w:val="2C00090E"/>
    <w:rsid w:val="2C4846A4"/>
    <w:rsid w:val="2C514369"/>
    <w:rsid w:val="2C575D67"/>
    <w:rsid w:val="2C595DCB"/>
    <w:rsid w:val="2C8F05CF"/>
    <w:rsid w:val="2C9607E2"/>
    <w:rsid w:val="2C96299F"/>
    <w:rsid w:val="2CA02E08"/>
    <w:rsid w:val="2CB51FE7"/>
    <w:rsid w:val="2CB92409"/>
    <w:rsid w:val="2CF12154"/>
    <w:rsid w:val="2D0E2B2D"/>
    <w:rsid w:val="2D147124"/>
    <w:rsid w:val="2D2F2FAF"/>
    <w:rsid w:val="2D4770C3"/>
    <w:rsid w:val="2D5E250B"/>
    <w:rsid w:val="2D710E84"/>
    <w:rsid w:val="2D9B3D36"/>
    <w:rsid w:val="2D9B6A58"/>
    <w:rsid w:val="2DB34483"/>
    <w:rsid w:val="2DC45869"/>
    <w:rsid w:val="2DCB61D4"/>
    <w:rsid w:val="2DF40D16"/>
    <w:rsid w:val="2DF46186"/>
    <w:rsid w:val="2E014D38"/>
    <w:rsid w:val="2E043955"/>
    <w:rsid w:val="2E0E46E2"/>
    <w:rsid w:val="2E363FF0"/>
    <w:rsid w:val="2E3E356C"/>
    <w:rsid w:val="2E4B21E6"/>
    <w:rsid w:val="2E4E148A"/>
    <w:rsid w:val="2E4F3095"/>
    <w:rsid w:val="2E621BB3"/>
    <w:rsid w:val="2E8931FA"/>
    <w:rsid w:val="2E8B4146"/>
    <w:rsid w:val="2E9C3D4A"/>
    <w:rsid w:val="2EAA67D0"/>
    <w:rsid w:val="2EAF452B"/>
    <w:rsid w:val="2EB316C1"/>
    <w:rsid w:val="2EC973B2"/>
    <w:rsid w:val="2EF71406"/>
    <w:rsid w:val="2F024945"/>
    <w:rsid w:val="2F07215B"/>
    <w:rsid w:val="2F242674"/>
    <w:rsid w:val="2F2D1EA7"/>
    <w:rsid w:val="2F38701C"/>
    <w:rsid w:val="2F3A7119"/>
    <w:rsid w:val="2F496CDC"/>
    <w:rsid w:val="2F955987"/>
    <w:rsid w:val="2FB75261"/>
    <w:rsid w:val="2FC33429"/>
    <w:rsid w:val="2FCC1360"/>
    <w:rsid w:val="2FDF6777"/>
    <w:rsid w:val="2FE92789"/>
    <w:rsid w:val="3027790E"/>
    <w:rsid w:val="3059174F"/>
    <w:rsid w:val="30614FCE"/>
    <w:rsid w:val="30632CB0"/>
    <w:rsid w:val="30814F61"/>
    <w:rsid w:val="30834DC0"/>
    <w:rsid w:val="30A606B9"/>
    <w:rsid w:val="30AE1D09"/>
    <w:rsid w:val="30C847C0"/>
    <w:rsid w:val="30EF4992"/>
    <w:rsid w:val="31070661"/>
    <w:rsid w:val="310D3726"/>
    <w:rsid w:val="31602447"/>
    <w:rsid w:val="31737FCF"/>
    <w:rsid w:val="31AC7728"/>
    <w:rsid w:val="31B3163F"/>
    <w:rsid w:val="31B525A4"/>
    <w:rsid w:val="31B80812"/>
    <w:rsid w:val="31BE1DCC"/>
    <w:rsid w:val="31C50275"/>
    <w:rsid w:val="32187AA9"/>
    <w:rsid w:val="32355AEB"/>
    <w:rsid w:val="323A2BAF"/>
    <w:rsid w:val="326B79A5"/>
    <w:rsid w:val="32723A60"/>
    <w:rsid w:val="328C739F"/>
    <w:rsid w:val="32923745"/>
    <w:rsid w:val="32A7515D"/>
    <w:rsid w:val="32B01557"/>
    <w:rsid w:val="32BE099E"/>
    <w:rsid w:val="32C5350F"/>
    <w:rsid w:val="32C82154"/>
    <w:rsid w:val="32D6009E"/>
    <w:rsid w:val="32E86684"/>
    <w:rsid w:val="32F06F06"/>
    <w:rsid w:val="32F84FEA"/>
    <w:rsid w:val="334337B4"/>
    <w:rsid w:val="33616C57"/>
    <w:rsid w:val="33815090"/>
    <w:rsid w:val="339279D1"/>
    <w:rsid w:val="33934E4B"/>
    <w:rsid w:val="33A24061"/>
    <w:rsid w:val="33A465C4"/>
    <w:rsid w:val="33A50BA4"/>
    <w:rsid w:val="33AA1DB0"/>
    <w:rsid w:val="34042495"/>
    <w:rsid w:val="34372554"/>
    <w:rsid w:val="344F7EDE"/>
    <w:rsid w:val="345C66B4"/>
    <w:rsid w:val="345D2BC7"/>
    <w:rsid w:val="348D3ED1"/>
    <w:rsid w:val="34903C2A"/>
    <w:rsid w:val="349209CC"/>
    <w:rsid w:val="3499608F"/>
    <w:rsid w:val="34B9092D"/>
    <w:rsid w:val="34CE5A00"/>
    <w:rsid w:val="34CF1562"/>
    <w:rsid w:val="34D32B99"/>
    <w:rsid w:val="34ED3CD7"/>
    <w:rsid w:val="34F23E0A"/>
    <w:rsid w:val="34F34D83"/>
    <w:rsid w:val="34F8489A"/>
    <w:rsid w:val="35061B4C"/>
    <w:rsid w:val="350748A7"/>
    <w:rsid w:val="35282BF6"/>
    <w:rsid w:val="353662DB"/>
    <w:rsid w:val="354C61B8"/>
    <w:rsid w:val="355D2BDD"/>
    <w:rsid w:val="35636AA1"/>
    <w:rsid w:val="35A87CC4"/>
    <w:rsid w:val="35B426F4"/>
    <w:rsid w:val="35C641EC"/>
    <w:rsid w:val="35C65ADE"/>
    <w:rsid w:val="35C8749C"/>
    <w:rsid w:val="35DA6AFB"/>
    <w:rsid w:val="35DE684D"/>
    <w:rsid w:val="35E01033"/>
    <w:rsid w:val="35E97692"/>
    <w:rsid w:val="35EC306E"/>
    <w:rsid w:val="35F15D04"/>
    <w:rsid w:val="35FA347D"/>
    <w:rsid w:val="36173C0C"/>
    <w:rsid w:val="361B08E0"/>
    <w:rsid w:val="361F0D81"/>
    <w:rsid w:val="36271683"/>
    <w:rsid w:val="36457743"/>
    <w:rsid w:val="36501643"/>
    <w:rsid w:val="36675897"/>
    <w:rsid w:val="367115A4"/>
    <w:rsid w:val="36821E87"/>
    <w:rsid w:val="36893A2A"/>
    <w:rsid w:val="36A069D9"/>
    <w:rsid w:val="36D20E8D"/>
    <w:rsid w:val="36DB16CE"/>
    <w:rsid w:val="36DF3013"/>
    <w:rsid w:val="36E04245"/>
    <w:rsid w:val="36E93FA7"/>
    <w:rsid w:val="370D2C90"/>
    <w:rsid w:val="3715320F"/>
    <w:rsid w:val="3740070C"/>
    <w:rsid w:val="374B2857"/>
    <w:rsid w:val="375803EF"/>
    <w:rsid w:val="37586A01"/>
    <w:rsid w:val="3764716C"/>
    <w:rsid w:val="3768342B"/>
    <w:rsid w:val="378D0C8F"/>
    <w:rsid w:val="37A54D25"/>
    <w:rsid w:val="37A82F92"/>
    <w:rsid w:val="37B93910"/>
    <w:rsid w:val="37E75424"/>
    <w:rsid w:val="381B3688"/>
    <w:rsid w:val="38203D22"/>
    <w:rsid w:val="383158AB"/>
    <w:rsid w:val="38370AE0"/>
    <w:rsid w:val="385127E7"/>
    <w:rsid w:val="385E7226"/>
    <w:rsid w:val="3874752B"/>
    <w:rsid w:val="387F6FD5"/>
    <w:rsid w:val="38913780"/>
    <w:rsid w:val="38AC76CB"/>
    <w:rsid w:val="38B80D95"/>
    <w:rsid w:val="38CE41A1"/>
    <w:rsid w:val="38CF133B"/>
    <w:rsid w:val="38D224B5"/>
    <w:rsid w:val="38F7700C"/>
    <w:rsid w:val="38FA19E5"/>
    <w:rsid w:val="390B1940"/>
    <w:rsid w:val="3914790D"/>
    <w:rsid w:val="39147D48"/>
    <w:rsid w:val="3915460C"/>
    <w:rsid w:val="39451C2D"/>
    <w:rsid w:val="39993A89"/>
    <w:rsid w:val="39AE542F"/>
    <w:rsid w:val="39BA0179"/>
    <w:rsid w:val="39CD7AD8"/>
    <w:rsid w:val="39DC29E7"/>
    <w:rsid w:val="39DC5DF1"/>
    <w:rsid w:val="39E001A5"/>
    <w:rsid w:val="39ED460F"/>
    <w:rsid w:val="39ED60BF"/>
    <w:rsid w:val="39EE006C"/>
    <w:rsid w:val="39F136E2"/>
    <w:rsid w:val="3A1D1E2B"/>
    <w:rsid w:val="3A396C64"/>
    <w:rsid w:val="3A3C2967"/>
    <w:rsid w:val="3A4309F9"/>
    <w:rsid w:val="3A450584"/>
    <w:rsid w:val="3A592720"/>
    <w:rsid w:val="3A742000"/>
    <w:rsid w:val="3A7C5CED"/>
    <w:rsid w:val="3ADC249A"/>
    <w:rsid w:val="3AF360FB"/>
    <w:rsid w:val="3B2646E3"/>
    <w:rsid w:val="3B2F4B72"/>
    <w:rsid w:val="3B321438"/>
    <w:rsid w:val="3B417E80"/>
    <w:rsid w:val="3B4A1947"/>
    <w:rsid w:val="3B4E1F33"/>
    <w:rsid w:val="3B5B59AD"/>
    <w:rsid w:val="3B706FC2"/>
    <w:rsid w:val="3B850BDE"/>
    <w:rsid w:val="3B8B6A02"/>
    <w:rsid w:val="3B93231D"/>
    <w:rsid w:val="3BF020E4"/>
    <w:rsid w:val="3BFA1382"/>
    <w:rsid w:val="3C121825"/>
    <w:rsid w:val="3C1C558D"/>
    <w:rsid w:val="3C1D6007"/>
    <w:rsid w:val="3C230A92"/>
    <w:rsid w:val="3C230B38"/>
    <w:rsid w:val="3C494407"/>
    <w:rsid w:val="3C4B64F7"/>
    <w:rsid w:val="3C4E5BAC"/>
    <w:rsid w:val="3C533F74"/>
    <w:rsid w:val="3C6230A2"/>
    <w:rsid w:val="3C711747"/>
    <w:rsid w:val="3C78547B"/>
    <w:rsid w:val="3C9D1BB2"/>
    <w:rsid w:val="3CB01178"/>
    <w:rsid w:val="3CC07C65"/>
    <w:rsid w:val="3CDC27EE"/>
    <w:rsid w:val="3CEF0D10"/>
    <w:rsid w:val="3CF21FFA"/>
    <w:rsid w:val="3CF37FA1"/>
    <w:rsid w:val="3CF64654"/>
    <w:rsid w:val="3D1236A5"/>
    <w:rsid w:val="3D400474"/>
    <w:rsid w:val="3D4908F7"/>
    <w:rsid w:val="3D51253C"/>
    <w:rsid w:val="3D53086B"/>
    <w:rsid w:val="3D6F2B66"/>
    <w:rsid w:val="3D770810"/>
    <w:rsid w:val="3D7A0663"/>
    <w:rsid w:val="3DA24F59"/>
    <w:rsid w:val="3DB642FE"/>
    <w:rsid w:val="3DB85279"/>
    <w:rsid w:val="3DC4630A"/>
    <w:rsid w:val="3DE47742"/>
    <w:rsid w:val="3DEA4504"/>
    <w:rsid w:val="3DED62A6"/>
    <w:rsid w:val="3DFD64A3"/>
    <w:rsid w:val="3E0A52D8"/>
    <w:rsid w:val="3E0F4C07"/>
    <w:rsid w:val="3E132A44"/>
    <w:rsid w:val="3E2B6513"/>
    <w:rsid w:val="3E30547D"/>
    <w:rsid w:val="3E46014C"/>
    <w:rsid w:val="3E4F2E03"/>
    <w:rsid w:val="3E837F38"/>
    <w:rsid w:val="3E907A10"/>
    <w:rsid w:val="3E9246E6"/>
    <w:rsid w:val="3EA92B00"/>
    <w:rsid w:val="3EB840C1"/>
    <w:rsid w:val="3EC34B1D"/>
    <w:rsid w:val="3EDA5934"/>
    <w:rsid w:val="3EDB2394"/>
    <w:rsid w:val="3EF37E95"/>
    <w:rsid w:val="3F1D40D2"/>
    <w:rsid w:val="3F2461BA"/>
    <w:rsid w:val="3F325F54"/>
    <w:rsid w:val="3F8F53FF"/>
    <w:rsid w:val="3F927438"/>
    <w:rsid w:val="3FAF7489"/>
    <w:rsid w:val="3FB65493"/>
    <w:rsid w:val="3FE91AC8"/>
    <w:rsid w:val="3FED2FEE"/>
    <w:rsid w:val="3FFC2553"/>
    <w:rsid w:val="403A1235"/>
    <w:rsid w:val="404339FD"/>
    <w:rsid w:val="404977B4"/>
    <w:rsid w:val="4070655A"/>
    <w:rsid w:val="40914753"/>
    <w:rsid w:val="409317E3"/>
    <w:rsid w:val="40990EF6"/>
    <w:rsid w:val="40AB4D83"/>
    <w:rsid w:val="40E17BF4"/>
    <w:rsid w:val="40E63206"/>
    <w:rsid w:val="40F90796"/>
    <w:rsid w:val="4103106C"/>
    <w:rsid w:val="411730CA"/>
    <w:rsid w:val="411F2323"/>
    <w:rsid w:val="413302DF"/>
    <w:rsid w:val="413613E3"/>
    <w:rsid w:val="414636D3"/>
    <w:rsid w:val="41755E5A"/>
    <w:rsid w:val="417A3254"/>
    <w:rsid w:val="41AB7238"/>
    <w:rsid w:val="41B70E56"/>
    <w:rsid w:val="41BF6E47"/>
    <w:rsid w:val="41E73FEC"/>
    <w:rsid w:val="41F661C6"/>
    <w:rsid w:val="41FE4005"/>
    <w:rsid w:val="420F46B4"/>
    <w:rsid w:val="42204F84"/>
    <w:rsid w:val="422D6203"/>
    <w:rsid w:val="423F0F70"/>
    <w:rsid w:val="425C23A9"/>
    <w:rsid w:val="42716B74"/>
    <w:rsid w:val="427338A7"/>
    <w:rsid w:val="42790826"/>
    <w:rsid w:val="427C44B0"/>
    <w:rsid w:val="428E0E03"/>
    <w:rsid w:val="42AA140B"/>
    <w:rsid w:val="42AC2ECF"/>
    <w:rsid w:val="42D530E0"/>
    <w:rsid w:val="43027311"/>
    <w:rsid w:val="430A7FAB"/>
    <w:rsid w:val="431247BA"/>
    <w:rsid w:val="431B52B7"/>
    <w:rsid w:val="431E147C"/>
    <w:rsid w:val="43216416"/>
    <w:rsid w:val="432701CF"/>
    <w:rsid w:val="433D30B7"/>
    <w:rsid w:val="43661FA0"/>
    <w:rsid w:val="43664695"/>
    <w:rsid w:val="436E5274"/>
    <w:rsid w:val="43966C6E"/>
    <w:rsid w:val="43B05DC6"/>
    <w:rsid w:val="43DB5505"/>
    <w:rsid w:val="43DD671C"/>
    <w:rsid w:val="43E65500"/>
    <w:rsid w:val="44012DE3"/>
    <w:rsid w:val="4409287E"/>
    <w:rsid w:val="443D4163"/>
    <w:rsid w:val="443E3F8D"/>
    <w:rsid w:val="44610386"/>
    <w:rsid w:val="4474021F"/>
    <w:rsid w:val="447A344B"/>
    <w:rsid w:val="44830AD6"/>
    <w:rsid w:val="44860668"/>
    <w:rsid w:val="44891EDD"/>
    <w:rsid w:val="44AA16B9"/>
    <w:rsid w:val="44CA081B"/>
    <w:rsid w:val="44CA130D"/>
    <w:rsid w:val="44ED35ED"/>
    <w:rsid w:val="450A42A6"/>
    <w:rsid w:val="450E2F54"/>
    <w:rsid w:val="451655A8"/>
    <w:rsid w:val="453653B8"/>
    <w:rsid w:val="455E2249"/>
    <w:rsid w:val="456D623F"/>
    <w:rsid w:val="45A06B06"/>
    <w:rsid w:val="45B973B7"/>
    <w:rsid w:val="45C92D4D"/>
    <w:rsid w:val="45CA751E"/>
    <w:rsid w:val="45D260B5"/>
    <w:rsid w:val="45D7573D"/>
    <w:rsid w:val="4601653B"/>
    <w:rsid w:val="46021550"/>
    <w:rsid w:val="46041865"/>
    <w:rsid w:val="46145A55"/>
    <w:rsid w:val="461C0F05"/>
    <w:rsid w:val="463A0BF4"/>
    <w:rsid w:val="464720B7"/>
    <w:rsid w:val="464840D5"/>
    <w:rsid w:val="466927EE"/>
    <w:rsid w:val="46715183"/>
    <w:rsid w:val="46742EBD"/>
    <w:rsid w:val="46895CB4"/>
    <w:rsid w:val="468A5C1A"/>
    <w:rsid w:val="468D7A54"/>
    <w:rsid w:val="469F60F1"/>
    <w:rsid w:val="46D2419C"/>
    <w:rsid w:val="46D77736"/>
    <w:rsid w:val="46F05927"/>
    <w:rsid w:val="470A2CA1"/>
    <w:rsid w:val="47144DDB"/>
    <w:rsid w:val="472C1A6F"/>
    <w:rsid w:val="473564EF"/>
    <w:rsid w:val="47522ECF"/>
    <w:rsid w:val="475766E5"/>
    <w:rsid w:val="475F39DE"/>
    <w:rsid w:val="476F237F"/>
    <w:rsid w:val="4782400D"/>
    <w:rsid w:val="47A82DEF"/>
    <w:rsid w:val="47AE7E15"/>
    <w:rsid w:val="47BE6B4F"/>
    <w:rsid w:val="47D00536"/>
    <w:rsid w:val="480C3094"/>
    <w:rsid w:val="481D14D1"/>
    <w:rsid w:val="48215A90"/>
    <w:rsid w:val="48305643"/>
    <w:rsid w:val="48654C64"/>
    <w:rsid w:val="486A73C1"/>
    <w:rsid w:val="486C4C64"/>
    <w:rsid w:val="486F64B7"/>
    <w:rsid w:val="487D6379"/>
    <w:rsid w:val="48942CC3"/>
    <w:rsid w:val="489F7C33"/>
    <w:rsid w:val="48AF6958"/>
    <w:rsid w:val="48B247F8"/>
    <w:rsid w:val="48D64BFA"/>
    <w:rsid w:val="48EA5C11"/>
    <w:rsid w:val="48F950CC"/>
    <w:rsid w:val="49022078"/>
    <w:rsid w:val="49107F37"/>
    <w:rsid w:val="494070F5"/>
    <w:rsid w:val="49591325"/>
    <w:rsid w:val="498317A8"/>
    <w:rsid w:val="4995633B"/>
    <w:rsid w:val="49A070CE"/>
    <w:rsid w:val="49AF424F"/>
    <w:rsid w:val="49BD490F"/>
    <w:rsid w:val="49D6375A"/>
    <w:rsid w:val="49DD0C41"/>
    <w:rsid w:val="49DF4A8D"/>
    <w:rsid w:val="4A0A36DF"/>
    <w:rsid w:val="4A0F5634"/>
    <w:rsid w:val="4A123B73"/>
    <w:rsid w:val="4A182E21"/>
    <w:rsid w:val="4A1E14AF"/>
    <w:rsid w:val="4A34786C"/>
    <w:rsid w:val="4A3776A7"/>
    <w:rsid w:val="4A383D69"/>
    <w:rsid w:val="4A3D1F7C"/>
    <w:rsid w:val="4A4A7155"/>
    <w:rsid w:val="4A4A7419"/>
    <w:rsid w:val="4A4C4CDB"/>
    <w:rsid w:val="4A4E4872"/>
    <w:rsid w:val="4A646158"/>
    <w:rsid w:val="4A6B2B0B"/>
    <w:rsid w:val="4A7A72ED"/>
    <w:rsid w:val="4A8B4E52"/>
    <w:rsid w:val="4A8C4A51"/>
    <w:rsid w:val="4A9179A3"/>
    <w:rsid w:val="4A9260BC"/>
    <w:rsid w:val="4AA7235B"/>
    <w:rsid w:val="4AAD1EBD"/>
    <w:rsid w:val="4AAE7050"/>
    <w:rsid w:val="4AB7098A"/>
    <w:rsid w:val="4AE8145E"/>
    <w:rsid w:val="4B037BC5"/>
    <w:rsid w:val="4B06629B"/>
    <w:rsid w:val="4B0C2244"/>
    <w:rsid w:val="4B0E563B"/>
    <w:rsid w:val="4B1879EA"/>
    <w:rsid w:val="4B1D1F57"/>
    <w:rsid w:val="4B1F69AF"/>
    <w:rsid w:val="4B541C4C"/>
    <w:rsid w:val="4B561C1F"/>
    <w:rsid w:val="4B656581"/>
    <w:rsid w:val="4B6A71C8"/>
    <w:rsid w:val="4B850A79"/>
    <w:rsid w:val="4B866006"/>
    <w:rsid w:val="4B994BA6"/>
    <w:rsid w:val="4B9F4567"/>
    <w:rsid w:val="4BA037F8"/>
    <w:rsid w:val="4BA2076D"/>
    <w:rsid w:val="4BD76847"/>
    <w:rsid w:val="4BD92FEA"/>
    <w:rsid w:val="4BE82B5F"/>
    <w:rsid w:val="4C0637B2"/>
    <w:rsid w:val="4C085520"/>
    <w:rsid w:val="4C1975C9"/>
    <w:rsid w:val="4C266447"/>
    <w:rsid w:val="4C2B735A"/>
    <w:rsid w:val="4C3525E6"/>
    <w:rsid w:val="4C42765B"/>
    <w:rsid w:val="4C650085"/>
    <w:rsid w:val="4C7301FB"/>
    <w:rsid w:val="4CC83F21"/>
    <w:rsid w:val="4CC92F5B"/>
    <w:rsid w:val="4CD70DDE"/>
    <w:rsid w:val="4CDE22ED"/>
    <w:rsid w:val="4CE85BDB"/>
    <w:rsid w:val="4D036000"/>
    <w:rsid w:val="4D7276AF"/>
    <w:rsid w:val="4D754FB9"/>
    <w:rsid w:val="4D865485"/>
    <w:rsid w:val="4DA61FC6"/>
    <w:rsid w:val="4DC3269D"/>
    <w:rsid w:val="4DC63232"/>
    <w:rsid w:val="4DCD3872"/>
    <w:rsid w:val="4DDA3C80"/>
    <w:rsid w:val="4E16336F"/>
    <w:rsid w:val="4E5B07A4"/>
    <w:rsid w:val="4E5F2813"/>
    <w:rsid w:val="4E714FA0"/>
    <w:rsid w:val="4E7546BC"/>
    <w:rsid w:val="4E817EC0"/>
    <w:rsid w:val="4EAC4A8B"/>
    <w:rsid w:val="4ECE6272"/>
    <w:rsid w:val="4EDD44BB"/>
    <w:rsid w:val="4EE010F7"/>
    <w:rsid w:val="4EF6404B"/>
    <w:rsid w:val="4F0625F9"/>
    <w:rsid w:val="4F0D45FE"/>
    <w:rsid w:val="4F26678A"/>
    <w:rsid w:val="4F3B451F"/>
    <w:rsid w:val="4F4273F5"/>
    <w:rsid w:val="4F4F5EC9"/>
    <w:rsid w:val="4F560880"/>
    <w:rsid w:val="4F5959F8"/>
    <w:rsid w:val="4F660E75"/>
    <w:rsid w:val="4F6D2398"/>
    <w:rsid w:val="4F6F4BDE"/>
    <w:rsid w:val="4F710202"/>
    <w:rsid w:val="4F892598"/>
    <w:rsid w:val="4F8F3EB4"/>
    <w:rsid w:val="4FAC76B9"/>
    <w:rsid w:val="4FB474B4"/>
    <w:rsid w:val="4FE4665E"/>
    <w:rsid w:val="4FEF3CEC"/>
    <w:rsid w:val="4FF02B95"/>
    <w:rsid w:val="500C45B8"/>
    <w:rsid w:val="502E7D36"/>
    <w:rsid w:val="50482E9C"/>
    <w:rsid w:val="504E4250"/>
    <w:rsid w:val="50600A61"/>
    <w:rsid w:val="50643061"/>
    <w:rsid w:val="506851BC"/>
    <w:rsid w:val="50B94209"/>
    <w:rsid w:val="50C21577"/>
    <w:rsid w:val="50CA465D"/>
    <w:rsid w:val="50CA5ECD"/>
    <w:rsid w:val="50D0612D"/>
    <w:rsid w:val="511813A6"/>
    <w:rsid w:val="5130493A"/>
    <w:rsid w:val="51304B68"/>
    <w:rsid w:val="51367315"/>
    <w:rsid w:val="5183672A"/>
    <w:rsid w:val="51876C44"/>
    <w:rsid w:val="518A7FD0"/>
    <w:rsid w:val="518D4734"/>
    <w:rsid w:val="51935E4C"/>
    <w:rsid w:val="51AF4026"/>
    <w:rsid w:val="51C53061"/>
    <w:rsid w:val="51D07B11"/>
    <w:rsid w:val="51D8718D"/>
    <w:rsid w:val="51DE6E50"/>
    <w:rsid w:val="52115152"/>
    <w:rsid w:val="52144431"/>
    <w:rsid w:val="521E2519"/>
    <w:rsid w:val="521E6168"/>
    <w:rsid w:val="52213EDB"/>
    <w:rsid w:val="522B06E1"/>
    <w:rsid w:val="52465A2C"/>
    <w:rsid w:val="524D235B"/>
    <w:rsid w:val="524F70F6"/>
    <w:rsid w:val="52655933"/>
    <w:rsid w:val="52685166"/>
    <w:rsid w:val="52860059"/>
    <w:rsid w:val="52896EB0"/>
    <w:rsid w:val="529D6126"/>
    <w:rsid w:val="52A10223"/>
    <w:rsid w:val="52A1694A"/>
    <w:rsid w:val="52A47C9A"/>
    <w:rsid w:val="52C9703A"/>
    <w:rsid w:val="52D23081"/>
    <w:rsid w:val="52E87A47"/>
    <w:rsid w:val="531B44C9"/>
    <w:rsid w:val="532D7D83"/>
    <w:rsid w:val="53373A88"/>
    <w:rsid w:val="534064A3"/>
    <w:rsid w:val="5342390F"/>
    <w:rsid w:val="53653E03"/>
    <w:rsid w:val="539C2C0E"/>
    <w:rsid w:val="53DD5ECF"/>
    <w:rsid w:val="53E0163B"/>
    <w:rsid w:val="54356B7E"/>
    <w:rsid w:val="54356D53"/>
    <w:rsid w:val="544E6E74"/>
    <w:rsid w:val="54517CE0"/>
    <w:rsid w:val="545A578C"/>
    <w:rsid w:val="54674CE5"/>
    <w:rsid w:val="546A0786"/>
    <w:rsid w:val="546E1778"/>
    <w:rsid w:val="54964223"/>
    <w:rsid w:val="54AC0A1C"/>
    <w:rsid w:val="54B00EF3"/>
    <w:rsid w:val="54B20203"/>
    <w:rsid w:val="54B25315"/>
    <w:rsid w:val="54B93A15"/>
    <w:rsid w:val="54C0695B"/>
    <w:rsid w:val="54F83EF5"/>
    <w:rsid w:val="550D7A0A"/>
    <w:rsid w:val="552B1263"/>
    <w:rsid w:val="55421A0D"/>
    <w:rsid w:val="558E4EE2"/>
    <w:rsid w:val="559A183B"/>
    <w:rsid w:val="55A030B1"/>
    <w:rsid w:val="55A83721"/>
    <w:rsid w:val="55C27EB2"/>
    <w:rsid w:val="55D277F3"/>
    <w:rsid w:val="55F5408A"/>
    <w:rsid w:val="5612746A"/>
    <w:rsid w:val="56190902"/>
    <w:rsid w:val="561F5B60"/>
    <w:rsid w:val="566A1065"/>
    <w:rsid w:val="568C32F5"/>
    <w:rsid w:val="56A53C2E"/>
    <w:rsid w:val="56AA59C7"/>
    <w:rsid w:val="56B679A6"/>
    <w:rsid w:val="56C27B15"/>
    <w:rsid w:val="56F24297"/>
    <w:rsid w:val="57094B6D"/>
    <w:rsid w:val="57254A72"/>
    <w:rsid w:val="573A18FC"/>
    <w:rsid w:val="574265B2"/>
    <w:rsid w:val="57585CB9"/>
    <w:rsid w:val="576369AB"/>
    <w:rsid w:val="576C071F"/>
    <w:rsid w:val="57737135"/>
    <w:rsid w:val="577916EE"/>
    <w:rsid w:val="57CB6E97"/>
    <w:rsid w:val="57D91C09"/>
    <w:rsid w:val="57E5386A"/>
    <w:rsid w:val="57EB7017"/>
    <w:rsid w:val="57F81F1E"/>
    <w:rsid w:val="57F82C1D"/>
    <w:rsid w:val="58036436"/>
    <w:rsid w:val="580E5FD4"/>
    <w:rsid w:val="58162F3F"/>
    <w:rsid w:val="5820708A"/>
    <w:rsid w:val="58420619"/>
    <w:rsid w:val="586768C4"/>
    <w:rsid w:val="58952716"/>
    <w:rsid w:val="58A36958"/>
    <w:rsid w:val="58A8270A"/>
    <w:rsid w:val="58AC5A89"/>
    <w:rsid w:val="58AF0801"/>
    <w:rsid w:val="58E003D7"/>
    <w:rsid w:val="59224897"/>
    <w:rsid w:val="593870F9"/>
    <w:rsid w:val="594311BF"/>
    <w:rsid w:val="59476263"/>
    <w:rsid w:val="597431C5"/>
    <w:rsid w:val="59851BD8"/>
    <w:rsid w:val="59884E2E"/>
    <w:rsid w:val="598A220C"/>
    <w:rsid w:val="599C3118"/>
    <w:rsid w:val="59B55125"/>
    <w:rsid w:val="59B95619"/>
    <w:rsid w:val="59CA541E"/>
    <w:rsid w:val="59CE5C71"/>
    <w:rsid w:val="59CF0141"/>
    <w:rsid w:val="5A0939DE"/>
    <w:rsid w:val="5A0A7276"/>
    <w:rsid w:val="5A374EEA"/>
    <w:rsid w:val="5A464285"/>
    <w:rsid w:val="5A611E35"/>
    <w:rsid w:val="5A746896"/>
    <w:rsid w:val="5A904837"/>
    <w:rsid w:val="5A9C55D2"/>
    <w:rsid w:val="5AB51074"/>
    <w:rsid w:val="5ABC03C3"/>
    <w:rsid w:val="5AC93D02"/>
    <w:rsid w:val="5ACB6356"/>
    <w:rsid w:val="5AEE0B9C"/>
    <w:rsid w:val="5B093315"/>
    <w:rsid w:val="5B144568"/>
    <w:rsid w:val="5B2126B5"/>
    <w:rsid w:val="5B6A2476"/>
    <w:rsid w:val="5B6E1040"/>
    <w:rsid w:val="5B7C6FB1"/>
    <w:rsid w:val="5B882112"/>
    <w:rsid w:val="5B882E25"/>
    <w:rsid w:val="5B956073"/>
    <w:rsid w:val="5BAD15AE"/>
    <w:rsid w:val="5BCA6E62"/>
    <w:rsid w:val="5BCB4362"/>
    <w:rsid w:val="5BD0717C"/>
    <w:rsid w:val="5BD527AC"/>
    <w:rsid w:val="5BE80163"/>
    <w:rsid w:val="5C00169B"/>
    <w:rsid w:val="5C17406B"/>
    <w:rsid w:val="5C57400B"/>
    <w:rsid w:val="5C643A57"/>
    <w:rsid w:val="5C6A79DB"/>
    <w:rsid w:val="5C7761DA"/>
    <w:rsid w:val="5C89404B"/>
    <w:rsid w:val="5CA22280"/>
    <w:rsid w:val="5CA254EF"/>
    <w:rsid w:val="5CB35210"/>
    <w:rsid w:val="5CB528A1"/>
    <w:rsid w:val="5CC322E5"/>
    <w:rsid w:val="5CE01FA6"/>
    <w:rsid w:val="5CE51386"/>
    <w:rsid w:val="5CEB6FCA"/>
    <w:rsid w:val="5CEC3B22"/>
    <w:rsid w:val="5D111245"/>
    <w:rsid w:val="5D1571AB"/>
    <w:rsid w:val="5D4558FA"/>
    <w:rsid w:val="5D734DF9"/>
    <w:rsid w:val="5D865E7A"/>
    <w:rsid w:val="5D8D1BFB"/>
    <w:rsid w:val="5D974561"/>
    <w:rsid w:val="5DB33B6C"/>
    <w:rsid w:val="5DDF7DC0"/>
    <w:rsid w:val="5DE44BC9"/>
    <w:rsid w:val="5DF644D3"/>
    <w:rsid w:val="5E044B0A"/>
    <w:rsid w:val="5E047D57"/>
    <w:rsid w:val="5E1074E3"/>
    <w:rsid w:val="5E3E7027"/>
    <w:rsid w:val="5E4B31F8"/>
    <w:rsid w:val="5E5267F2"/>
    <w:rsid w:val="5E5C2BF0"/>
    <w:rsid w:val="5E603C90"/>
    <w:rsid w:val="5E7033C1"/>
    <w:rsid w:val="5E712EA0"/>
    <w:rsid w:val="5E76202C"/>
    <w:rsid w:val="5E831264"/>
    <w:rsid w:val="5EDD77F1"/>
    <w:rsid w:val="5EFD6C62"/>
    <w:rsid w:val="5F06756B"/>
    <w:rsid w:val="5F0C360F"/>
    <w:rsid w:val="5F1546D3"/>
    <w:rsid w:val="5F186331"/>
    <w:rsid w:val="5F1C3F16"/>
    <w:rsid w:val="5F1E678A"/>
    <w:rsid w:val="5F350794"/>
    <w:rsid w:val="5F412D3D"/>
    <w:rsid w:val="5F4B210A"/>
    <w:rsid w:val="5F773A3A"/>
    <w:rsid w:val="5F9161D1"/>
    <w:rsid w:val="5FA53398"/>
    <w:rsid w:val="5FB37AB0"/>
    <w:rsid w:val="5FC30503"/>
    <w:rsid w:val="5FD80E24"/>
    <w:rsid w:val="5FD8766A"/>
    <w:rsid w:val="5FE2037A"/>
    <w:rsid w:val="5FF6469D"/>
    <w:rsid w:val="60177165"/>
    <w:rsid w:val="60227549"/>
    <w:rsid w:val="60242002"/>
    <w:rsid w:val="602934F2"/>
    <w:rsid w:val="60474B28"/>
    <w:rsid w:val="604E0D6C"/>
    <w:rsid w:val="605851EC"/>
    <w:rsid w:val="606304EC"/>
    <w:rsid w:val="60643FF3"/>
    <w:rsid w:val="608A0FC2"/>
    <w:rsid w:val="60A44575"/>
    <w:rsid w:val="60AE784F"/>
    <w:rsid w:val="60AF5C99"/>
    <w:rsid w:val="60E66447"/>
    <w:rsid w:val="60EA3055"/>
    <w:rsid w:val="60FD5EE5"/>
    <w:rsid w:val="611951C2"/>
    <w:rsid w:val="613549E0"/>
    <w:rsid w:val="613A760A"/>
    <w:rsid w:val="61402C9C"/>
    <w:rsid w:val="61430CD8"/>
    <w:rsid w:val="6146035C"/>
    <w:rsid w:val="615830DF"/>
    <w:rsid w:val="61A67620"/>
    <w:rsid w:val="61E01769"/>
    <w:rsid w:val="61F11182"/>
    <w:rsid w:val="62131828"/>
    <w:rsid w:val="62174852"/>
    <w:rsid w:val="62255A00"/>
    <w:rsid w:val="62533155"/>
    <w:rsid w:val="62776BDC"/>
    <w:rsid w:val="627F2116"/>
    <w:rsid w:val="62FC5481"/>
    <w:rsid w:val="63067314"/>
    <w:rsid w:val="63086708"/>
    <w:rsid w:val="6325170B"/>
    <w:rsid w:val="63253646"/>
    <w:rsid w:val="632817B4"/>
    <w:rsid w:val="63284D3B"/>
    <w:rsid w:val="63353E19"/>
    <w:rsid w:val="63462019"/>
    <w:rsid w:val="63465753"/>
    <w:rsid w:val="634B5884"/>
    <w:rsid w:val="6354339F"/>
    <w:rsid w:val="63724DEE"/>
    <w:rsid w:val="638B0EA8"/>
    <w:rsid w:val="638B50B2"/>
    <w:rsid w:val="6392424E"/>
    <w:rsid w:val="63B61CD7"/>
    <w:rsid w:val="63D40BAE"/>
    <w:rsid w:val="63E268C6"/>
    <w:rsid w:val="63F27EAC"/>
    <w:rsid w:val="63FE2DCE"/>
    <w:rsid w:val="64026C71"/>
    <w:rsid w:val="641335B5"/>
    <w:rsid w:val="64277156"/>
    <w:rsid w:val="6444147A"/>
    <w:rsid w:val="6447050C"/>
    <w:rsid w:val="645601AE"/>
    <w:rsid w:val="647C5766"/>
    <w:rsid w:val="647E6CD3"/>
    <w:rsid w:val="64947468"/>
    <w:rsid w:val="64A348B7"/>
    <w:rsid w:val="64C62F08"/>
    <w:rsid w:val="64D13073"/>
    <w:rsid w:val="64D144FE"/>
    <w:rsid w:val="64DD26AE"/>
    <w:rsid w:val="64EC587A"/>
    <w:rsid w:val="65037E73"/>
    <w:rsid w:val="658349ED"/>
    <w:rsid w:val="659E0E9A"/>
    <w:rsid w:val="65B42236"/>
    <w:rsid w:val="65C671AC"/>
    <w:rsid w:val="65E677AF"/>
    <w:rsid w:val="65F50048"/>
    <w:rsid w:val="65F52C50"/>
    <w:rsid w:val="66087BB4"/>
    <w:rsid w:val="661205E1"/>
    <w:rsid w:val="66201D85"/>
    <w:rsid w:val="665A3DF0"/>
    <w:rsid w:val="668F0D92"/>
    <w:rsid w:val="66A27BB6"/>
    <w:rsid w:val="66CD3C37"/>
    <w:rsid w:val="66D52412"/>
    <w:rsid w:val="66EC56F5"/>
    <w:rsid w:val="670F6D3E"/>
    <w:rsid w:val="671A07A0"/>
    <w:rsid w:val="671E5561"/>
    <w:rsid w:val="672D138D"/>
    <w:rsid w:val="673028E6"/>
    <w:rsid w:val="67307F99"/>
    <w:rsid w:val="673F5FB5"/>
    <w:rsid w:val="67706CC4"/>
    <w:rsid w:val="67880533"/>
    <w:rsid w:val="678E37E7"/>
    <w:rsid w:val="67AC168F"/>
    <w:rsid w:val="67C21552"/>
    <w:rsid w:val="67C904A8"/>
    <w:rsid w:val="67D26E2D"/>
    <w:rsid w:val="67EC34F4"/>
    <w:rsid w:val="67F309B2"/>
    <w:rsid w:val="67F54DAE"/>
    <w:rsid w:val="6802666E"/>
    <w:rsid w:val="681C2E80"/>
    <w:rsid w:val="68250CB2"/>
    <w:rsid w:val="68282BEF"/>
    <w:rsid w:val="684F185E"/>
    <w:rsid w:val="685E344D"/>
    <w:rsid w:val="688B5BA1"/>
    <w:rsid w:val="689364B0"/>
    <w:rsid w:val="68B034BD"/>
    <w:rsid w:val="68D93129"/>
    <w:rsid w:val="690B089F"/>
    <w:rsid w:val="690D297C"/>
    <w:rsid w:val="69A721B7"/>
    <w:rsid w:val="69C364C5"/>
    <w:rsid w:val="69C97BD5"/>
    <w:rsid w:val="6A4F6C6B"/>
    <w:rsid w:val="6A793038"/>
    <w:rsid w:val="6AD253F3"/>
    <w:rsid w:val="6AD56F84"/>
    <w:rsid w:val="6AF05B15"/>
    <w:rsid w:val="6AF47723"/>
    <w:rsid w:val="6AFC664B"/>
    <w:rsid w:val="6AFD3AF3"/>
    <w:rsid w:val="6B201824"/>
    <w:rsid w:val="6B236E3D"/>
    <w:rsid w:val="6B244784"/>
    <w:rsid w:val="6B3B5576"/>
    <w:rsid w:val="6B3D78F0"/>
    <w:rsid w:val="6B454B7E"/>
    <w:rsid w:val="6B7213AC"/>
    <w:rsid w:val="6BCD6DFA"/>
    <w:rsid w:val="6BF41AB1"/>
    <w:rsid w:val="6BF60870"/>
    <w:rsid w:val="6BFF0565"/>
    <w:rsid w:val="6C0D5A70"/>
    <w:rsid w:val="6C0F68D0"/>
    <w:rsid w:val="6C407076"/>
    <w:rsid w:val="6C4731B0"/>
    <w:rsid w:val="6C495D73"/>
    <w:rsid w:val="6C594176"/>
    <w:rsid w:val="6C866D4B"/>
    <w:rsid w:val="6CA03F24"/>
    <w:rsid w:val="6CBD31BF"/>
    <w:rsid w:val="6CC2731D"/>
    <w:rsid w:val="6CCC4810"/>
    <w:rsid w:val="6CCD7F88"/>
    <w:rsid w:val="6CD65BBD"/>
    <w:rsid w:val="6CEC6DBC"/>
    <w:rsid w:val="6D07418F"/>
    <w:rsid w:val="6D076FF9"/>
    <w:rsid w:val="6D0F189C"/>
    <w:rsid w:val="6D3D2890"/>
    <w:rsid w:val="6D400349"/>
    <w:rsid w:val="6D40436B"/>
    <w:rsid w:val="6D4F7213"/>
    <w:rsid w:val="6D5014E9"/>
    <w:rsid w:val="6D5D1E87"/>
    <w:rsid w:val="6D7D0A9D"/>
    <w:rsid w:val="6D8761CB"/>
    <w:rsid w:val="6D8B2721"/>
    <w:rsid w:val="6D9247E3"/>
    <w:rsid w:val="6DAF0696"/>
    <w:rsid w:val="6DC6352A"/>
    <w:rsid w:val="6DCB31FE"/>
    <w:rsid w:val="6DF834A5"/>
    <w:rsid w:val="6E1A12E1"/>
    <w:rsid w:val="6E517819"/>
    <w:rsid w:val="6E5252B4"/>
    <w:rsid w:val="6E7F4BC5"/>
    <w:rsid w:val="6EB45D40"/>
    <w:rsid w:val="6EDA396D"/>
    <w:rsid w:val="6EF24FF5"/>
    <w:rsid w:val="6EF771B0"/>
    <w:rsid w:val="6EF96063"/>
    <w:rsid w:val="6F224822"/>
    <w:rsid w:val="6F487814"/>
    <w:rsid w:val="6F7965A4"/>
    <w:rsid w:val="6F7B07E8"/>
    <w:rsid w:val="6F80150F"/>
    <w:rsid w:val="6F8F6D94"/>
    <w:rsid w:val="6FC85C30"/>
    <w:rsid w:val="6FD927FD"/>
    <w:rsid w:val="6FE8533D"/>
    <w:rsid w:val="70067EB7"/>
    <w:rsid w:val="700834D1"/>
    <w:rsid w:val="70275EF6"/>
    <w:rsid w:val="702A405C"/>
    <w:rsid w:val="702B119A"/>
    <w:rsid w:val="70487916"/>
    <w:rsid w:val="7049553A"/>
    <w:rsid w:val="70741F87"/>
    <w:rsid w:val="70901540"/>
    <w:rsid w:val="70A4497D"/>
    <w:rsid w:val="70AE4B6D"/>
    <w:rsid w:val="70B5193F"/>
    <w:rsid w:val="70D401AC"/>
    <w:rsid w:val="70D679A0"/>
    <w:rsid w:val="70DA4657"/>
    <w:rsid w:val="70DD4CDA"/>
    <w:rsid w:val="70DE70D7"/>
    <w:rsid w:val="70E02D5A"/>
    <w:rsid w:val="70F1579A"/>
    <w:rsid w:val="70FB7B9F"/>
    <w:rsid w:val="710638E3"/>
    <w:rsid w:val="710A19FD"/>
    <w:rsid w:val="710E5CD0"/>
    <w:rsid w:val="71200FDA"/>
    <w:rsid w:val="712452C9"/>
    <w:rsid w:val="71385D57"/>
    <w:rsid w:val="71572A8D"/>
    <w:rsid w:val="717C2E8F"/>
    <w:rsid w:val="717D3D51"/>
    <w:rsid w:val="71A71EA1"/>
    <w:rsid w:val="71B96EF9"/>
    <w:rsid w:val="71BB222D"/>
    <w:rsid w:val="71C41CFB"/>
    <w:rsid w:val="71EE4958"/>
    <w:rsid w:val="71F37403"/>
    <w:rsid w:val="71F9559D"/>
    <w:rsid w:val="72017419"/>
    <w:rsid w:val="72112128"/>
    <w:rsid w:val="72185988"/>
    <w:rsid w:val="7221065F"/>
    <w:rsid w:val="72396DC3"/>
    <w:rsid w:val="7247066E"/>
    <w:rsid w:val="724A7E11"/>
    <w:rsid w:val="724B6346"/>
    <w:rsid w:val="725F0CB0"/>
    <w:rsid w:val="7265791F"/>
    <w:rsid w:val="72660D2B"/>
    <w:rsid w:val="727E0D20"/>
    <w:rsid w:val="728B3ADF"/>
    <w:rsid w:val="729E42B1"/>
    <w:rsid w:val="72A905C9"/>
    <w:rsid w:val="72C437EB"/>
    <w:rsid w:val="72D26CFA"/>
    <w:rsid w:val="72FC115C"/>
    <w:rsid w:val="7309319A"/>
    <w:rsid w:val="731A2E03"/>
    <w:rsid w:val="731D0341"/>
    <w:rsid w:val="7320466D"/>
    <w:rsid w:val="73511821"/>
    <w:rsid w:val="736533F8"/>
    <w:rsid w:val="7369325B"/>
    <w:rsid w:val="73695998"/>
    <w:rsid w:val="736C3E2C"/>
    <w:rsid w:val="73707BF4"/>
    <w:rsid w:val="73710C88"/>
    <w:rsid w:val="739136C9"/>
    <w:rsid w:val="73986F17"/>
    <w:rsid w:val="739E4F92"/>
    <w:rsid w:val="73AE6B9E"/>
    <w:rsid w:val="73ED2DBA"/>
    <w:rsid w:val="7408383B"/>
    <w:rsid w:val="74195591"/>
    <w:rsid w:val="74220A5B"/>
    <w:rsid w:val="742E60AD"/>
    <w:rsid w:val="749722D8"/>
    <w:rsid w:val="74A8273A"/>
    <w:rsid w:val="74AA07F4"/>
    <w:rsid w:val="74AB42AF"/>
    <w:rsid w:val="74C27789"/>
    <w:rsid w:val="74D04712"/>
    <w:rsid w:val="74F45868"/>
    <w:rsid w:val="75010203"/>
    <w:rsid w:val="75066C86"/>
    <w:rsid w:val="75112600"/>
    <w:rsid w:val="754E1708"/>
    <w:rsid w:val="75756A02"/>
    <w:rsid w:val="75815836"/>
    <w:rsid w:val="75AB129B"/>
    <w:rsid w:val="75AC5FC5"/>
    <w:rsid w:val="75E26F42"/>
    <w:rsid w:val="75E605FD"/>
    <w:rsid w:val="75F329E8"/>
    <w:rsid w:val="75FA71CD"/>
    <w:rsid w:val="760F2D0C"/>
    <w:rsid w:val="76104F05"/>
    <w:rsid w:val="76204244"/>
    <w:rsid w:val="7629724B"/>
    <w:rsid w:val="764D475D"/>
    <w:rsid w:val="76516930"/>
    <w:rsid w:val="765405F1"/>
    <w:rsid w:val="76572783"/>
    <w:rsid w:val="765E373E"/>
    <w:rsid w:val="76831E8A"/>
    <w:rsid w:val="76C6765A"/>
    <w:rsid w:val="76CE03DF"/>
    <w:rsid w:val="76D504F8"/>
    <w:rsid w:val="77021064"/>
    <w:rsid w:val="770375D2"/>
    <w:rsid w:val="77145696"/>
    <w:rsid w:val="771D616F"/>
    <w:rsid w:val="77224AB4"/>
    <w:rsid w:val="77602068"/>
    <w:rsid w:val="778234FF"/>
    <w:rsid w:val="77977FC3"/>
    <w:rsid w:val="77985781"/>
    <w:rsid w:val="779D02DD"/>
    <w:rsid w:val="77AB4C94"/>
    <w:rsid w:val="77D86ACF"/>
    <w:rsid w:val="77EA3846"/>
    <w:rsid w:val="77FA50BC"/>
    <w:rsid w:val="780E3121"/>
    <w:rsid w:val="781269F3"/>
    <w:rsid w:val="78470827"/>
    <w:rsid w:val="7891402A"/>
    <w:rsid w:val="78D85E25"/>
    <w:rsid w:val="78E64D59"/>
    <w:rsid w:val="78EB6853"/>
    <w:rsid w:val="78F072FB"/>
    <w:rsid w:val="79181FE9"/>
    <w:rsid w:val="791C3A42"/>
    <w:rsid w:val="791F4453"/>
    <w:rsid w:val="793D0309"/>
    <w:rsid w:val="793F3057"/>
    <w:rsid w:val="7952031E"/>
    <w:rsid w:val="79523295"/>
    <w:rsid w:val="796813CB"/>
    <w:rsid w:val="79714D70"/>
    <w:rsid w:val="797B4579"/>
    <w:rsid w:val="797D700E"/>
    <w:rsid w:val="798018CF"/>
    <w:rsid w:val="798A0400"/>
    <w:rsid w:val="79941DD4"/>
    <w:rsid w:val="79BF7D86"/>
    <w:rsid w:val="79C52190"/>
    <w:rsid w:val="79CF6193"/>
    <w:rsid w:val="79D048EF"/>
    <w:rsid w:val="7A27165F"/>
    <w:rsid w:val="7A4419FB"/>
    <w:rsid w:val="7A546C56"/>
    <w:rsid w:val="7A613BDB"/>
    <w:rsid w:val="7A731870"/>
    <w:rsid w:val="7A7935B0"/>
    <w:rsid w:val="7A9B69D4"/>
    <w:rsid w:val="7AA35642"/>
    <w:rsid w:val="7AD34EF4"/>
    <w:rsid w:val="7ADB0160"/>
    <w:rsid w:val="7AE74B4B"/>
    <w:rsid w:val="7AEB57AA"/>
    <w:rsid w:val="7B047574"/>
    <w:rsid w:val="7B253C33"/>
    <w:rsid w:val="7B4F3A20"/>
    <w:rsid w:val="7B690AD2"/>
    <w:rsid w:val="7B761EC0"/>
    <w:rsid w:val="7B7D7929"/>
    <w:rsid w:val="7B8D43A3"/>
    <w:rsid w:val="7BEA4C1D"/>
    <w:rsid w:val="7C0507E6"/>
    <w:rsid w:val="7C050B13"/>
    <w:rsid w:val="7C073CED"/>
    <w:rsid w:val="7C18309D"/>
    <w:rsid w:val="7C335CEA"/>
    <w:rsid w:val="7C48153F"/>
    <w:rsid w:val="7C65716D"/>
    <w:rsid w:val="7C6B3A8C"/>
    <w:rsid w:val="7C6C3AE5"/>
    <w:rsid w:val="7C6D200F"/>
    <w:rsid w:val="7C7C4B0C"/>
    <w:rsid w:val="7C92134B"/>
    <w:rsid w:val="7C9D7971"/>
    <w:rsid w:val="7CE140F1"/>
    <w:rsid w:val="7CEE1063"/>
    <w:rsid w:val="7D0C52C3"/>
    <w:rsid w:val="7D160DAA"/>
    <w:rsid w:val="7D187179"/>
    <w:rsid w:val="7D2576C7"/>
    <w:rsid w:val="7D4E1987"/>
    <w:rsid w:val="7D9D09C3"/>
    <w:rsid w:val="7DA02473"/>
    <w:rsid w:val="7DF22CF3"/>
    <w:rsid w:val="7DFF6B72"/>
    <w:rsid w:val="7E006343"/>
    <w:rsid w:val="7E0E5FB1"/>
    <w:rsid w:val="7E2D7EA1"/>
    <w:rsid w:val="7E317ABF"/>
    <w:rsid w:val="7E385394"/>
    <w:rsid w:val="7E3F4BA7"/>
    <w:rsid w:val="7E6A18C9"/>
    <w:rsid w:val="7E833514"/>
    <w:rsid w:val="7E8563E9"/>
    <w:rsid w:val="7E874AF5"/>
    <w:rsid w:val="7E8B04FA"/>
    <w:rsid w:val="7E91286A"/>
    <w:rsid w:val="7E9A7E9A"/>
    <w:rsid w:val="7E9C5B66"/>
    <w:rsid w:val="7EA53A54"/>
    <w:rsid w:val="7ED2562E"/>
    <w:rsid w:val="7EF36BB8"/>
    <w:rsid w:val="7F133103"/>
    <w:rsid w:val="7F2C00CD"/>
    <w:rsid w:val="7F514737"/>
    <w:rsid w:val="7F5B24F7"/>
    <w:rsid w:val="7F6839A1"/>
    <w:rsid w:val="7F80105A"/>
    <w:rsid w:val="7F9E58ED"/>
    <w:rsid w:val="7FAC068C"/>
    <w:rsid w:val="7FB44DFF"/>
    <w:rsid w:val="7FB47A10"/>
    <w:rsid w:val="7FBF0CAA"/>
    <w:rsid w:val="7FC337AC"/>
    <w:rsid w:val="7FCB4B36"/>
    <w:rsid w:val="7FD10779"/>
    <w:rsid w:val="7FD27762"/>
    <w:rsid w:val="7FD561C0"/>
    <w:rsid w:val="7FEE76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iPriority="99"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8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spacing w:beforeLines="100" w:line="160" w:lineRule="exact"/>
      <w:jc w:val="center"/>
      <w:outlineLvl w:val="2"/>
    </w:pPr>
    <w:rPr>
      <w:rFonts w:eastAsia="仿宋_GB2312"/>
      <w:sz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6">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7">
    <w:name w:val="Normal Indent"/>
    <w:basedOn w:val="1"/>
    <w:qFormat/>
    <w:uiPriority w:val="0"/>
    <w:pPr>
      <w:ind w:firstLine="420"/>
    </w:pPr>
    <w:rPr>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annotation text"/>
    <w:basedOn w:val="1"/>
    <w:link w:val="65"/>
    <w:qFormat/>
    <w:uiPriority w:val="0"/>
    <w:pPr>
      <w:jc w:val="left"/>
    </w:pPr>
  </w:style>
  <w:style w:type="paragraph" w:styleId="10">
    <w:name w:val="Body Text 3"/>
    <w:basedOn w:val="1"/>
    <w:qFormat/>
    <w:uiPriority w:val="0"/>
    <w:pPr>
      <w:snapToGrid w:val="0"/>
      <w:spacing w:before="50" w:after="50"/>
    </w:pPr>
  </w:style>
  <w:style w:type="paragraph" w:styleId="11">
    <w:name w:val="Body Text"/>
    <w:basedOn w:val="1"/>
    <w:qFormat/>
    <w:uiPriority w:val="0"/>
    <w:pPr>
      <w:spacing w:after="120"/>
    </w:pPr>
    <w:rPr>
      <w:sz w:val="28"/>
    </w:rPr>
  </w:style>
  <w:style w:type="paragraph" w:styleId="12">
    <w:name w:val="Body Text Indent"/>
    <w:basedOn w:val="1"/>
    <w:link w:val="69"/>
    <w:qFormat/>
    <w:uiPriority w:val="0"/>
    <w:pPr>
      <w:spacing w:line="200" w:lineRule="exact"/>
      <w:ind w:firstLine="301"/>
    </w:pPr>
    <w:rPr>
      <w:rFonts w:ascii="宋体" w:hAnsi="Courier New"/>
      <w:spacing w:val="-4"/>
      <w:sz w:val="18"/>
      <w:szCs w:val="20"/>
    </w:rPr>
  </w:style>
  <w:style w:type="paragraph" w:styleId="13">
    <w:name w:val="List Number 3"/>
    <w:basedOn w:val="1"/>
    <w:qFormat/>
    <w:uiPriority w:val="0"/>
    <w:pPr>
      <w:tabs>
        <w:tab w:val="left" w:pos="1200"/>
      </w:tabs>
      <w:ind w:left="1200" w:hanging="360"/>
    </w:pPr>
  </w:style>
  <w:style w:type="paragraph" w:styleId="14">
    <w:name w:val="List 2"/>
    <w:basedOn w:val="1"/>
    <w:qFormat/>
    <w:uiPriority w:val="0"/>
    <w:pPr>
      <w:ind w:left="100" w:leftChars="200" w:hanging="200" w:hangingChars="200"/>
    </w:pPr>
    <w:rPr>
      <w:sz w:val="28"/>
    </w:rPr>
  </w:style>
  <w:style w:type="paragraph" w:styleId="15">
    <w:name w:val="Plain Text"/>
    <w:basedOn w:val="1"/>
    <w:link w:val="43"/>
    <w:qFormat/>
    <w:uiPriority w:val="0"/>
    <w:pPr>
      <w:spacing w:beforeLines="50" w:afterLines="50" w:line="400" w:lineRule="exact"/>
    </w:pPr>
    <w:rPr>
      <w:rFonts w:ascii="宋体" w:hAnsi="Courier New"/>
      <w:sz w:val="24"/>
    </w:rPr>
  </w:style>
  <w:style w:type="paragraph" w:styleId="16">
    <w:name w:val="Date"/>
    <w:basedOn w:val="1"/>
    <w:next w:val="1"/>
    <w:link w:val="78"/>
    <w:qFormat/>
    <w:uiPriority w:val="99"/>
    <w:pPr>
      <w:ind w:left="2500" w:leftChars="2500"/>
    </w:pPr>
    <w:rPr>
      <w:rFonts w:eastAsia="楷体_GB2312"/>
      <w:sz w:val="32"/>
      <w:szCs w:val="20"/>
    </w:rPr>
  </w:style>
  <w:style w:type="paragraph" w:styleId="17">
    <w:name w:val="Body Text Indent 2"/>
    <w:basedOn w:val="1"/>
    <w:qFormat/>
    <w:uiPriority w:val="0"/>
    <w:pPr>
      <w:snapToGrid w:val="0"/>
      <w:ind w:firstLine="542" w:firstLineChars="225"/>
    </w:pPr>
    <w:rPr>
      <w:rFonts w:ascii="仿宋_GB2312" w:hAnsi="宋体" w:cs="Arial"/>
      <w:b/>
      <w:bCs/>
      <w:color w:val="000000"/>
      <w:sz w:val="24"/>
    </w:rPr>
  </w:style>
  <w:style w:type="paragraph" w:styleId="18">
    <w:name w:val="Balloon Text"/>
    <w:basedOn w:val="1"/>
    <w:link w:val="77"/>
    <w:qFormat/>
    <w:uiPriority w:val="99"/>
    <w:rPr>
      <w:sz w:val="18"/>
      <w:szCs w:val="18"/>
    </w:rPr>
  </w:style>
  <w:style w:type="paragraph" w:styleId="19">
    <w:name w:val="footer"/>
    <w:basedOn w:val="1"/>
    <w:link w:val="68"/>
    <w:qFormat/>
    <w:uiPriority w:val="99"/>
    <w:pPr>
      <w:tabs>
        <w:tab w:val="center" w:pos="4153"/>
        <w:tab w:val="right" w:pos="8306"/>
      </w:tabs>
      <w:snapToGrid w:val="0"/>
      <w:jc w:val="left"/>
    </w:pPr>
    <w:rPr>
      <w:rFonts w:eastAsia="黑体"/>
      <w:snapToGrid w:val="0"/>
      <w:kern w:val="0"/>
      <w:sz w:val="18"/>
      <w:szCs w:val="18"/>
    </w:rPr>
  </w:style>
  <w:style w:type="paragraph" w:styleId="20">
    <w:name w:val="header"/>
    <w:basedOn w:val="1"/>
    <w:link w:val="67"/>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1">
    <w:name w:val="toc 1"/>
    <w:basedOn w:val="1"/>
    <w:next w:val="1"/>
    <w:qFormat/>
    <w:uiPriority w:val="0"/>
  </w:style>
  <w:style w:type="paragraph" w:styleId="22">
    <w:name w:val="List"/>
    <w:basedOn w:val="1"/>
    <w:qFormat/>
    <w:uiPriority w:val="0"/>
    <w:pPr>
      <w:ind w:left="200" w:hanging="200" w:hangingChars="200"/>
    </w:pPr>
    <w:rPr>
      <w:sz w:val="28"/>
    </w:rPr>
  </w:style>
  <w:style w:type="paragraph" w:styleId="23">
    <w:name w:val="footnote text"/>
    <w:basedOn w:val="1"/>
    <w:link w:val="42"/>
    <w:qFormat/>
    <w:uiPriority w:val="0"/>
    <w:pPr>
      <w:snapToGrid w:val="0"/>
      <w:jc w:val="left"/>
    </w:pPr>
    <w:rPr>
      <w:sz w:val="18"/>
      <w:szCs w:val="18"/>
    </w:rPr>
  </w:style>
  <w:style w:type="paragraph" w:styleId="24">
    <w:name w:val="Body Text Indent 3"/>
    <w:basedOn w:val="1"/>
    <w:link w:val="75"/>
    <w:qFormat/>
    <w:uiPriority w:val="99"/>
    <w:pPr>
      <w:snapToGrid w:val="0"/>
      <w:ind w:firstLine="480" w:firstLineChars="200"/>
      <w:jc w:val="left"/>
    </w:pPr>
    <w:rPr>
      <w:rFonts w:ascii="仿宋_GB2312" w:hAnsi="宋体" w:eastAsia="仿宋_GB2312"/>
      <w:color w:val="000000"/>
      <w:sz w:val="24"/>
    </w:rPr>
  </w:style>
  <w:style w:type="paragraph" w:styleId="25">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26">
    <w:name w:val="List Continue 2"/>
    <w:basedOn w:val="1"/>
    <w:qFormat/>
    <w:uiPriority w:val="0"/>
    <w:pPr>
      <w:spacing w:after="120"/>
      <w:ind w:left="840" w:leftChars="400"/>
      <w:contextualSpacing/>
    </w:pPr>
  </w:style>
  <w:style w:type="paragraph" w:styleId="27">
    <w:name w:val="Normal (Web)"/>
    <w:basedOn w:val="1"/>
    <w:qFormat/>
    <w:uiPriority w:val="99"/>
    <w:pPr>
      <w:widowControl/>
      <w:spacing w:line="159" w:lineRule="atLeast"/>
      <w:jc w:val="left"/>
    </w:pPr>
    <w:rPr>
      <w:rFonts w:ascii="ˎ̥" w:hAnsi="ˎ̥" w:cs="宋体"/>
      <w:color w:val="555555"/>
      <w:kern w:val="0"/>
      <w:sz w:val="11"/>
      <w:szCs w:val="11"/>
    </w:rPr>
  </w:style>
  <w:style w:type="paragraph" w:styleId="28">
    <w:name w:val="Title"/>
    <w:basedOn w:val="1"/>
    <w:link w:val="76"/>
    <w:qFormat/>
    <w:uiPriority w:val="0"/>
    <w:pPr>
      <w:spacing w:after="160" w:line="259" w:lineRule="auto"/>
      <w:jc w:val="center"/>
    </w:pPr>
    <w:rPr>
      <w:sz w:val="30"/>
      <w:szCs w:val="30"/>
    </w:rPr>
  </w:style>
  <w:style w:type="paragraph" w:styleId="29">
    <w:name w:val="annotation subject"/>
    <w:basedOn w:val="9"/>
    <w:next w:val="9"/>
    <w:qFormat/>
    <w:uiPriority w:val="0"/>
    <w:rPr>
      <w:b/>
      <w:bCs/>
    </w:rPr>
  </w:style>
  <w:style w:type="paragraph" w:styleId="30">
    <w:name w:val="Body Text First Indent"/>
    <w:basedOn w:val="11"/>
    <w:unhideWhenUsed/>
    <w:qFormat/>
    <w:uiPriority w:val="99"/>
    <w:pPr>
      <w:ind w:firstLine="420" w:firstLineChars="100"/>
    </w:pPr>
  </w:style>
  <w:style w:type="table" w:styleId="32">
    <w:name w:val="Table Grid"/>
    <w:basedOn w:val="31"/>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Strong"/>
    <w:qFormat/>
    <w:uiPriority w:val="0"/>
    <w:rPr>
      <w:b/>
      <w:bCs/>
    </w:rPr>
  </w:style>
  <w:style w:type="character" w:styleId="35">
    <w:name w:val="page number"/>
    <w:basedOn w:val="33"/>
    <w:qFormat/>
    <w:uiPriority w:val="0"/>
  </w:style>
  <w:style w:type="character" w:styleId="36">
    <w:name w:val="FollowedHyperlink"/>
    <w:qFormat/>
    <w:uiPriority w:val="0"/>
    <w:rPr>
      <w:color w:val="000000"/>
      <w:u w:val="none"/>
    </w:rPr>
  </w:style>
  <w:style w:type="character" w:styleId="37">
    <w:name w:val="Hyperlink"/>
    <w:qFormat/>
    <w:uiPriority w:val="0"/>
    <w:rPr>
      <w:color w:val="000000"/>
      <w:u w:val="none"/>
    </w:rPr>
  </w:style>
  <w:style w:type="character" w:styleId="38">
    <w:name w:val="annotation reference"/>
    <w:qFormat/>
    <w:uiPriority w:val="99"/>
    <w:rPr>
      <w:sz w:val="21"/>
      <w:szCs w:val="21"/>
    </w:rPr>
  </w:style>
  <w:style w:type="character" w:styleId="39">
    <w:name w:val="footnote reference"/>
    <w:qFormat/>
    <w:uiPriority w:val="0"/>
    <w:rPr>
      <w:color w:val="auto"/>
      <w:vertAlign w:val="superscript"/>
    </w:rPr>
  </w:style>
  <w:style w:type="character" w:customStyle="1" w:styleId="40">
    <w:name w:val="font01"/>
    <w:qFormat/>
    <w:uiPriority w:val="0"/>
    <w:rPr>
      <w:rFonts w:hint="eastAsia" w:ascii="宋体" w:hAnsi="宋体" w:eastAsia="宋体" w:cs="宋体"/>
      <w:color w:val="000000"/>
      <w:sz w:val="22"/>
      <w:szCs w:val="22"/>
      <w:u w:val="none"/>
    </w:rPr>
  </w:style>
  <w:style w:type="character" w:customStyle="1" w:styleId="41">
    <w:name w:val="普通文字 Char Char1"/>
    <w:qFormat/>
    <w:uiPriority w:val="0"/>
    <w:rPr>
      <w:rFonts w:ascii="宋体" w:hAnsi="Courier New" w:eastAsia="宋体"/>
      <w:color w:val="auto"/>
      <w:kern w:val="2"/>
      <w:sz w:val="24"/>
      <w:szCs w:val="24"/>
      <w:lang w:val="en-US" w:eastAsia="zh-CN" w:bidi="ar-SA"/>
    </w:rPr>
  </w:style>
  <w:style w:type="character" w:customStyle="1" w:styleId="42">
    <w:name w:val="脚注文本 字符"/>
    <w:link w:val="23"/>
    <w:qFormat/>
    <w:uiPriority w:val="0"/>
    <w:rPr>
      <w:color w:val="auto"/>
      <w:kern w:val="2"/>
      <w:sz w:val="18"/>
      <w:szCs w:val="18"/>
    </w:rPr>
  </w:style>
  <w:style w:type="character" w:customStyle="1" w:styleId="43">
    <w:name w:val="纯文本 字符"/>
    <w:link w:val="15"/>
    <w:qFormat/>
    <w:uiPriority w:val="0"/>
    <w:rPr>
      <w:rFonts w:ascii="宋体" w:hAnsi="Courier New" w:eastAsia="宋体"/>
      <w:kern w:val="2"/>
      <w:sz w:val="24"/>
      <w:szCs w:val="24"/>
      <w:lang w:val="en-US" w:eastAsia="zh-CN" w:bidi="ar-SA"/>
    </w:rPr>
  </w:style>
  <w:style w:type="character" w:customStyle="1" w:styleId="44">
    <w:name w:val="font21"/>
    <w:qFormat/>
    <w:uiPriority w:val="0"/>
    <w:rPr>
      <w:rFonts w:hint="eastAsia" w:ascii="宋体" w:hAnsi="宋体" w:eastAsia="宋体" w:cs="宋体"/>
      <w:b/>
      <w:color w:val="000000"/>
      <w:sz w:val="28"/>
      <w:szCs w:val="28"/>
      <w:u w:val="none"/>
    </w:rPr>
  </w:style>
  <w:style w:type="paragraph" w:customStyle="1" w:styleId="45">
    <w:name w:val="列出段落1"/>
    <w:basedOn w:val="1"/>
    <w:qFormat/>
    <w:uiPriority w:val="0"/>
    <w:pPr>
      <w:ind w:firstLine="420" w:firstLineChars="200"/>
    </w:pPr>
    <w:rPr>
      <w:sz w:val="28"/>
      <w:szCs w:val="20"/>
    </w:rPr>
  </w:style>
  <w:style w:type="paragraph" w:customStyle="1" w:styleId="46">
    <w:name w:val="样式 标题 2 + 黑色 行距: 1.5 倍行距"/>
    <w:basedOn w:val="4"/>
    <w:qFormat/>
    <w:uiPriority w:val="0"/>
    <w:pPr>
      <w:spacing w:line="360" w:lineRule="auto"/>
    </w:pPr>
    <w:rPr>
      <w:rFonts w:eastAsia="宋体" w:cs="宋体"/>
      <w:color w:val="000000"/>
    </w:rPr>
  </w:style>
  <w:style w:type="paragraph" w:customStyle="1" w:styleId="47">
    <w:name w:val="默认段落字体 Para Char Char Char Char Char Char Char"/>
    <w:basedOn w:val="1"/>
    <w:qFormat/>
    <w:uiPriority w:val="0"/>
    <w:pPr>
      <w:spacing w:line="360" w:lineRule="auto"/>
    </w:pPr>
    <w:rPr>
      <w:rFonts w:ascii="Tahoma" w:hAnsi="Tahoma"/>
      <w:sz w:val="24"/>
      <w:szCs w:val="20"/>
    </w:rPr>
  </w:style>
  <w:style w:type="paragraph" w:customStyle="1" w:styleId="4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50">
    <w:name w:val="p0"/>
    <w:basedOn w:val="1"/>
    <w:qFormat/>
    <w:uiPriority w:val="0"/>
    <w:pPr>
      <w:widowControl/>
    </w:pPr>
    <w:rPr>
      <w:kern w:val="0"/>
      <w:szCs w:val="21"/>
    </w:rPr>
  </w:style>
  <w:style w:type="paragraph" w:customStyle="1" w:styleId="51">
    <w:name w:val="Char Char Char"/>
    <w:basedOn w:val="1"/>
    <w:qFormat/>
    <w:uiPriority w:val="0"/>
    <w:pPr>
      <w:tabs>
        <w:tab w:val="left" w:pos="1545"/>
      </w:tabs>
      <w:ind w:left="1200" w:hanging="360"/>
    </w:pPr>
  </w:style>
  <w:style w:type="paragraph" w:customStyle="1" w:styleId="52">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正文段"/>
    <w:basedOn w:val="1"/>
    <w:qFormat/>
    <w:uiPriority w:val="0"/>
    <w:pPr>
      <w:widowControl/>
      <w:snapToGrid w:val="0"/>
      <w:spacing w:afterLines="50"/>
      <w:ind w:firstLine="200" w:firstLineChars="200"/>
    </w:pPr>
    <w:rPr>
      <w:kern w:val="0"/>
      <w:sz w:val="24"/>
      <w:szCs w:val="20"/>
    </w:rPr>
  </w:style>
  <w:style w:type="paragraph" w:customStyle="1" w:styleId="54">
    <w:name w:val="Char Char Char1 Char Char Char Char Char Char Char"/>
    <w:basedOn w:val="1"/>
    <w:qFormat/>
    <w:uiPriority w:val="0"/>
  </w:style>
  <w:style w:type="paragraph" w:customStyle="1" w:styleId="55">
    <w:name w:val="默认段落字体 Para Char Char Char Char"/>
    <w:basedOn w:val="1"/>
    <w:qFormat/>
    <w:uiPriority w:val="0"/>
    <w:pPr>
      <w:spacing w:line="360" w:lineRule="auto"/>
      <w:ind w:firstLine="200" w:firstLineChars="200"/>
    </w:pPr>
  </w:style>
  <w:style w:type="paragraph" w:styleId="56">
    <w:name w:val="List Paragraph"/>
    <w:basedOn w:val="1"/>
    <w:qFormat/>
    <w:uiPriority w:val="0"/>
    <w:pPr>
      <w:ind w:firstLine="420" w:firstLineChars="200"/>
    </w:pPr>
  </w:style>
  <w:style w:type="paragraph" w:customStyle="1" w:styleId="57">
    <w:name w:val="Char"/>
    <w:basedOn w:val="1"/>
    <w:qFormat/>
    <w:uiPriority w:val="0"/>
    <w:pPr>
      <w:tabs>
        <w:tab w:val="left" w:pos="1200"/>
      </w:tabs>
      <w:spacing w:before="120" w:after="120" w:line="320" w:lineRule="exact"/>
    </w:pPr>
    <w:rPr>
      <w:rFonts w:ascii="黑体" w:eastAsia="黑体"/>
      <w:sz w:val="24"/>
    </w:rPr>
  </w:style>
  <w:style w:type="paragraph" w:customStyle="1" w:styleId="58">
    <w:name w:val="_Style 6"/>
    <w:basedOn w:val="1"/>
    <w:qFormat/>
    <w:uiPriority w:val="0"/>
    <w:pPr>
      <w:widowControl/>
      <w:spacing w:after="160" w:line="240" w:lineRule="exact"/>
      <w:jc w:val="left"/>
    </w:pPr>
  </w:style>
  <w:style w:type="paragraph" w:customStyle="1" w:styleId="59">
    <w:name w:val="列出段落11"/>
    <w:basedOn w:val="1"/>
    <w:qFormat/>
    <w:uiPriority w:val="0"/>
    <w:pPr>
      <w:ind w:firstLine="420" w:firstLineChars="200"/>
    </w:pPr>
  </w:style>
  <w:style w:type="paragraph" w:customStyle="1" w:styleId="60">
    <w:name w:val="默认段落字体 Para Char Char Char Char Char Char Char Char Char1 Char Char Char Char"/>
    <w:basedOn w:val="1"/>
    <w:qFormat/>
    <w:uiPriority w:val="0"/>
    <w:rPr>
      <w:rFonts w:ascii="Tahoma" w:hAnsi="Tahoma"/>
      <w:sz w:val="24"/>
      <w:szCs w:val="20"/>
    </w:rPr>
  </w:style>
  <w:style w:type="paragraph" w:customStyle="1" w:styleId="61">
    <w:name w:val="ÕýÎÄ"/>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62">
    <w:name w:val="纯文本1"/>
    <w:basedOn w:val="1"/>
    <w:qFormat/>
    <w:uiPriority w:val="0"/>
    <w:rPr>
      <w:rFonts w:ascii="宋体" w:hAnsi="Courier New"/>
      <w:sz w:val="28"/>
    </w:rPr>
  </w:style>
  <w:style w:type="character" w:customStyle="1" w:styleId="63">
    <w:name w:val="generalinfo-address-text2"/>
    <w:basedOn w:val="33"/>
    <w:qFormat/>
    <w:uiPriority w:val="0"/>
  </w:style>
  <w:style w:type="paragraph" w:customStyle="1" w:styleId="64">
    <w:name w:val="_Style 2"/>
    <w:basedOn w:val="1"/>
    <w:qFormat/>
    <w:uiPriority w:val="0"/>
    <w:pPr>
      <w:ind w:firstLine="420" w:firstLineChars="200"/>
    </w:pPr>
  </w:style>
  <w:style w:type="character" w:customStyle="1" w:styleId="65">
    <w:name w:val="批注文字 字符"/>
    <w:link w:val="9"/>
    <w:qFormat/>
    <w:uiPriority w:val="0"/>
    <w:rPr>
      <w:color w:val="auto"/>
      <w:kern w:val="2"/>
      <w:sz w:val="21"/>
      <w:szCs w:val="24"/>
    </w:rPr>
  </w:style>
  <w:style w:type="paragraph" w:customStyle="1" w:styleId="66">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7">
    <w:name w:val="页眉 字符"/>
    <w:link w:val="20"/>
    <w:qFormat/>
    <w:uiPriority w:val="99"/>
    <w:rPr>
      <w:rFonts w:eastAsia="仿宋_GB2312"/>
      <w:kern w:val="2"/>
      <w:sz w:val="18"/>
    </w:rPr>
  </w:style>
  <w:style w:type="character" w:customStyle="1" w:styleId="68">
    <w:name w:val="页脚 字符"/>
    <w:link w:val="19"/>
    <w:qFormat/>
    <w:uiPriority w:val="99"/>
    <w:rPr>
      <w:rFonts w:eastAsia="黑体"/>
      <w:snapToGrid w:val="0"/>
      <w:sz w:val="18"/>
      <w:szCs w:val="18"/>
    </w:rPr>
  </w:style>
  <w:style w:type="character" w:customStyle="1" w:styleId="69">
    <w:name w:val="正文文本缩进 字符"/>
    <w:link w:val="12"/>
    <w:qFormat/>
    <w:uiPriority w:val="0"/>
    <w:rPr>
      <w:rFonts w:ascii="宋体" w:hAnsi="Courier New"/>
      <w:spacing w:val="-4"/>
      <w:kern w:val="2"/>
      <w:sz w:val="18"/>
    </w:rPr>
  </w:style>
  <w:style w:type="character" w:customStyle="1" w:styleId="70">
    <w:name w:val="批注文字 Char1"/>
    <w:semiHidden/>
    <w:qFormat/>
    <w:uiPriority w:val="99"/>
    <w:rPr>
      <w:rFonts w:ascii="Times New Roman" w:hAnsi="Times New Roman" w:eastAsia="宋体" w:cs="Times New Roman"/>
      <w:szCs w:val="20"/>
    </w:rPr>
  </w:style>
  <w:style w:type="character" w:customStyle="1" w:styleId="71">
    <w:name w:val="正文文本缩进 Char1"/>
    <w:semiHidden/>
    <w:qFormat/>
    <w:uiPriority w:val="99"/>
    <w:rPr>
      <w:rFonts w:ascii="Times New Roman" w:hAnsi="Times New Roman" w:eastAsia="宋体" w:cs="Times New Roman"/>
      <w:szCs w:val="20"/>
    </w:rPr>
  </w:style>
  <w:style w:type="paragraph" w:customStyle="1" w:styleId="72">
    <w:name w:val="black1"/>
    <w:basedOn w:val="1"/>
    <w:qFormat/>
    <w:uiPriority w:val="0"/>
    <w:pPr>
      <w:widowControl/>
      <w:spacing w:before="100" w:beforeAutospacing="1" w:after="100" w:afterAutospacing="1"/>
      <w:jc w:val="left"/>
    </w:pPr>
    <w:rPr>
      <w:rFonts w:ascii="宋体" w:hAnsi="宋体"/>
      <w:kern w:val="0"/>
      <w:sz w:val="24"/>
    </w:rPr>
  </w:style>
  <w:style w:type="paragraph" w:customStyle="1" w:styleId="73">
    <w:name w:val="1"/>
    <w:basedOn w:val="1"/>
    <w:next w:val="56"/>
    <w:link w:val="74"/>
    <w:qFormat/>
    <w:uiPriority w:val="0"/>
    <w:pPr>
      <w:ind w:firstLine="420" w:firstLineChars="200"/>
    </w:pPr>
    <w:rPr>
      <w:kern w:val="0"/>
      <w:sz w:val="20"/>
    </w:rPr>
  </w:style>
  <w:style w:type="character" w:customStyle="1" w:styleId="74">
    <w:name w:val="列出段落 Char"/>
    <w:link w:val="73"/>
    <w:qFormat/>
    <w:uiPriority w:val="0"/>
    <w:rPr>
      <w:rFonts w:ascii="Times New Roman" w:hAnsi="Times New Roman" w:eastAsia="宋体" w:cs="Times New Roman"/>
      <w:szCs w:val="24"/>
    </w:rPr>
  </w:style>
  <w:style w:type="character" w:customStyle="1" w:styleId="75">
    <w:name w:val="正文文本缩进 3 字符"/>
    <w:link w:val="24"/>
    <w:qFormat/>
    <w:uiPriority w:val="99"/>
    <w:rPr>
      <w:rFonts w:ascii="仿宋_GB2312" w:hAnsi="宋体" w:eastAsia="仿宋_GB2312"/>
      <w:color w:val="000000"/>
      <w:kern w:val="2"/>
      <w:sz w:val="24"/>
      <w:szCs w:val="24"/>
    </w:rPr>
  </w:style>
  <w:style w:type="character" w:customStyle="1" w:styleId="76">
    <w:name w:val="标题 字符"/>
    <w:link w:val="28"/>
    <w:qFormat/>
    <w:uiPriority w:val="0"/>
    <w:rPr>
      <w:color w:val="auto"/>
      <w:kern w:val="2"/>
      <w:sz w:val="30"/>
      <w:szCs w:val="30"/>
    </w:rPr>
  </w:style>
  <w:style w:type="character" w:customStyle="1" w:styleId="77">
    <w:name w:val="批注框文本 字符"/>
    <w:link w:val="18"/>
    <w:qFormat/>
    <w:uiPriority w:val="99"/>
    <w:rPr>
      <w:kern w:val="2"/>
      <w:sz w:val="18"/>
      <w:szCs w:val="18"/>
    </w:rPr>
  </w:style>
  <w:style w:type="character" w:customStyle="1" w:styleId="78">
    <w:name w:val="日期 字符"/>
    <w:link w:val="16"/>
    <w:qFormat/>
    <w:uiPriority w:val="99"/>
    <w:rPr>
      <w:rFonts w:eastAsia="楷体_GB2312"/>
      <w:kern w:val="2"/>
      <w:sz w:val="32"/>
    </w:rPr>
  </w:style>
  <w:style w:type="character" w:customStyle="1" w:styleId="79">
    <w:name w:val="批注框文本 Char"/>
    <w:semiHidden/>
    <w:qFormat/>
    <w:uiPriority w:val="99"/>
    <w:rPr>
      <w:rFonts w:ascii="Times New Roman" w:hAnsi="Times New Roman"/>
      <w:kern w:val="2"/>
      <w:sz w:val="18"/>
      <w:szCs w:val="18"/>
    </w:rPr>
  </w:style>
  <w:style w:type="character" w:customStyle="1" w:styleId="80">
    <w:name w:val="日期 Char"/>
    <w:semiHidden/>
    <w:qFormat/>
    <w:uiPriority w:val="99"/>
    <w:rPr>
      <w:rFonts w:ascii="Times New Roman" w:hAnsi="Times New Roman"/>
      <w:kern w:val="2"/>
      <w:sz w:val="21"/>
    </w:rPr>
  </w:style>
  <w:style w:type="character" w:customStyle="1" w:styleId="81">
    <w:name w:val="标题 2 字符"/>
    <w:link w:val="4"/>
    <w:qFormat/>
    <w:uiPriority w:val="9"/>
    <w:rPr>
      <w:rFonts w:ascii="Arial" w:hAnsi="Arial" w:eastAsia="黑体"/>
      <w:b/>
      <w:bCs/>
      <w:color w:val="auto"/>
      <w:kern w:val="2"/>
      <w:sz w:val="32"/>
      <w:szCs w:val="32"/>
    </w:rPr>
  </w:style>
  <w:style w:type="character" w:customStyle="1" w:styleId="82">
    <w:name w:val="未处理的提及1"/>
    <w:basedOn w:val="33"/>
    <w:semiHidden/>
    <w:unhideWhenUsed/>
    <w:qFormat/>
    <w:uiPriority w:val="99"/>
    <w:rPr>
      <w:color w:val="605E5C"/>
      <w:shd w:val="clear" w:color="auto" w:fill="E1DFDD"/>
    </w:rPr>
  </w:style>
  <w:style w:type="character" w:customStyle="1" w:styleId="83">
    <w:name w:val="标题 1 字符"/>
    <w:basedOn w:val="33"/>
    <w:link w:val="3"/>
    <w:qFormat/>
    <w:uiPriority w:val="0"/>
    <w:rPr>
      <w:b/>
      <w:bCs/>
      <w:kern w:val="44"/>
      <w:sz w:val="44"/>
      <w:szCs w:val="44"/>
    </w:rPr>
  </w:style>
  <w:style w:type="table" w:customStyle="1" w:styleId="84">
    <w:name w:val="TableGrid"/>
    <w:qFormat/>
    <w:uiPriority w:val="0"/>
    <w:rPr>
      <w:rFonts w:ascii="等线" w:hAnsi="等线" w:eastAsia="等线"/>
      <w:kern w:val="2"/>
      <w:sz w:val="21"/>
      <w:szCs w:val="22"/>
    </w:rPr>
    <w:tblPr>
      <w:tblCellMar>
        <w:top w:w="0" w:type="dxa"/>
        <w:left w:w="0" w:type="dxa"/>
        <w:bottom w:w="0" w:type="dxa"/>
        <w:right w:w="0" w:type="dxa"/>
      </w:tblCellMar>
    </w:tblPr>
  </w:style>
  <w:style w:type="table" w:customStyle="1" w:styleId="85">
    <w:name w:val="TableGrid1"/>
    <w:qFormat/>
    <w:uiPriority w:val="0"/>
    <w:rPr>
      <w:rFonts w:ascii="等线" w:hAnsi="等线" w:eastAsia="等线"/>
      <w:kern w:val="2"/>
      <w:sz w:val="21"/>
      <w:szCs w:val="22"/>
    </w:rPr>
    <w:tblPr>
      <w:tblCellMar>
        <w:top w:w="0" w:type="dxa"/>
        <w:left w:w="0" w:type="dxa"/>
        <w:bottom w:w="0" w:type="dxa"/>
        <w:right w:w="0" w:type="dxa"/>
      </w:tblCellMar>
    </w:tblPr>
  </w:style>
  <w:style w:type="table" w:customStyle="1" w:styleId="86">
    <w:name w:val="网格型1"/>
    <w:basedOn w:val="31"/>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7">
    <w:name w:val="标题 2 + 黑色 行距: 1.5 倍行距"/>
    <w:basedOn w:val="4"/>
    <w:link w:val="89"/>
    <w:qFormat/>
    <w:uiPriority w:val="0"/>
    <w:pPr>
      <w:spacing w:line="360" w:lineRule="auto"/>
    </w:pPr>
    <w:rPr>
      <w:rFonts w:eastAsia="宋体" w:cs="宋体"/>
      <w:color w:val="000000"/>
      <w:szCs w:val="20"/>
    </w:rPr>
  </w:style>
  <w:style w:type="paragraph" w:customStyle="1" w:styleId="88">
    <w:name w:val="纯文本2"/>
    <w:basedOn w:val="1"/>
    <w:qFormat/>
    <w:uiPriority w:val="0"/>
    <w:rPr>
      <w:rFonts w:ascii="宋体" w:hAnsi="Courier New"/>
      <w:sz w:val="28"/>
    </w:rPr>
  </w:style>
  <w:style w:type="character" w:customStyle="1" w:styleId="89">
    <w:name w:val="标题 2 + 黑色 行距: 1.5 倍行距 Char"/>
    <w:link w:val="87"/>
    <w:qFormat/>
    <w:uiPriority w:val="0"/>
    <w:rPr>
      <w:rFonts w:ascii="Arial" w:hAnsi="Arial" w:cs="宋体"/>
      <w:b/>
      <w:bCs/>
      <w:color w:val="000000"/>
      <w:kern w:val="2"/>
      <w:sz w:val="32"/>
    </w:rPr>
  </w:style>
  <w:style w:type="character" w:customStyle="1" w:styleId="90">
    <w:name w:val="未处理的提及2"/>
    <w:basedOn w:val="3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F6D679-BDF8-4765-924E-252D7F01D86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5278</Words>
  <Characters>30085</Characters>
  <Lines>250</Lines>
  <Paragraphs>70</Paragraphs>
  <TotalTime>84</TotalTime>
  <ScaleCrop>false</ScaleCrop>
  <LinksUpToDate>false</LinksUpToDate>
  <CharactersWithSpaces>35293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2020-11-25T02:19:00Z</dcterms:created>
  <dc:creator>Windows 用户</dc:creator>
  <cp:lastModifiedBy>Administrator</cp:lastModifiedBy>
  <cp:lastPrinted>2021-01-27T01:51:00Z</cp:lastPrinted>
  <dcterms:modified xsi:type="dcterms:W3CDTF">2021-01-28T06:39:51Z</dcterms:modified>
  <dc:title>浙江省政府采购招标文件范本（试行）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