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cs="宋体"/>
          <w:b/>
          <w:color w:val="auto"/>
          <w:sz w:val="52"/>
          <w:szCs w:val="52"/>
          <w:highlight w:val="none"/>
        </w:rPr>
      </w:pPr>
    </w:p>
    <w:p>
      <w:pPr>
        <w:spacing w:line="360" w:lineRule="auto"/>
        <w:ind w:right="-162" w:rightChars="-77"/>
        <w:jc w:val="center"/>
        <w:rPr>
          <w:rFonts w:ascii="宋体" w:hAnsi="宋体" w:cs="宋体"/>
          <w:color w:val="auto"/>
          <w:sz w:val="28"/>
          <w:szCs w:val="28"/>
          <w:highlight w:val="none"/>
        </w:rPr>
      </w:pPr>
      <w:r>
        <w:rPr>
          <w:rFonts w:hint="eastAsia" w:ascii="宋体" w:hAnsi="宋体" w:cs="宋体"/>
          <w:b/>
          <w:color w:val="auto"/>
          <w:sz w:val="36"/>
          <w:szCs w:val="36"/>
          <w:highlight w:val="none"/>
        </w:rPr>
        <w:t>2024年大丰区农村生活污水治理排查、方案编制、设计项目</w:t>
      </w: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r>
        <w:rPr>
          <w:rFonts w:hint="eastAsia" w:ascii="宋体" w:hAnsi="宋体" w:cs="宋体"/>
          <w:b/>
          <w:color w:val="auto"/>
          <w:sz w:val="84"/>
          <w:szCs w:val="84"/>
          <w:highlight w:val="none"/>
        </w:rPr>
        <w:t xml:space="preserve">招 标 文 件 </w:t>
      </w:r>
    </w:p>
    <w:p>
      <w:pPr>
        <w:spacing w:line="360" w:lineRule="auto"/>
        <w:rPr>
          <w:rFonts w:ascii="宋体" w:hAnsi="宋体" w:cs="宋体"/>
          <w:color w:val="auto"/>
          <w:sz w:val="28"/>
          <w:szCs w:val="28"/>
          <w:highlight w:val="none"/>
        </w:rPr>
      </w:pPr>
    </w:p>
    <w:p>
      <w:pPr>
        <w:pStyle w:val="9"/>
        <w:rPr>
          <w:color w:val="auto"/>
          <w:highlight w:val="none"/>
        </w:rPr>
      </w:pPr>
    </w:p>
    <w:p>
      <w:pPr>
        <w:pStyle w:val="9"/>
        <w:rPr>
          <w:color w:val="auto"/>
          <w:highlight w:val="none"/>
        </w:rPr>
      </w:pPr>
    </w:p>
    <w:p>
      <w:pPr>
        <w:spacing w:line="360" w:lineRule="auto"/>
        <w:rPr>
          <w:rFonts w:ascii="宋体" w:hAnsi="宋体" w:cs="宋体"/>
          <w:color w:val="auto"/>
          <w:sz w:val="28"/>
          <w:szCs w:val="28"/>
          <w:highlight w:val="none"/>
        </w:rPr>
      </w:pPr>
    </w:p>
    <w:p>
      <w:pPr>
        <w:pStyle w:val="27"/>
        <w:ind w:firstLine="0" w:firstLineChars="0"/>
        <w:rPr>
          <w:color w:val="auto"/>
          <w:highlight w:val="none"/>
        </w:rPr>
      </w:pPr>
    </w:p>
    <w:p>
      <w:pPr>
        <w:pStyle w:val="9"/>
        <w:rPr>
          <w:rFonts w:ascii="宋体" w:hAnsi="宋体" w:cs="宋体"/>
          <w:color w:val="auto"/>
          <w:sz w:val="28"/>
          <w:szCs w:val="28"/>
          <w:highlight w:val="none"/>
        </w:rPr>
      </w:pPr>
    </w:p>
    <w:p>
      <w:pPr>
        <w:rPr>
          <w:color w:val="auto"/>
          <w:highlight w:val="none"/>
        </w:rPr>
      </w:pPr>
    </w:p>
    <w:p>
      <w:pPr>
        <w:spacing w:line="720" w:lineRule="auto"/>
        <w:ind w:left="210" w:leftChars="100"/>
        <w:jc w:val="left"/>
        <w:rPr>
          <w:rFonts w:ascii="宋体" w:hAnsi="宋体" w:cs="宋体"/>
          <w:b/>
          <w:bCs/>
          <w:color w:val="auto"/>
          <w:sz w:val="32"/>
          <w:szCs w:val="32"/>
          <w:highlight w:val="none"/>
          <w:u w:val="single"/>
        </w:rPr>
      </w:pPr>
      <w:r>
        <w:rPr>
          <w:rFonts w:hint="eastAsia" w:ascii="宋体" w:hAnsi="宋体" w:cs="宋体"/>
          <w:color w:val="auto"/>
          <w:sz w:val="32"/>
          <w:szCs w:val="32"/>
          <w:highlight w:val="none"/>
        </w:rPr>
        <w:t xml:space="preserve"> </w:t>
      </w:r>
      <w:r>
        <w:rPr>
          <w:rFonts w:hint="eastAsia" w:ascii="宋体" w:hAnsi="宋体" w:cs="宋体"/>
          <w:b/>
          <w:bCs/>
          <w:color w:val="auto"/>
          <w:sz w:val="32"/>
          <w:szCs w:val="32"/>
          <w:highlight w:val="none"/>
        </w:rPr>
        <w:t xml:space="preserve">     招   标   人：</w:t>
      </w:r>
      <w:r>
        <w:rPr>
          <w:rFonts w:hint="eastAsia" w:ascii="宋体" w:hAnsi="宋体" w:cs="宋体"/>
          <w:b/>
          <w:bCs/>
          <w:color w:val="auto"/>
          <w:sz w:val="32"/>
          <w:szCs w:val="32"/>
          <w:highlight w:val="none"/>
          <w:u w:val="single"/>
        </w:rPr>
        <w:t>盐城市大丰区城镇净水有限公司</w:t>
      </w:r>
    </w:p>
    <w:p>
      <w:pPr>
        <w:spacing w:line="720" w:lineRule="auto"/>
        <w:ind w:left="210" w:leftChars="100"/>
        <w:jc w:val="left"/>
        <w:rPr>
          <w:rFonts w:ascii="宋体" w:hAnsi="宋体" w:cs="宋体"/>
          <w:b/>
          <w:bCs/>
          <w:color w:val="auto"/>
          <w:sz w:val="32"/>
          <w:szCs w:val="32"/>
          <w:highlight w:val="none"/>
        </w:rPr>
      </w:pPr>
      <w:r>
        <w:rPr>
          <w:rFonts w:hint="eastAsia" w:ascii="宋体" w:hAnsi="宋体" w:cs="宋体"/>
          <w:b/>
          <w:bCs/>
          <w:color w:val="auto"/>
          <w:sz w:val="32"/>
          <w:szCs w:val="32"/>
          <w:highlight w:val="none"/>
        </w:rPr>
        <w:t xml:space="preserve">      招标代理机构：</w:t>
      </w:r>
      <w:r>
        <w:rPr>
          <w:rFonts w:hint="eastAsia" w:ascii="宋体" w:hAnsi="宋体" w:cs="宋体"/>
          <w:b/>
          <w:bCs/>
          <w:color w:val="auto"/>
          <w:sz w:val="32"/>
          <w:szCs w:val="32"/>
          <w:highlight w:val="none"/>
          <w:u w:val="single"/>
        </w:rPr>
        <w:t>盐城宏源工程管理有限公司</w:t>
      </w:r>
      <w:r>
        <w:rPr>
          <w:rFonts w:hint="eastAsia" w:ascii="宋体" w:hAnsi="宋体" w:cs="宋体"/>
          <w:b/>
          <w:bCs/>
          <w:color w:val="auto"/>
          <w:sz w:val="32"/>
          <w:szCs w:val="32"/>
          <w:highlight w:val="none"/>
        </w:rPr>
        <w:t xml:space="preserve">   </w:t>
      </w:r>
    </w:p>
    <w:p>
      <w:pPr>
        <w:ind w:left="210" w:leftChars="100"/>
        <w:rPr>
          <w:rFonts w:ascii="宋体" w:hAnsi="宋体" w:cs="宋体"/>
          <w:color w:val="auto"/>
          <w:sz w:val="28"/>
          <w:szCs w:val="28"/>
          <w:highlight w:val="none"/>
        </w:rPr>
        <w:sectPr>
          <w:headerReference r:id="rId3" w:type="default"/>
          <w:pgSz w:w="11905" w:h="16838"/>
          <w:pgMar w:top="1134" w:right="1304" w:bottom="1134" w:left="1304" w:header="850" w:footer="992" w:gutter="0"/>
          <w:pgNumType w:start="1"/>
          <w:cols w:space="720" w:num="1"/>
          <w:docGrid w:type="lines" w:linePitch="317" w:charSpace="0"/>
        </w:sectPr>
      </w:pPr>
      <w:r>
        <w:rPr>
          <w:rFonts w:hint="eastAsia" w:ascii="宋体" w:hAnsi="宋体" w:cs="宋体"/>
          <w:b/>
          <w:bCs/>
          <w:color w:val="auto"/>
          <w:sz w:val="32"/>
          <w:szCs w:val="32"/>
          <w:highlight w:val="none"/>
        </w:rPr>
        <w:t xml:space="preserve">      日        期：2024年</w:t>
      </w:r>
      <w:r>
        <w:rPr>
          <w:rFonts w:hint="eastAsia" w:ascii="宋体" w:hAnsi="宋体" w:cs="宋体"/>
          <w:b/>
          <w:bCs/>
          <w:color w:val="auto"/>
          <w:sz w:val="32"/>
          <w:szCs w:val="32"/>
          <w:highlight w:val="none"/>
          <w:lang w:val="en-US" w:eastAsia="zh-CN"/>
        </w:rPr>
        <w:t>5</w:t>
      </w:r>
      <w:r>
        <w:rPr>
          <w:rFonts w:hint="eastAsia" w:ascii="宋体" w:hAnsi="宋体" w:cs="宋体"/>
          <w:b/>
          <w:bCs/>
          <w:color w:val="auto"/>
          <w:sz w:val="32"/>
          <w:szCs w:val="32"/>
          <w:highlight w:val="none"/>
        </w:rPr>
        <w:t>月</w:t>
      </w:r>
    </w:p>
    <w:p>
      <w:pPr>
        <w:pStyle w:val="9"/>
        <w:rPr>
          <w:color w:val="auto"/>
          <w:highlight w:val="none"/>
        </w:rPr>
      </w:pPr>
    </w:p>
    <w:p>
      <w:pPr>
        <w:spacing w:before="317" w:beforeLines="100" w:after="317" w:afterLines="100"/>
        <w:jc w:val="center"/>
        <w:rPr>
          <w:color w:val="auto"/>
          <w:sz w:val="32"/>
          <w:szCs w:val="40"/>
          <w:highlight w:val="none"/>
        </w:rPr>
      </w:pPr>
      <w:r>
        <w:rPr>
          <w:rFonts w:ascii="宋体" w:hAnsi="宋体"/>
          <w:color w:val="auto"/>
          <w:sz w:val="32"/>
          <w:szCs w:val="40"/>
          <w:highlight w:val="none"/>
        </w:rPr>
        <w:t>目录</w:t>
      </w:r>
      <w:bookmarkStart w:id="466" w:name="_GoBack"/>
      <w:bookmarkEnd w:id="466"/>
    </w:p>
    <w:p>
      <w:pPr>
        <w:pStyle w:val="28"/>
        <w:tabs>
          <w:tab w:val="right" w:leader="dot" w:pos="9639"/>
        </w:tabs>
        <w:spacing w:line="600" w:lineRule="auto"/>
        <w:rPr>
          <w:color w:val="auto"/>
          <w:sz w:val="24"/>
          <w:szCs w:val="24"/>
          <w:highlight w:val="none"/>
        </w:rPr>
      </w:pPr>
      <w:r>
        <w:rPr>
          <w:rFonts w:ascii="宋体" w:hAnsi="宋体"/>
          <w:b/>
          <w:bCs/>
          <w:color w:val="auto"/>
          <w:sz w:val="24"/>
          <w:szCs w:val="24"/>
          <w:highlight w:val="none"/>
        </w:rPr>
        <w:fldChar w:fldCharType="begin"/>
      </w:r>
      <w:r>
        <w:rPr>
          <w:rFonts w:ascii="宋体" w:hAnsi="宋体"/>
          <w:b/>
          <w:bCs/>
          <w:color w:val="auto"/>
          <w:sz w:val="24"/>
          <w:szCs w:val="24"/>
          <w:highlight w:val="none"/>
        </w:rPr>
        <w:instrText xml:space="preserve">TOC \o "1-1" \h \u </w:instrText>
      </w:r>
      <w:r>
        <w:rPr>
          <w:rFonts w:ascii="宋体" w:hAnsi="宋体"/>
          <w:b/>
          <w:bCs/>
          <w:color w:val="auto"/>
          <w:sz w:val="24"/>
          <w:szCs w:val="24"/>
          <w:highlight w:val="none"/>
        </w:rPr>
        <w:fldChar w:fldCharType="separate"/>
      </w:r>
      <w:r>
        <w:rPr>
          <w:color w:val="auto"/>
          <w:highlight w:val="none"/>
        </w:rPr>
        <w:fldChar w:fldCharType="begin"/>
      </w:r>
      <w:r>
        <w:rPr>
          <w:color w:val="auto"/>
          <w:highlight w:val="none"/>
        </w:rPr>
        <w:instrText xml:space="preserve"> HYPERLINK \l "_Toc24234" </w:instrText>
      </w:r>
      <w:r>
        <w:rPr>
          <w:color w:val="auto"/>
          <w:highlight w:val="none"/>
        </w:rPr>
        <w:fldChar w:fldCharType="separate"/>
      </w:r>
      <w:r>
        <w:rPr>
          <w:rFonts w:hint="eastAsia" w:ascii="宋体" w:hAnsi="宋体"/>
          <w:color w:val="auto"/>
          <w:sz w:val="24"/>
          <w:szCs w:val="24"/>
          <w:highlight w:val="none"/>
        </w:rPr>
        <w:t>第一章  招标公告</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_Toc24234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28"/>
        <w:tabs>
          <w:tab w:val="right" w:leader="dot" w:pos="9639"/>
        </w:tabs>
        <w:spacing w:line="600" w:lineRule="auto"/>
        <w:rPr>
          <w:color w:val="auto"/>
          <w:sz w:val="24"/>
          <w:szCs w:val="24"/>
          <w:highlight w:val="none"/>
        </w:rPr>
      </w:pPr>
      <w:r>
        <w:rPr>
          <w:color w:val="auto"/>
          <w:highlight w:val="none"/>
        </w:rPr>
        <w:fldChar w:fldCharType="begin"/>
      </w:r>
      <w:r>
        <w:rPr>
          <w:color w:val="auto"/>
          <w:highlight w:val="none"/>
        </w:rPr>
        <w:instrText xml:space="preserve"> HYPERLINK \l "_Toc21594" </w:instrText>
      </w:r>
      <w:r>
        <w:rPr>
          <w:color w:val="auto"/>
          <w:highlight w:val="none"/>
        </w:rPr>
        <w:fldChar w:fldCharType="separate"/>
      </w:r>
      <w:r>
        <w:rPr>
          <w:rFonts w:ascii="宋体" w:hAnsi="宋体"/>
          <w:color w:val="auto"/>
          <w:sz w:val="24"/>
          <w:szCs w:val="24"/>
          <w:highlight w:val="none"/>
        </w:rPr>
        <w:t>第二章  投标人须知</w:t>
      </w:r>
      <w:r>
        <w:rPr>
          <w:color w:val="auto"/>
          <w:sz w:val="24"/>
          <w:szCs w:val="24"/>
          <w:highlight w:val="none"/>
        </w:rPr>
        <w:tab/>
      </w:r>
      <w:r>
        <w:rPr>
          <w:rFonts w:hint="eastAsia"/>
          <w:color w:val="auto"/>
          <w:sz w:val="24"/>
          <w:szCs w:val="24"/>
          <w:highlight w:val="none"/>
          <w:lang w:val="en-US" w:eastAsia="zh-CN"/>
        </w:rPr>
        <w:t>4</w:t>
      </w:r>
      <w:r>
        <w:rPr>
          <w:rFonts w:hint="eastAsia"/>
          <w:color w:val="auto"/>
          <w:sz w:val="24"/>
          <w:szCs w:val="24"/>
          <w:highlight w:val="none"/>
        </w:rPr>
        <w:fldChar w:fldCharType="end"/>
      </w:r>
    </w:p>
    <w:p>
      <w:pPr>
        <w:pStyle w:val="28"/>
        <w:tabs>
          <w:tab w:val="right" w:leader="dot" w:pos="9781"/>
        </w:tabs>
        <w:spacing w:line="600" w:lineRule="auto"/>
        <w:rPr>
          <w:rFonts w:hint="default"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"_Toc29139" </w:instrText>
      </w:r>
      <w:r>
        <w:rPr>
          <w:color w:val="auto"/>
          <w:highlight w:val="none"/>
        </w:rPr>
        <w:fldChar w:fldCharType="separate"/>
      </w:r>
      <w:r>
        <w:rPr>
          <w:rFonts w:hint="eastAsia" w:ascii="宋体" w:hAnsi="宋体"/>
          <w:color w:val="auto"/>
          <w:sz w:val="24"/>
          <w:szCs w:val="24"/>
          <w:highlight w:val="none"/>
        </w:rPr>
        <w:t>第三章  评标办法（综合评分法）</w:t>
      </w:r>
      <w:r>
        <w:rPr>
          <w:color w:val="auto"/>
          <w:sz w:val="24"/>
          <w:szCs w:val="24"/>
          <w:highlight w:val="none"/>
        </w:rPr>
        <w:tab/>
      </w:r>
      <w:r>
        <w:rPr>
          <w:rFonts w:hint="eastAsia"/>
          <w:color w:val="auto"/>
          <w:sz w:val="24"/>
          <w:szCs w:val="24"/>
          <w:highlight w:val="none"/>
        </w:rPr>
        <w:fldChar w:fldCharType="end"/>
      </w:r>
      <w:r>
        <w:rPr>
          <w:rFonts w:hint="eastAsia"/>
          <w:color w:val="auto"/>
          <w:sz w:val="24"/>
          <w:szCs w:val="24"/>
          <w:highlight w:val="none"/>
          <w:lang w:val="en-US" w:eastAsia="zh-CN"/>
        </w:rPr>
        <w:t>19</w:t>
      </w:r>
    </w:p>
    <w:p>
      <w:pPr>
        <w:pStyle w:val="28"/>
        <w:tabs>
          <w:tab w:val="right" w:leader="dot" w:pos="9781"/>
        </w:tabs>
        <w:spacing w:line="600" w:lineRule="auto"/>
        <w:rPr>
          <w:rFonts w:hint="eastAsia" w:eastAsia="宋体"/>
          <w:color w:val="auto"/>
          <w:sz w:val="24"/>
          <w:szCs w:val="24"/>
          <w:highlight w:val="none"/>
          <w:lang w:eastAsia="zh-CN"/>
        </w:rPr>
      </w:pPr>
      <w:r>
        <w:rPr>
          <w:color w:val="auto"/>
          <w:highlight w:val="none"/>
        </w:rPr>
        <w:fldChar w:fldCharType="begin"/>
      </w:r>
      <w:r>
        <w:rPr>
          <w:color w:val="auto"/>
          <w:highlight w:val="none"/>
        </w:rPr>
        <w:instrText xml:space="preserve"> HYPERLINK \l "_Toc1147" </w:instrText>
      </w:r>
      <w:r>
        <w:rPr>
          <w:color w:val="auto"/>
          <w:highlight w:val="none"/>
        </w:rPr>
        <w:fldChar w:fldCharType="separate"/>
      </w:r>
      <w:r>
        <w:rPr>
          <w:rFonts w:hint="eastAsia" w:ascii="宋体" w:hAnsi="宋体" w:cs="宋体"/>
          <w:color w:val="auto"/>
          <w:sz w:val="24"/>
          <w:szCs w:val="24"/>
          <w:highlight w:val="none"/>
        </w:rPr>
        <w:t>第四章  合同条款及格式</w:t>
      </w:r>
      <w:r>
        <w:rPr>
          <w:color w:val="auto"/>
          <w:sz w:val="24"/>
          <w:szCs w:val="24"/>
          <w:highlight w:val="none"/>
        </w:rPr>
        <w:tab/>
      </w:r>
      <w:r>
        <w:rPr>
          <w:rFonts w:hint="eastAsia"/>
          <w:color w:val="auto"/>
          <w:sz w:val="24"/>
          <w:szCs w:val="24"/>
          <w:highlight w:val="none"/>
        </w:rPr>
        <w:t>2</w:t>
      </w:r>
      <w:r>
        <w:rPr>
          <w:rFonts w:hint="eastAsia"/>
          <w:color w:val="auto"/>
          <w:sz w:val="24"/>
          <w:szCs w:val="24"/>
          <w:highlight w:val="none"/>
        </w:rPr>
        <w:fldChar w:fldCharType="end"/>
      </w:r>
      <w:r>
        <w:rPr>
          <w:rFonts w:hint="eastAsia"/>
          <w:color w:val="auto"/>
          <w:sz w:val="24"/>
          <w:szCs w:val="24"/>
          <w:highlight w:val="none"/>
          <w:lang w:val="en-US" w:eastAsia="zh-CN"/>
        </w:rPr>
        <w:t>4</w:t>
      </w:r>
    </w:p>
    <w:p>
      <w:pPr>
        <w:pStyle w:val="28"/>
        <w:tabs>
          <w:tab w:val="right" w:leader="dot" w:pos="9781"/>
        </w:tabs>
        <w:spacing w:line="600" w:lineRule="auto"/>
        <w:rPr>
          <w:rFonts w:hint="default"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"_Toc5948" </w:instrText>
      </w:r>
      <w:r>
        <w:rPr>
          <w:color w:val="auto"/>
          <w:highlight w:val="none"/>
        </w:rPr>
        <w:fldChar w:fldCharType="separate"/>
      </w:r>
      <w:r>
        <w:rPr>
          <w:rFonts w:hint="eastAsia" w:ascii="宋体" w:hAnsi="宋体" w:cs="宋体"/>
          <w:color w:val="auto"/>
          <w:sz w:val="24"/>
          <w:szCs w:val="24"/>
          <w:highlight w:val="none"/>
        </w:rPr>
        <w:t>第五章  采购需求</w:t>
      </w:r>
      <w:r>
        <w:rPr>
          <w:color w:val="auto"/>
          <w:sz w:val="24"/>
          <w:szCs w:val="24"/>
          <w:highlight w:val="none"/>
        </w:rPr>
        <w:tab/>
      </w:r>
      <w:r>
        <w:rPr>
          <w:rFonts w:hint="eastAsia"/>
          <w:color w:val="auto"/>
          <w:sz w:val="24"/>
          <w:szCs w:val="24"/>
          <w:highlight w:val="none"/>
        </w:rPr>
        <w:fldChar w:fldCharType="end"/>
      </w:r>
      <w:r>
        <w:rPr>
          <w:rFonts w:hint="eastAsia"/>
          <w:color w:val="auto"/>
          <w:sz w:val="24"/>
          <w:szCs w:val="24"/>
          <w:highlight w:val="none"/>
          <w:lang w:val="en-US" w:eastAsia="zh-CN"/>
        </w:rPr>
        <w:t>29</w:t>
      </w:r>
    </w:p>
    <w:p>
      <w:pPr>
        <w:pStyle w:val="28"/>
        <w:tabs>
          <w:tab w:val="right" w:leader="dot" w:pos="9781"/>
        </w:tabs>
        <w:spacing w:line="600" w:lineRule="auto"/>
        <w:rPr>
          <w:rFonts w:hint="eastAsia"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"_Toc6908" </w:instrText>
      </w:r>
      <w:r>
        <w:rPr>
          <w:color w:val="auto"/>
          <w:highlight w:val="none"/>
        </w:rPr>
        <w:fldChar w:fldCharType="separate"/>
      </w:r>
      <w:r>
        <w:rPr>
          <w:rFonts w:hint="eastAsia" w:ascii="宋体" w:hAnsi="宋体"/>
          <w:color w:val="auto"/>
          <w:sz w:val="24"/>
          <w:szCs w:val="24"/>
          <w:highlight w:val="none"/>
        </w:rPr>
        <w:t>第六章  投标文件格式</w:t>
      </w:r>
      <w:r>
        <w:rPr>
          <w:color w:val="auto"/>
          <w:sz w:val="24"/>
          <w:szCs w:val="24"/>
          <w:highlight w:val="none"/>
        </w:rPr>
        <w:tab/>
      </w:r>
      <w:r>
        <w:rPr>
          <w:color w:val="auto"/>
          <w:sz w:val="24"/>
          <w:szCs w:val="24"/>
          <w:highlight w:val="none"/>
        </w:rPr>
        <w:fldChar w:fldCharType="end"/>
      </w:r>
      <w:r>
        <w:rPr>
          <w:rFonts w:hint="eastAsia"/>
          <w:color w:val="auto"/>
          <w:sz w:val="24"/>
          <w:szCs w:val="24"/>
          <w:highlight w:val="none"/>
        </w:rPr>
        <w:t>3</w:t>
      </w:r>
      <w:r>
        <w:rPr>
          <w:rFonts w:hint="eastAsia"/>
          <w:color w:val="auto"/>
          <w:sz w:val="24"/>
          <w:szCs w:val="24"/>
          <w:highlight w:val="none"/>
          <w:lang w:val="en-US" w:eastAsia="zh-CN"/>
        </w:rPr>
        <w:t>1</w:t>
      </w:r>
    </w:p>
    <w:p>
      <w:pPr>
        <w:spacing w:line="600" w:lineRule="auto"/>
        <w:rPr>
          <w:rFonts w:ascii="宋体" w:hAnsi="宋体"/>
          <w:b/>
          <w:bCs/>
          <w:color w:val="auto"/>
          <w:sz w:val="32"/>
          <w:szCs w:val="32"/>
          <w:highlight w:val="none"/>
        </w:rPr>
      </w:pPr>
      <w:r>
        <w:rPr>
          <w:rFonts w:ascii="宋体" w:hAnsi="宋体"/>
          <w:bCs/>
          <w:color w:val="auto"/>
          <w:sz w:val="24"/>
          <w:highlight w:val="none"/>
        </w:rPr>
        <w:fldChar w:fldCharType="end"/>
      </w:r>
    </w:p>
    <w:p>
      <w:pPr>
        <w:pStyle w:val="9"/>
        <w:rPr>
          <w:rFonts w:ascii="宋体" w:hAnsi="宋体"/>
          <w:b/>
          <w:bCs/>
          <w:color w:val="auto"/>
          <w:sz w:val="32"/>
          <w:szCs w:val="32"/>
          <w:highlight w:val="none"/>
        </w:rPr>
      </w:pPr>
    </w:p>
    <w:p>
      <w:pPr>
        <w:rPr>
          <w:rFonts w:ascii="宋体" w:hAnsi="宋体"/>
          <w:b/>
          <w:bCs/>
          <w:color w:val="auto"/>
          <w:sz w:val="32"/>
          <w:szCs w:val="32"/>
          <w:highlight w:val="none"/>
        </w:rPr>
      </w:pPr>
    </w:p>
    <w:p>
      <w:pPr>
        <w:pStyle w:val="9"/>
        <w:rPr>
          <w:rFonts w:ascii="宋体" w:hAnsi="宋体"/>
          <w:b/>
          <w:bCs/>
          <w:color w:val="auto"/>
          <w:sz w:val="32"/>
          <w:szCs w:val="32"/>
          <w:highlight w:val="none"/>
        </w:rPr>
      </w:pPr>
    </w:p>
    <w:p>
      <w:pPr>
        <w:rPr>
          <w:rFonts w:ascii="宋体" w:hAnsi="宋体"/>
          <w:b/>
          <w:bCs/>
          <w:color w:val="auto"/>
          <w:sz w:val="32"/>
          <w:szCs w:val="32"/>
          <w:highlight w:val="none"/>
        </w:rPr>
      </w:pPr>
    </w:p>
    <w:p>
      <w:pPr>
        <w:pStyle w:val="9"/>
        <w:rPr>
          <w:color w:val="auto"/>
          <w:highlight w:val="none"/>
        </w:rPr>
      </w:pPr>
    </w:p>
    <w:p>
      <w:pPr>
        <w:spacing w:line="800" w:lineRule="exact"/>
        <w:jc w:val="center"/>
        <w:rPr>
          <w:rFonts w:ascii="宋体" w:hAnsi="宋体"/>
          <w:b/>
          <w:bCs/>
          <w:color w:val="auto"/>
          <w:sz w:val="32"/>
          <w:szCs w:val="32"/>
          <w:highlight w:val="none"/>
        </w:rPr>
      </w:pPr>
    </w:p>
    <w:p>
      <w:pPr>
        <w:spacing w:line="800" w:lineRule="exact"/>
        <w:jc w:val="center"/>
        <w:rPr>
          <w:rFonts w:ascii="宋体" w:hAnsi="宋体"/>
          <w:b/>
          <w:bCs/>
          <w:color w:val="auto"/>
          <w:sz w:val="32"/>
          <w:szCs w:val="32"/>
          <w:highlight w:val="none"/>
        </w:rPr>
      </w:pPr>
    </w:p>
    <w:p>
      <w:pPr>
        <w:pStyle w:val="2"/>
        <w:spacing w:before="0" w:after="0" w:line="360" w:lineRule="auto"/>
        <w:rPr>
          <w:rFonts w:ascii="宋体" w:hAnsi="宋体"/>
          <w:color w:val="auto"/>
          <w:sz w:val="40"/>
          <w:szCs w:val="40"/>
          <w:highlight w:val="none"/>
        </w:rPr>
        <w:sectPr>
          <w:footerReference r:id="rId4" w:type="default"/>
          <w:pgSz w:w="11905" w:h="16838"/>
          <w:pgMar w:top="1134" w:right="1304" w:bottom="1134" w:left="1304" w:header="850" w:footer="992" w:gutter="0"/>
          <w:cols w:space="720" w:num="1"/>
          <w:docGrid w:type="lines" w:linePitch="317" w:charSpace="0"/>
        </w:sectPr>
      </w:pPr>
      <w:bookmarkStart w:id="0" w:name="_Toc24234"/>
      <w:bookmarkStart w:id="1" w:name="_Toc508216877"/>
      <w:bookmarkStart w:id="2" w:name="OLE_LINK4"/>
      <w:bookmarkStart w:id="3" w:name="_Toc369077550"/>
      <w:bookmarkStart w:id="4" w:name="OLE_LINK3"/>
      <w:bookmarkStart w:id="5" w:name="OLE_LINK1"/>
      <w:bookmarkStart w:id="6" w:name="_Toc368759511"/>
      <w:bookmarkStart w:id="7" w:name="OLE_LINK5"/>
      <w:bookmarkStart w:id="8" w:name="OLE_LINK6"/>
      <w:bookmarkStart w:id="9" w:name="OLE_LINK2"/>
    </w:p>
    <w:p>
      <w:pPr>
        <w:pStyle w:val="2"/>
        <w:spacing w:before="0" w:after="0" w:line="360" w:lineRule="auto"/>
        <w:rPr>
          <w:rFonts w:ascii="宋体" w:hAnsi="宋体"/>
          <w:color w:val="auto"/>
          <w:highlight w:val="none"/>
        </w:rPr>
      </w:pPr>
      <w:r>
        <w:rPr>
          <w:rFonts w:hint="eastAsia" w:ascii="宋体" w:hAnsi="宋体"/>
          <w:color w:val="auto"/>
          <w:sz w:val="40"/>
          <w:szCs w:val="40"/>
          <w:highlight w:val="none"/>
        </w:rPr>
        <w:t>第一章  招标公告</w:t>
      </w:r>
      <w:bookmarkEnd w:id="0"/>
      <w:bookmarkEnd w:id="1"/>
    </w:p>
    <w:bookmarkEnd w:id="2"/>
    <w:bookmarkEnd w:id="3"/>
    <w:bookmarkEnd w:id="4"/>
    <w:bookmarkEnd w:id="5"/>
    <w:bookmarkEnd w:id="6"/>
    <w:bookmarkEnd w:id="7"/>
    <w:bookmarkEnd w:id="8"/>
    <w:bookmarkEnd w:id="9"/>
    <w:p>
      <w:pPr>
        <w:keepNext w:val="0"/>
        <w:keepLines w:val="0"/>
        <w:pageBreakBefore w:val="0"/>
        <w:kinsoku/>
        <w:wordWrap/>
        <w:overflowPunct/>
        <w:topLinePunct w:val="0"/>
        <w:bidi w:val="0"/>
        <w:adjustRightInd/>
        <w:snapToGrid/>
        <w:spacing w:line="440" w:lineRule="exact"/>
        <w:ind w:firstLine="420" w:firstLineChars="200"/>
        <w:jc w:val="left"/>
        <w:textAlignment w:val="auto"/>
        <w:rPr>
          <w:szCs w:val="21"/>
        </w:rPr>
      </w:pPr>
      <w:bookmarkStart w:id="10" w:name="_Toc397928547"/>
      <w:bookmarkStart w:id="11" w:name="_Toc387526281"/>
      <w:bookmarkStart w:id="12" w:name="_Toc184635069"/>
      <w:bookmarkStart w:id="13" w:name="_Toc368759512"/>
      <w:bookmarkStart w:id="14" w:name="_Toc6770"/>
      <w:bookmarkStart w:id="15" w:name="_Toc387526373"/>
      <w:bookmarkStart w:id="16" w:name="_Toc363326679"/>
      <w:bookmarkStart w:id="17" w:name="_Toc369077558"/>
      <w:bookmarkStart w:id="18" w:name="_Toc387526177"/>
      <w:bookmarkStart w:id="19" w:name="_Toc508216878"/>
      <w:r>
        <w:rPr>
          <w:rFonts w:hint="eastAsia" w:ascii="宋体" w:hAnsi="宋体" w:cs="宋体"/>
          <w:szCs w:val="21"/>
        </w:rPr>
        <w:t>项目概况：</w:t>
      </w:r>
      <w:r>
        <w:rPr>
          <w:rFonts w:hint="eastAsia"/>
          <w:szCs w:val="21"/>
          <w:u w:val="single"/>
        </w:rPr>
        <w:t>2024年大丰区农村生活污水治理排查、方案编制、设计项目</w:t>
      </w:r>
      <w:r>
        <w:rPr>
          <w:rFonts w:hint="eastAsia"/>
          <w:szCs w:val="21"/>
        </w:rPr>
        <w:t>的潜在投标人应在“新点电子交易平台-大丰政府采购系统”（网址：</w:t>
      </w:r>
      <w:r>
        <w:rPr>
          <w:rFonts w:hint="eastAsia"/>
          <w:szCs w:val="21"/>
        </w:rPr>
        <w:fldChar w:fldCharType="begin"/>
      </w:r>
      <w:r>
        <w:rPr>
          <w:rFonts w:hint="eastAsia"/>
          <w:szCs w:val="21"/>
        </w:rPr>
        <w:instrText xml:space="preserve"> HYPERLINK "https://www.etrading.cn/BREpointSSO/login/oauth2login）获取招标文件，并于2023年7月" </w:instrText>
      </w:r>
      <w:r>
        <w:rPr>
          <w:rFonts w:hint="eastAsia"/>
          <w:szCs w:val="21"/>
        </w:rPr>
        <w:fldChar w:fldCharType="separate"/>
      </w:r>
      <w:r>
        <w:rPr>
          <w:rFonts w:hint="eastAsia"/>
          <w:szCs w:val="21"/>
        </w:rPr>
        <w:t>https://www.etrading.cn/BREpointSSO/login/oauth2login）</w:t>
      </w:r>
      <w:r>
        <w:rPr>
          <w:rFonts w:hint="eastAsia"/>
          <w:szCs w:val="21"/>
        </w:rPr>
        <w:fldChar w:fldCharType="end"/>
      </w:r>
      <w:r>
        <w:rPr>
          <w:rStyle w:val="24"/>
          <w:rFonts w:hint="eastAsia" w:ascii="宋体" w:hAnsi="宋体" w:cs="宋体"/>
          <w:color w:val="000000"/>
          <w:szCs w:val="21"/>
        </w:rPr>
        <w:t>获取招标文件，并于</w:t>
      </w:r>
      <w:r>
        <w:rPr>
          <w:rStyle w:val="24"/>
          <w:rFonts w:hint="eastAsia" w:ascii="宋体" w:hAnsi="宋体" w:cs="宋体"/>
          <w:color w:val="000000"/>
          <w:szCs w:val="21"/>
          <w:u w:val="single"/>
          <w:lang w:val="en-US" w:eastAsia="zh-CN"/>
        </w:rPr>
        <w:t>2024</w:t>
      </w:r>
      <w:r>
        <w:rPr>
          <w:rStyle w:val="24"/>
          <w:rFonts w:hint="eastAsia" w:ascii="宋体" w:hAnsi="宋体" w:cs="宋体"/>
          <w:color w:val="000000"/>
          <w:szCs w:val="21"/>
        </w:rPr>
        <w:t>年</w:t>
      </w:r>
      <w:r>
        <w:rPr>
          <w:rStyle w:val="24"/>
          <w:rFonts w:hint="eastAsia" w:ascii="宋体" w:hAnsi="宋体" w:cs="宋体"/>
          <w:color w:val="000000"/>
          <w:szCs w:val="21"/>
          <w:u w:val="single"/>
          <w:lang w:val="en-US" w:eastAsia="zh-CN"/>
        </w:rPr>
        <w:t>05</w:t>
      </w:r>
      <w:r>
        <w:rPr>
          <w:rStyle w:val="24"/>
          <w:rFonts w:hint="eastAsia" w:ascii="宋体" w:hAnsi="宋体" w:cs="宋体"/>
          <w:color w:val="000000"/>
          <w:szCs w:val="21"/>
        </w:rPr>
        <w:t>月</w:t>
      </w:r>
      <w:r>
        <w:rPr>
          <w:rStyle w:val="24"/>
          <w:rFonts w:hint="eastAsia" w:ascii="宋体" w:hAnsi="宋体" w:cs="宋体"/>
          <w:color w:val="000000"/>
          <w:szCs w:val="21"/>
          <w:u w:val="single"/>
          <w:lang w:val="en-US" w:eastAsia="zh-CN"/>
        </w:rPr>
        <w:t>31</w:t>
      </w:r>
      <w:r>
        <w:rPr>
          <w:rStyle w:val="24"/>
          <w:rFonts w:hint="eastAsia" w:ascii="宋体" w:hAnsi="宋体" w:cs="宋体"/>
          <w:color w:val="000000"/>
          <w:szCs w:val="21"/>
        </w:rPr>
        <w:t>日</w:t>
      </w:r>
      <w:r>
        <w:rPr>
          <w:rStyle w:val="24"/>
          <w:rFonts w:hint="eastAsia" w:ascii="宋体" w:hAnsi="宋体" w:cs="宋体"/>
          <w:color w:val="000000"/>
          <w:szCs w:val="21"/>
          <w:u w:val="single"/>
        </w:rPr>
        <w:t>09</w:t>
      </w:r>
      <w:r>
        <w:rPr>
          <w:rFonts w:hint="eastAsia" w:ascii="宋体" w:hAnsi="宋体" w:cs="宋体"/>
          <w:color w:val="000000"/>
          <w:szCs w:val="21"/>
        </w:rPr>
        <w:t>时</w:t>
      </w:r>
      <w:r>
        <w:rPr>
          <w:rFonts w:hint="eastAsia" w:ascii="宋体" w:hAnsi="宋体" w:cs="宋体"/>
          <w:color w:val="000000"/>
          <w:szCs w:val="21"/>
          <w:u w:val="single"/>
        </w:rPr>
        <w:t>00</w:t>
      </w:r>
      <w:r>
        <w:rPr>
          <w:rFonts w:hint="eastAsia" w:ascii="宋体" w:hAnsi="宋体" w:cs="宋体"/>
          <w:color w:val="000000"/>
          <w:szCs w:val="21"/>
        </w:rPr>
        <w:t>分</w:t>
      </w:r>
      <w:r>
        <w:rPr>
          <w:rFonts w:hint="eastAsia" w:ascii="宋体" w:hAnsi="宋体" w:cs="宋体"/>
          <w:color w:val="000000"/>
          <w:szCs w:val="21"/>
          <w:u w:val="single"/>
        </w:rPr>
        <w:t>00</w:t>
      </w:r>
      <w:r>
        <w:rPr>
          <w:rFonts w:hint="eastAsia" w:ascii="宋体" w:hAnsi="宋体" w:cs="宋体"/>
          <w:color w:val="000000"/>
          <w:szCs w:val="21"/>
        </w:rPr>
        <w:t>秒（北京时间）前递交投标文件。</w:t>
      </w:r>
    </w:p>
    <w:p>
      <w:pPr>
        <w:keepNext w:val="0"/>
        <w:keepLines w:val="0"/>
        <w:pageBreakBefore w:val="0"/>
        <w:kinsoku/>
        <w:wordWrap/>
        <w:overflowPunct/>
        <w:topLinePunct w:val="0"/>
        <w:bidi w:val="0"/>
        <w:adjustRightInd/>
        <w:snapToGrid/>
        <w:spacing w:line="440" w:lineRule="exact"/>
        <w:ind w:firstLine="442" w:firstLineChars="200"/>
        <w:textAlignment w:val="auto"/>
        <w:rPr>
          <w:rFonts w:ascii="宋体" w:hAnsi="宋体" w:cs="宋体"/>
          <w:sz w:val="22"/>
          <w:szCs w:val="22"/>
        </w:rPr>
      </w:pPr>
      <w:r>
        <w:rPr>
          <w:rFonts w:hint="eastAsia" w:ascii="宋体" w:hAnsi="宋体" w:cs="宋体"/>
          <w:b/>
          <w:bCs/>
          <w:sz w:val="22"/>
          <w:szCs w:val="22"/>
        </w:rPr>
        <w:t>一、项目基本概况</w:t>
      </w:r>
    </w:p>
    <w:p>
      <w:pPr>
        <w:keepNext w:val="0"/>
        <w:keepLines w:val="0"/>
        <w:pageBreakBefore w:val="0"/>
        <w:kinsoku/>
        <w:wordWrap/>
        <w:overflowPunct/>
        <w:topLinePunct w:val="0"/>
        <w:bidi w:val="0"/>
        <w:adjustRightInd/>
        <w:snapToGrid/>
        <w:spacing w:line="44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（1）项目编号：</w:t>
      </w:r>
      <w:r>
        <w:rPr>
          <w:rFonts w:hint="eastAsia" w:ascii="宋体" w:hAnsi="宋体" w:cs="宋体"/>
          <w:color w:val="auto"/>
          <w:szCs w:val="21"/>
          <w:lang w:val="en-US" w:eastAsia="zh-CN"/>
        </w:rPr>
        <w:t>DFCG202405003</w:t>
      </w:r>
      <w:r>
        <w:rPr>
          <w:rFonts w:hint="eastAsia" w:ascii="宋体" w:hAnsi="宋体" w:cs="宋体"/>
          <w:color w:val="auto"/>
          <w:szCs w:val="21"/>
        </w:rPr>
        <w:t xml:space="preserve"> </w:t>
      </w:r>
    </w:p>
    <w:p>
      <w:pPr>
        <w:keepNext w:val="0"/>
        <w:keepLines w:val="0"/>
        <w:pageBreakBefore w:val="0"/>
        <w:kinsoku/>
        <w:wordWrap/>
        <w:overflowPunct/>
        <w:topLinePunct w:val="0"/>
        <w:bidi w:val="0"/>
        <w:adjustRightInd/>
        <w:snapToGrid/>
        <w:spacing w:line="44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 xml:space="preserve">（2）项目名称：2024年大丰区农村生活污水治理排查、方案编制、设计项目 </w:t>
      </w:r>
    </w:p>
    <w:p>
      <w:pPr>
        <w:keepNext w:val="0"/>
        <w:keepLines w:val="0"/>
        <w:pageBreakBefore w:val="0"/>
        <w:kinsoku/>
        <w:wordWrap/>
        <w:overflowPunct/>
        <w:topLinePunct w:val="0"/>
        <w:bidi w:val="0"/>
        <w:adjustRightInd/>
        <w:snapToGrid/>
        <w:spacing w:line="440" w:lineRule="exact"/>
        <w:ind w:firstLine="420" w:firstLineChars="200"/>
        <w:textAlignment w:val="auto"/>
        <w:rPr>
          <w:color w:val="auto"/>
        </w:rPr>
      </w:pPr>
      <w:r>
        <w:rPr>
          <w:rFonts w:hint="eastAsia" w:ascii="宋体" w:hAnsi="宋体" w:cs="宋体"/>
          <w:color w:val="auto"/>
          <w:szCs w:val="21"/>
        </w:rPr>
        <w:t>（3）预算金额：</w:t>
      </w:r>
      <w:r>
        <w:rPr>
          <w:rFonts w:hint="eastAsia" w:ascii="宋体" w:hAnsi="宋体" w:cs="宋体"/>
          <w:color w:val="auto"/>
          <w:szCs w:val="21"/>
          <w:u w:val="single"/>
        </w:rPr>
        <w:t>98</w:t>
      </w:r>
      <w:r>
        <w:rPr>
          <w:rFonts w:hint="eastAsia" w:ascii="宋体" w:hAnsi="宋体" w:cs="宋体"/>
          <w:color w:val="auto"/>
          <w:szCs w:val="21"/>
        </w:rPr>
        <w:t>万元</w:t>
      </w:r>
    </w:p>
    <w:p>
      <w:pPr>
        <w:keepNext w:val="0"/>
        <w:keepLines w:val="0"/>
        <w:pageBreakBefore w:val="0"/>
        <w:kinsoku/>
        <w:wordWrap/>
        <w:overflowPunct/>
        <w:topLinePunct w:val="0"/>
        <w:bidi w:val="0"/>
        <w:adjustRightInd/>
        <w:snapToGrid/>
        <w:spacing w:line="440" w:lineRule="exact"/>
        <w:ind w:firstLine="420" w:firstLineChars="200"/>
        <w:textAlignment w:val="auto"/>
        <w:rPr>
          <w:rFonts w:ascii="宋体" w:hAnsi="宋体" w:cs="宋体"/>
          <w:color w:val="auto"/>
          <w:szCs w:val="21"/>
        </w:rPr>
      </w:pPr>
      <w:r>
        <w:rPr>
          <w:rFonts w:hint="eastAsia" w:ascii="宋体" w:hAnsi="宋体" w:cs="宋体"/>
          <w:color w:val="auto"/>
          <w:szCs w:val="21"/>
        </w:rPr>
        <w:t>（4）最高限价：</w:t>
      </w:r>
      <w:r>
        <w:rPr>
          <w:rFonts w:hint="eastAsia" w:ascii="宋体" w:hAnsi="宋体" w:cs="宋体"/>
          <w:color w:val="auto"/>
          <w:szCs w:val="21"/>
          <w:u w:val="single"/>
        </w:rPr>
        <w:t>98</w:t>
      </w:r>
      <w:r>
        <w:rPr>
          <w:rFonts w:hint="eastAsia" w:ascii="宋体" w:hAnsi="宋体" w:cs="宋体"/>
          <w:color w:val="auto"/>
          <w:szCs w:val="21"/>
        </w:rPr>
        <w:t>万元</w:t>
      </w:r>
    </w:p>
    <w:p>
      <w:pPr>
        <w:keepNext w:val="0"/>
        <w:keepLines w:val="0"/>
        <w:pageBreakBefore w:val="0"/>
        <w:kinsoku/>
        <w:wordWrap/>
        <w:overflowPunct/>
        <w:topLinePunct w:val="0"/>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宋体" w:hAnsi="宋体" w:cs="宋体"/>
          <w:color w:val="auto"/>
          <w:szCs w:val="21"/>
        </w:rPr>
        <w:t>（5）采购需求</w:t>
      </w:r>
      <w:bookmarkStart w:id="20" w:name="_Hlk164109112"/>
      <w:r>
        <w:rPr>
          <w:rFonts w:hint="eastAsia" w:ascii="宋体" w:hAnsi="宋体" w:cs="宋体"/>
          <w:color w:val="auto"/>
          <w:szCs w:val="21"/>
        </w:rPr>
        <w:t>：</w:t>
      </w:r>
      <w:bookmarkEnd w:id="20"/>
      <w:r>
        <w:rPr>
          <w:rFonts w:hint="eastAsia" w:ascii="宋体" w:hAnsi="宋体" w:cs="宋体"/>
          <w:color w:val="auto"/>
          <w:szCs w:val="21"/>
        </w:rPr>
        <w:t>包括但不限于本工程实施范围对大丰区内2 个街道（大中街道、丰华街道）、9 个乡镇（万盈镇、白驹镇、小海镇、新丰镇、刘庄镇、三龙镇、草堰镇、大桥镇、草庙镇），涉及28 个行政村，38个自然村的生活污水治理进行调研</w:t>
      </w:r>
      <w:r>
        <w:rPr>
          <w:rFonts w:hint="eastAsia" w:ascii="宋体" w:hAnsi="宋体" w:cs="宋体"/>
          <w:szCs w:val="21"/>
        </w:rPr>
        <w:t>、排查，确定每个村的实施范围、户数、治理方式等内容，根据调研排查结果进行方案编制、初步设计、设计概算、施工图设计、施工期间的现场指导和配合服务、为完成工程竣工验收的配合服务等，具体详见招标文件要求。</w:t>
      </w:r>
    </w:p>
    <w:p>
      <w:pPr>
        <w:keepNext w:val="0"/>
        <w:keepLines w:val="0"/>
        <w:pageBreakBefore w:val="0"/>
        <w:kinsoku/>
        <w:wordWrap/>
        <w:overflowPunct/>
        <w:topLinePunct w:val="0"/>
        <w:bidi w:val="0"/>
        <w:adjustRightInd/>
        <w:snapToGrid/>
        <w:spacing w:line="440" w:lineRule="exact"/>
        <w:ind w:firstLine="420" w:firstLineChars="200"/>
        <w:textAlignment w:val="auto"/>
        <w:rPr>
          <w:rFonts w:ascii="宋体" w:hAnsi="宋体" w:cs="宋体"/>
          <w:szCs w:val="21"/>
          <w:u w:val="single"/>
        </w:rPr>
      </w:pPr>
      <w:r>
        <w:rPr>
          <w:rFonts w:hint="eastAsia" w:ascii="宋体" w:hAnsi="宋体" w:cs="宋体"/>
          <w:szCs w:val="21"/>
        </w:rPr>
        <w:t>（6）合同履行期限：</w:t>
      </w:r>
      <w:r>
        <w:rPr>
          <w:rFonts w:hint="eastAsia" w:ascii="宋体" w:hAnsi="宋体" w:cs="宋体"/>
          <w:szCs w:val="21"/>
          <w:u w:val="single"/>
          <w:lang w:val="en-US" w:eastAsia="zh-CN"/>
        </w:rPr>
        <w:t>20</w:t>
      </w:r>
      <w:r>
        <w:rPr>
          <w:rFonts w:hint="eastAsia" w:ascii="宋体" w:hAnsi="宋体" w:cs="宋体"/>
          <w:szCs w:val="21"/>
        </w:rPr>
        <w:t>日历天。</w:t>
      </w:r>
    </w:p>
    <w:p>
      <w:pPr>
        <w:keepNext w:val="0"/>
        <w:keepLines w:val="0"/>
        <w:pageBreakBefore w:val="0"/>
        <w:kinsoku/>
        <w:wordWrap/>
        <w:overflowPunct/>
        <w:topLinePunct w:val="0"/>
        <w:bidi w:val="0"/>
        <w:adjustRightInd/>
        <w:snapToGrid/>
        <w:spacing w:line="440" w:lineRule="exact"/>
        <w:ind w:firstLine="442" w:firstLineChars="200"/>
        <w:textAlignment w:val="auto"/>
        <w:rPr>
          <w:rFonts w:ascii="宋体" w:hAnsi="宋体" w:cs="宋体"/>
          <w:sz w:val="22"/>
          <w:szCs w:val="22"/>
        </w:rPr>
      </w:pPr>
      <w:r>
        <w:rPr>
          <w:rFonts w:hint="eastAsia" w:ascii="宋体" w:hAnsi="宋体" w:cs="宋体"/>
          <w:b/>
          <w:bCs/>
          <w:sz w:val="22"/>
          <w:szCs w:val="22"/>
        </w:rPr>
        <w:t>二、申请人的资格要求：</w:t>
      </w:r>
    </w:p>
    <w:p>
      <w:pPr>
        <w:keepNext w:val="0"/>
        <w:keepLines w:val="0"/>
        <w:pageBreakBefore w:val="0"/>
        <w:widowControl/>
        <w:kinsoku/>
        <w:wordWrap/>
        <w:overflowPunct/>
        <w:topLinePunct w:val="0"/>
        <w:bidi w:val="0"/>
        <w:adjustRightInd/>
        <w:snapToGrid/>
        <w:spacing w:line="440" w:lineRule="exact"/>
        <w:ind w:firstLine="404" w:firstLineChars="200"/>
        <w:jc w:val="left"/>
        <w:textAlignment w:val="auto"/>
        <w:rPr>
          <w:rFonts w:hint="eastAsia" w:ascii="宋体" w:hAnsi="宋体" w:cs="宋体"/>
          <w:spacing w:val="-4"/>
          <w:szCs w:val="21"/>
        </w:rPr>
      </w:pPr>
      <w:r>
        <w:rPr>
          <w:rFonts w:hint="eastAsia" w:ascii="宋体" w:hAnsi="宋体" w:cs="宋体"/>
          <w:spacing w:val="-4"/>
          <w:szCs w:val="21"/>
        </w:rPr>
        <w:t>1、投标申请人必须是中华人民共和国境内注册的独立法人或其他组织，具有独立订立合同的能力；</w:t>
      </w:r>
    </w:p>
    <w:p>
      <w:pPr>
        <w:keepNext w:val="0"/>
        <w:keepLines w:val="0"/>
        <w:pageBreakBefore w:val="0"/>
        <w:widowControl/>
        <w:kinsoku/>
        <w:wordWrap/>
        <w:overflowPunct/>
        <w:topLinePunct w:val="0"/>
        <w:bidi w:val="0"/>
        <w:adjustRightInd/>
        <w:snapToGrid/>
        <w:spacing w:line="440" w:lineRule="exact"/>
        <w:ind w:firstLine="404" w:firstLineChars="200"/>
        <w:jc w:val="left"/>
        <w:textAlignment w:val="auto"/>
        <w:rPr>
          <w:rFonts w:hint="eastAsia" w:ascii="宋体" w:hAnsi="宋体" w:cs="宋体"/>
          <w:spacing w:val="-4"/>
          <w:szCs w:val="21"/>
        </w:rPr>
      </w:pPr>
      <w:r>
        <w:rPr>
          <w:rFonts w:hint="eastAsia" w:ascii="宋体" w:hAnsi="宋体" w:cs="宋体"/>
          <w:spacing w:val="-4"/>
          <w:szCs w:val="21"/>
        </w:rPr>
        <w:t>2、投标申请人具备履行合同所必需的设备和专业技术能力；</w:t>
      </w:r>
    </w:p>
    <w:p>
      <w:pPr>
        <w:keepNext w:val="0"/>
        <w:keepLines w:val="0"/>
        <w:pageBreakBefore w:val="0"/>
        <w:widowControl/>
        <w:kinsoku/>
        <w:wordWrap/>
        <w:overflowPunct/>
        <w:topLinePunct w:val="0"/>
        <w:bidi w:val="0"/>
        <w:adjustRightInd/>
        <w:snapToGrid/>
        <w:spacing w:line="440" w:lineRule="exact"/>
        <w:ind w:firstLine="404" w:firstLineChars="200"/>
        <w:jc w:val="left"/>
        <w:textAlignment w:val="auto"/>
        <w:rPr>
          <w:rFonts w:hint="eastAsia" w:ascii="宋体" w:hAnsi="宋体" w:cs="宋体"/>
          <w:spacing w:val="-4"/>
          <w:szCs w:val="21"/>
        </w:rPr>
      </w:pPr>
      <w:r>
        <w:rPr>
          <w:rFonts w:hint="eastAsia" w:ascii="宋体" w:hAnsi="宋体" w:cs="宋体"/>
          <w:spacing w:val="-4"/>
          <w:szCs w:val="21"/>
        </w:rPr>
        <w:t>3、单位负责人为同一人或者存在直接控股、管理关系的不同供应商，不得同时参加本项目采购活动，否则相关投标均无效；</w:t>
      </w:r>
    </w:p>
    <w:p>
      <w:pPr>
        <w:keepNext w:val="0"/>
        <w:keepLines w:val="0"/>
        <w:pageBreakBefore w:val="0"/>
        <w:widowControl/>
        <w:kinsoku/>
        <w:wordWrap/>
        <w:overflowPunct/>
        <w:topLinePunct w:val="0"/>
        <w:bidi w:val="0"/>
        <w:adjustRightInd/>
        <w:snapToGrid/>
        <w:spacing w:line="440" w:lineRule="exact"/>
        <w:ind w:firstLine="404" w:firstLineChars="200"/>
        <w:jc w:val="left"/>
        <w:textAlignment w:val="auto"/>
        <w:rPr>
          <w:rFonts w:hint="eastAsia" w:ascii="宋体" w:hAnsi="宋体" w:cs="宋体"/>
          <w:spacing w:val="-4"/>
          <w:szCs w:val="21"/>
        </w:rPr>
      </w:pPr>
      <w:r>
        <w:rPr>
          <w:rFonts w:hint="eastAsia" w:ascii="宋体" w:hAnsi="宋体" w:cs="宋体"/>
          <w:spacing w:val="-4"/>
          <w:szCs w:val="21"/>
        </w:rPr>
        <w:t>4、未被“信用中国”、“信用江苏”、“信用中国（江苏盐城）”等网站列入失信被执行人；</w:t>
      </w:r>
    </w:p>
    <w:p>
      <w:pPr>
        <w:keepNext w:val="0"/>
        <w:keepLines w:val="0"/>
        <w:pageBreakBefore w:val="0"/>
        <w:widowControl/>
        <w:kinsoku/>
        <w:wordWrap/>
        <w:overflowPunct/>
        <w:topLinePunct w:val="0"/>
        <w:bidi w:val="0"/>
        <w:adjustRightInd/>
        <w:snapToGrid/>
        <w:spacing w:line="440" w:lineRule="exact"/>
        <w:ind w:firstLine="404" w:firstLineChars="200"/>
        <w:jc w:val="left"/>
        <w:textAlignment w:val="auto"/>
        <w:rPr>
          <w:rFonts w:hint="eastAsia" w:ascii="宋体" w:hAnsi="宋体" w:cs="宋体"/>
          <w:spacing w:val="-4"/>
          <w:szCs w:val="21"/>
        </w:rPr>
      </w:pPr>
      <w:r>
        <w:rPr>
          <w:rFonts w:hint="eastAsia" w:ascii="宋体" w:hAnsi="宋体" w:cs="宋体"/>
          <w:spacing w:val="-4"/>
          <w:szCs w:val="21"/>
        </w:rPr>
        <w:t>5、投标人申请人具有工程设计综合甲级资质或市政行业设计乙级及以上资质或市政行业（燃气工程、轨道交通工程除外）设计乙级及以上资质或市政行业（排水工程）专业设计乙级及以上资质。</w:t>
      </w:r>
    </w:p>
    <w:p>
      <w:pPr>
        <w:keepNext w:val="0"/>
        <w:keepLines w:val="0"/>
        <w:pageBreakBefore w:val="0"/>
        <w:widowControl/>
        <w:kinsoku/>
        <w:wordWrap/>
        <w:overflowPunct/>
        <w:topLinePunct w:val="0"/>
        <w:bidi w:val="0"/>
        <w:adjustRightInd/>
        <w:snapToGrid/>
        <w:spacing w:line="440" w:lineRule="exact"/>
        <w:ind w:firstLine="404" w:firstLineChars="200"/>
        <w:jc w:val="left"/>
        <w:textAlignment w:val="auto"/>
        <w:rPr>
          <w:rFonts w:hint="eastAsia" w:ascii="宋体" w:hAnsi="宋体" w:cs="宋体"/>
          <w:spacing w:val="-4"/>
          <w:szCs w:val="21"/>
        </w:rPr>
      </w:pPr>
      <w:r>
        <w:rPr>
          <w:rFonts w:hint="eastAsia" w:ascii="宋体" w:hAnsi="宋体" w:cs="宋体"/>
          <w:spacing w:val="-4"/>
          <w:szCs w:val="21"/>
        </w:rPr>
        <w:t>6、项目负责人必须是投标人本单位正式职工，具有注册公用设备工程师（给水排水）执业资格。</w:t>
      </w:r>
    </w:p>
    <w:p>
      <w:pPr>
        <w:keepNext w:val="0"/>
        <w:keepLines w:val="0"/>
        <w:pageBreakBefore w:val="0"/>
        <w:widowControl/>
        <w:kinsoku/>
        <w:wordWrap/>
        <w:overflowPunct/>
        <w:topLinePunct w:val="0"/>
        <w:bidi w:val="0"/>
        <w:adjustRightInd/>
        <w:snapToGrid/>
        <w:spacing w:line="440" w:lineRule="exact"/>
        <w:ind w:firstLine="404" w:firstLineChars="200"/>
        <w:jc w:val="left"/>
        <w:textAlignment w:val="auto"/>
        <w:rPr>
          <w:rFonts w:hint="eastAsia" w:ascii="宋体" w:hAnsi="宋体" w:cs="宋体"/>
          <w:spacing w:val="-4"/>
          <w:szCs w:val="21"/>
        </w:rPr>
      </w:pPr>
      <w:r>
        <w:rPr>
          <w:rFonts w:hint="eastAsia" w:ascii="宋体" w:hAnsi="宋体" w:cs="宋体"/>
          <w:spacing w:val="-4"/>
          <w:szCs w:val="21"/>
        </w:rPr>
        <w:t>7、本次招标不接受联合体投标；</w:t>
      </w:r>
    </w:p>
    <w:p>
      <w:pPr>
        <w:keepNext w:val="0"/>
        <w:keepLines w:val="0"/>
        <w:pageBreakBefore w:val="0"/>
        <w:widowControl/>
        <w:kinsoku/>
        <w:wordWrap/>
        <w:overflowPunct/>
        <w:topLinePunct w:val="0"/>
        <w:bidi w:val="0"/>
        <w:adjustRightInd/>
        <w:snapToGrid/>
        <w:spacing w:line="440" w:lineRule="exact"/>
        <w:ind w:firstLine="404" w:firstLineChars="200"/>
        <w:jc w:val="left"/>
        <w:textAlignment w:val="auto"/>
        <w:rPr>
          <w:rFonts w:hint="eastAsia" w:ascii="宋体" w:hAnsi="宋体" w:cs="宋体"/>
          <w:spacing w:val="-4"/>
          <w:szCs w:val="21"/>
        </w:rPr>
      </w:pPr>
      <w:r>
        <w:rPr>
          <w:rFonts w:hint="eastAsia" w:ascii="宋体" w:hAnsi="宋体" w:cs="宋体"/>
          <w:spacing w:val="-4"/>
          <w:szCs w:val="21"/>
        </w:rPr>
        <w:t>8、符合相关法律、法规规定的其他要求。</w:t>
      </w:r>
    </w:p>
    <w:p>
      <w:pPr>
        <w:keepNext w:val="0"/>
        <w:keepLines w:val="0"/>
        <w:pageBreakBefore w:val="0"/>
        <w:widowControl/>
        <w:kinsoku/>
        <w:wordWrap/>
        <w:overflowPunct/>
        <w:topLinePunct w:val="0"/>
        <w:bidi w:val="0"/>
        <w:adjustRightInd/>
        <w:snapToGrid/>
        <w:spacing w:line="440" w:lineRule="exact"/>
        <w:ind w:firstLine="442" w:firstLineChars="200"/>
        <w:jc w:val="left"/>
        <w:textAlignment w:val="auto"/>
        <w:rPr>
          <w:rFonts w:ascii="宋体" w:hAnsi="宋体" w:cs="宋体"/>
          <w:sz w:val="22"/>
          <w:szCs w:val="22"/>
        </w:rPr>
      </w:pPr>
      <w:r>
        <w:rPr>
          <w:rFonts w:hint="eastAsia" w:ascii="宋体" w:hAnsi="宋体" w:cs="宋体"/>
          <w:b/>
          <w:bCs/>
          <w:sz w:val="22"/>
          <w:szCs w:val="22"/>
        </w:rPr>
        <w:t>三、获取招标文件</w:t>
      </w:r>
    </w:p>
    <w:p>
      <w:pPr>
        <w:keepNext w:val="0"/>
        <w:keepLines w:val="0"/>
        <w:pageBreakBefore w:val="0"/>
        <w:widowControl/>
        <w:kinsoku/>
        <w:wordWrap/>
        <w:overflowPunct/>
        <w:topLinePunct w:val="0"/>
        <w:bidi w:val="0"/>
        <w:adjustRightInd/>
        <w:snapToGrid/>
        <w:spacing w:line="440" w:lineRule="exact"/>
        <w:ind w:firstLine="420" w:firstLineChars="200"/>
        <w:jc w:val="left"/>
        <w:textAlignment w:val="auto"/>
        <w:rPr>
          <w:rFonts w:ascii="宋体" w:hAnsi="宋体" w:cs="宋体"/>
          <w:szCs w:val="21"/>
        </w:rPr>
      </w:pPr>
      <w:r>
        <w:rPr>
          <w:rFonts w:hint="eastAsia" w:ascii="宋体" w:hAnsi="宋体" w:cs="宋体"/>
          <w:szCs w:val="21"/>
        </w:rPr>
        <w:t>1、请各投标申请人于</w:t>
      </w:r>
      <w:r>
        <w:rPr>
          <w:rFonts w:hint="eastAsia" w:ascii="宋体" w:hAnsi="宋体" w:cs="宋体"/>
          <w:b/>
          <w:szCs w:val="21"/>
          <w:u w:val="single"/>
        </w:rPr>
        <w:t>2024</w:t>
      </w:r>
      <w:r>
        <w:rPr>
          <w:rFonts w:hint="eastAsia" w:ascii="宋体" w:hAnsi="宋体" w:cs="宋体"/>
          <w:b/>
          <w:szCs w:val="21"/>
        </w:rPr>
        <w:t>年</w:t>
      </w:r>
      <w:r>
        <w:rPr>
          <w:rFonts w:hint="eastAsia" w:ascii="宋体" w:hAnsi="宋体" w:cs="宋体"/>
          <w:b/>
          <w:szCs w:val="21"/>
          <w:u w:val="single"/>
          <w:lang w:val="en-US" w:eastAsia="zh-CN"/>
        </w:rPr>
        <w:t>05</w:t>
      </w:r>
      <w:r>
        <w:rPr>
          <w:rFonts w:hint="eastAsia" w:ascii="宋体" w:hAnsi="宋体" w:cs="宋体"/>
          <w:b/>
          <w:szCs w:val="21"/>
        </w:rPr>
        <w:t>月</w:t>
      </w:r>
      <w:r>
        <w:rPr>
          <w:rFonts w:hint="eastAsia" w:ascii="宋体" w:hAnsi="宋体" w:cs="宋体"/>
          <w:b/>
          <w:szCs w:val="21"/>
          <w:u w:val="single"/>
          <w:lang w:val="en-US" w:eastAsia="zh-CN"/>
        </w:rPr>
        <w:t>10</w:t>
      </w:r>
      <w:r>
        <w:rPr>
          <w:rFonts w:hint="eastAsia" w:ascii="宋体" w:hAnsi="宋体" w:cs="宋体"/>
          <w:b/>
          <w:szCs w:val="21"/>
        </w:rPr>
        <w:t>日至</w:t>
      </w:r>
      <w:r>
        <w:rPr>
          <w:rFonts w:hint="eastAsia" w:ascii="宋体" w:hAnsi="宋体" w:cs="宋体"/>
          <w:b/>
          <w:szCs w:val="21"/>
          <w:u w:val="single"/>
        </w:rPr>
        <w:t>2024</w:t>
      </w:r>
      <w:r>
        <w:rPr>
          <w:rFonts w:hint="eastAsia" w:ascii="宋体" w:hAnsi="宋体" w:cs="宋体"/>
          <w:b/>
          <w:szCs w:val="21"/>
        </w:rPr>
        <w:t>年</w:t>
      </w:r>
      <w:r>
        <w:rPr>
          <w:rFonts w:hint="eastAsia" w:ascii="宋体" w:hAnsi="宋体" w:cs="宋体"/>
          <w:b/>
          <w:szCs w:val="21"/>
          <w:u w:val="single"/>
          <w:lang w:val="en-US" w:eastAsia="zh-CN"/>
        </w:rPr>
        <w:t>05</w:t>
      </w:r>
      <w:r>
        <w:rPr>
          <w:rFonts w:hint="eastAsia" w:ascii="宋体" w:hAnsi="宋体" w:cs="宋体"/>
          <w:b/>
          <w:szCs w:val="21"/>
        </w:rPr>
        <w:t>月</w:t>
      </w:r>
      <w:r>
        <w:rPr>
          <w:rFonts w:hint="eastAsia" w:ascii="宋体" w:hAnsi="宋体" w:cs="宋体"/>
          <w:b/>
          <w:szCs w:val="21"/>
          <w:u w:val="single"/>
          <w:lang w:val="en-US" w:eastAsia="zh-CN"/>
        </w:rPr>
        <w:t>16</w:t>
      </w:r>
      <w:r>
        <w:rPr>
          <w:rFonts w:hint="eastAsia" w:ascii="宋体" w:hAnsi="宋体" w:cs="宋体"/>
          <w:b/>
          <w:szCs w:val="21"/>
        </w:rPr>
        <w:t>日</w:t>
      </w:r>
      <w:r>
        <w:rPr>
          <w:rFonts w:hint="eastAsia" w:ascii="宋体" w:hAnsi="宋体" w:cs="宋体"/>
          <w:szCs w:val="21"/>
        </w:rPr>
        <w:t>登入“新点电子交易平台-大丰政府采购系统”（网址：https://www.etrading.cn/BREpointSSO/login/oauth2login）下载招标文件，如在规定时间内未下载招标文件，由此引起的无法投标等情形的，责任自负。</w:t>
      </w:r>
    </w:p>
    <w:p>
      <w:pPr>
        <w:keepNext w:val="0"/>
        <w:keepLines w:val="0"/>
        <w:pageBreakBefore w:val="0"/>
        <w:widowControl/>
        <w:kinsoku/>
        <w:wordWrap/>
        <w:overflowPunct/>
        <w:topLinePunct w:val="0"/>
        <w:bidi w:val="0"/>
        <w:adjustRightInd/>
        <w:snapToGrid/>
        <w:spacing w:line="440" w:lineRule="exact"/>
        <w:ind w:firstLine="404" w:firstLineChars="200"/>
        <w:jc w:val="left"/>
        <w:textAlignment w:val="auto"/>
        <w:rPr>
          <w:rFonts w:ascii="宋体" w:hAnsi="宋体" w:cs="宋体"/>
          <w:szCs w:val="21"/>
        </w:rPr>
      </w:pPr>
      <w:r>
        <w:rPr>
          <w:rFonts w:hint="eastAsia" w:ascii="宋体" w:hAnsi="宋体" w:cs="宋体"/>
          <w:spacing w:val="-4"/>
          <w:szCs w:val="21"/>
        </w:rPr>
        <w:t>2、招标文件获取方式：各潜在投标人（供应商）使用“CA数字证书（CA锁）”或“账号密码”登录“新点电子交易平台-大丰政府采购系统（网址：</w:t>
      </w:r>
      <w:r>
        <w:rPr>
          <w:rFonts w:hint="eastAsia" w:ascii="宋体" w:hAnsi="宋体" w:cs="宋体"/>
          <w:szCs w:val="21"/>
        </w:rPr>
        <w:t>https://www.etrading.cn/BREpointSSO/login/oauth2login）”获取。办理CA数字证书（CA锁）以及电子签章相关事宜见（http://dfggzy.com/dfweb/infodetail/?infoid=9c34520d-979a-4630-a939-9b3fbd2253db&amp;categoryNum=029）”。</w:t>
      </w:r>
    </w:p>
    <w:p>
      <w:pPr>
        <w:keepNext w:val="0"/>
        <w:keepLines w:val="0"/>
        <w:pageBreakBefore w:val="0"/>
        <w:widowControl/>
        <w:kinsoku/>
        <w:wordWrap/>
        <w:overflowPunct/>
        <w:topLinePunct w:val="0"/>
        <w:bidi w:val="0"/>
        <w:adjustRightInd/>
        <w:snapToGrid/>
        <w:spacing w:line="440" w:lineRule="exact"/>
        <w:ind w:firstLine="420" w:firstLineChars="200"/>
        <w:jc w:val="left"/>
        <w:textAlignment w:val="auto"/>
        <w:rPr>
          <w:rFonts w:ascii="宋体" w:hAnsi="宋体" w:cs="宋体"/>
          <w:szCs w:val="21"/>
        </w:rPr>
      </w:pPr>
      <w:r>
        <w:rPr>
          <w:rFonts w:hint="eastAsia" w:ascii="宋体" w:hAnsi="宋体" w:cs="宋体"/>
          <w:szCs w:val="21"/>
        </w:rPr>
        <w:t>3、招标文件售价：0元。</w:t>
      </w:r>
    </w:p>
    <w:p>
      <w:pPr>
        <w:keepNext w:val="0"/>
        <w:keepLines w:val="0"/>
        <w:pageBreakBefore w:val="0"/>
        <w:kinsoku/>
        <w:wordWrap/>
        <w:overflowPunct/>
        <w:topLinePunct w:val="0"/>
        <w:bidi w:val="0"/>
        <w:adjustRightInd/>
        <w:snapToGrid/>
        <w:spacing w:line="440" w:lineRule="exact"/>
        <w:ind w:firstLine="420" w:firstLineChars="200"/>
        <w:jc w:val="left"/>
        <w:textAlignment w:val="auto"/>
        <w:rPr>
          <w:rFonts w:ascii="宋体" w:hAnsi="宋体" w:cs="宋体"/>
          <w:szCs w:val="21"/>
          <w:u w:val="single"/>
        </w:rPr>
      </w:pPr>
      <w:r>
        <w:rPr>
          <w:rFonts w:hint="eastAsia" w:ascii="宋体" w:hAnsi="宋体" w:cs="宋体"/>
          <w:szCs w:val="21"/>
        </w:rPr>
        <w:t>4、各潜在投标人（供应商）可登录大丰公共资源电子交易平台-点击查看“招投标常见问题”-点击“【投标人】怎么参与大丰政府采购全程电子化项目（http://dfggzy.com/dfweb/infodetail/?infoid=9c34520d-979a-4630-a939-9b3fbd2253db&amp;categoryNum=029）”，或者工作时间拨打4009280095-5，或者加入QQ群（问题解决群）：384422310，或者工作时间拨打招标代理电话：</w:t>
      </w:r>
      <w:r>
        <w:rPr>
          <w:rFonts w:hint="eastAsia" w:ascii="宋体" w:hAnsi="宋体" w:cs="宋体"/>
          <w:szCs w:val="21"/>
          <w:u w:val="single"/>
        </w:rPr>
        <w:t>18962071685</w:t>
      </w:r>
      <w:r>
        <w:rPr>
          <w:rFonts w:hint="eastAsia" w:ascii="宋体" w:hAnsi="宋体" w:cs="宋体"/>
          <w:szCs w:val="21"/>
        </w:rPr>
        <w:t>。</w:t>
      </w:r>
    </w:p>
    <w:p>
      <w:pPr>
        <w:keepNext w:val="0"/>
        <w:keepLines w:val="0"/>
        <w:pageBreakBefore w:val="0"/>
        <w:widowControl/>
        <w:kinsoku/>
        <w:wordWrap/>
        <w:overflowPunct/>
        <w:topLinePunct w:val="0"/>
        <w:bidi w:val="0"/>
        <w:adjustRightInd/>
        <w:snapToGrid/>
        <w:spacing w:line="440" w:lineRule="exact"/>
        <w:ind w:firstLine="442" w:firstLineChars="200"/>
        <w:jc w:val="left"/>
        <w:textAlignment w:val="auto"/>
        <w:rPr>
          <w:rFonts w:ascii="宋体" w:hAnsi="宋体" w:cs="宋体"/>
          <w:b/>
          <w:bCs/>
          <w:sz w:val="22"/>
          <w:szCs w:val="22"/>
        </w:rPr>
      </w:pPr>
      <w:r>
        <w:rPr>
          <w:rFonts w:hint="eastAsia" w:ascii="宋体" w:hAnsi="宋体" w:cs="宋体"/>
          <w:b/>
          <w:bCs/>
          <w:sz w:val="22"/>
          <w:szCs w:val="22"/>
        </w:rPr>
        <w:t>四、提交投标文件截止时间、开标时间、地点</w:t>
      </w:r>
    </w:p>
    <w:p>
      <w:pPr>
        <w:keepNext w:val="0"/>
        <w:keepLines w:val="0"/>
        <w:pageBreakBefore w:val="0"/>
        <w:widowControl/>
        <w:kinsoku/>
        <w:wordWrap/>
        <w:overflowPunct/>
        <w:topLinePunct w:val="0"/>
        <w:bidi w:val="0"/>
        <w:adjustRightInd/>
        <w:snapToGrid/>
        <w:spacing w:line="440" w:lineRule="exact"/>
        <w:ind w:firstLine="440" w:firstLineChars="200"/>
        <w:jc w:val="left"/>
        <w:textAlignment w:val="auto"/>
        <w:rPr>
          <w:rFonts w:ascii="宋体" w:hAnsi="宋体" w:cs="宋体"/>
          <w:sz w:val="22"/>
          <w:szCs w:val="22"/>
        </w:rPr>
      </w:pPr>
      <w:r>
        <w:rPr>
          <w:rFonts w:hint="eastAsia" w:ascii="宋体" w:hAnsi="宋体" w:cs="宋体"/>
          <w:sz w:val="22"/>
          <w:szCs w:val="22"/>
        </w:rPr>
        <w:t>1、提交投标文件截止时间：</w:t>
      </w:r>
      <w:r>
        <w:rPr>
          <w:rStyle w:val="24"/>
          <w:rFonts w:hint="eastAsia" w:ascii="宋体" w:hAnsi="宋体" w:cs="宋体"/>
          <w:color w:val="000000"/>
          <w:sz w:val="22"/>
          <w:szCs w:val="22"/>
          <w:u w:val="single"/>
          <w:lang w:val="en-US" w:eastAsia="zh-CN"/>
        </w:rPr>
        <w:t>2024</w:t>
      </w:r>
      <w:r>
        <w:rPr>
          <w:rStyle w:val="24"/>
          <w:rFonts w:hint="eastAsia" w:ascii="宋体" w:hAnsi="宋体" w:cs="宋体"/>
          <w:color w:val="000000"/>
          <w:sz w:val="22"/>
          <w:szCs w:val="22"/>
        </w:rPr>
        <w:t>年</w:t>
      </w:r>
      <w:r>
        <w:rPr>
          <w:rStyle w:val="24"/>
          <w:rFonts w:hint="eastAsia" w:ascii="宋体" w:hAnsi="宋体" w:cs="宋体"/>
          <w:color w:val="000000"/>
          <w:sz w:val="22"/>
          <w:szCs w:val="22"/>
          <w:u w:val="single"/>
          <w:lang w:val="en-US" w:eastAsia="zh-CN"/>
        </w:rPr>
        <w:t>05</w:t>
      </w:r>
      <w:r>
        <w:rPr>
          <w:rStyle w:val="24"/>
          <w:rFonts w:hint="eastAsia" w:ascii="宋体" w:hAnsi="宋体" w:cs="宋体"/>
          <w:color w:val="000000"/>
          <w:sz w:val="22"/>
          <w:szCs w:val="22"/>
        </w:rPr>
        <w:t>月</w:t>
      </w:r>
      <w:r>
        <w:rPr>
          <w:rStyle w:val="24"/>
          <w:rFonts w:hint="eastAsia" w:ascii="宋体" w:hAnsi="宋体" w:cs="宋体"/>
          <w:color w:val="000000"/>
          <w:sz w:val="22"/>
          <w:szCs w:val="22"/>
          <w:u w:val="single"/>
          <w:lang w:val="en-US" w:eastAsia="zh-CN"/>
        </w:rPr>
        <w:t>31</w:t>
      </w:r>
      <w:r>
        <w:rPr>
          <w:rStyle w:val="24"/>
          <w:rFonts w:hint="eastAsia" w:ascii="宋体" w:hAnsi="宋体" w:cs="宋体"/>
          <w:color w:val="000000"/>
          <w:sz w:val="22"/>
          <w:szCs w:val="22"/>
        </w:rPr>
        <w:t>日</w:t>
      </w:r>
      <w:r>
        <w:rPr>
          <w:rStyle w:val="24"/>
          <w:rFonts w:hint="eastAsia" w:ascii="宋体" w:hAnsi="宋体" w:cs="宋体"/>
          <w:color w:val="000000"/>
          <w:sz w:val="22"/>
          <w:szCs w:val="22"/>
          <w:u w:val="single"/>
        </w:rPr>
        <w:t>09</w:t>
      </w:r>
      <w:r>
        <w:rPr>
          <w:rFonts w:hint="eastAsia" w:ascii="宋体" w:hAnsi="宋体" w:cs="宋体"/>
          <w:color w:val="000000"/>
          <w:sz w:val="22"/>
          <w:szCs w:val="22"/>
        </w:rPr>
        <w:t>时</w:t>
      </w:r>
      <w:r>
        <w:rPr>
          <w:rFonts w:hint="eastAsia" w:ascii="宋体" w:hAnsi="宋体" w:cs="宋体"/>
          <w:color w:val="000000"/>
          <w:sz w:val="22"/>
          <w:szCs w:val="22"/>
          <w:u w:val="single"/>
        </w:rPr>
        <w:t>00</w:t>
      </w:r>
      <w:r>
        <w:rPr>
          <w:rFonts w:hint="eastAsia" w:ascii="宋体" w:hAnsi="宋体" w:cs="宋体"/>
          <w:color w:val="000000"/>
          <w:sz w:val="22"/>
          <w:szCs w:val="22"/>
        </w:rPr>
        <w:t>分</w:t>
      </w:r>
      <w:r>
        <w:rPr>
          <w:rFonts w:hint="eastAsia" w:ascii="宋体" w:hAnsi="宋体" w:cs="宋体"/>
          <w:color w:val="000000"/>
          <w:sz w:val="22"/>
          <w:szCs w:val="22"/>
          <w:u w:val="single"/>
        </w:rPr>
        <w:t>00</w:t>
      </w:r>
      <w:r>
        <w:rPr>
          <w:rFonts w:hint="eastAsia" w:ascii="宋体" w:hAnsi="宋体" w:cs="宋体"/>
          <w:color w:val="000000"/>
          <w:sz w:val="22"/>
          <w:szCs w:val="22"/>
        </w:rPr>
        <w:t>秒</w:t>
      </w:r>
      <w:r>
        <w:rPr>
          <w:rFonts w:hint="eastAsia" w:ascii="宋体" w:hAnsi="宋体" w:cs="宋体"/>
          <w:sz w:val="22"/>
          <w:szCs w:val="22"/>
        </w:rPr>
        <w:t>。</w:t>
      </w:r>
    </w:p>
    <w:p>
      <w:pPr>
        <w:keepNext w:val="0"/>
        <w:keepLines w:val="0"/>
        <w:pageBreakBefore w:val="0"/>
        <w:widowControl/>
        <w:kinsoku/>
        <w:wordWrap/>
        <w:overflowPunct/>
        <w:topLinePunct w:val="0"/>
        <w:bidi w:val="0"/>
        <w:adjustRightInd/>
        <w:snapToGrid/>
        <w:spacing w:line="440" w:lineRule="exact"/>
        <w:ind w:firstLine="440" w:firstLineChars="200"/>
        <w:jc w:val="left"/>
        <w:textAlignment w:val="auto"/>
        <w:rPr>
          <w:rFonts w:ascii="宋体" w:hAnsi="宋体" w:cs="宋体"/>
          <w:sz w:val="22"/>
          <w:szCs w:val="22"/>
          <w:u w:val="single"/>
        </w:rPr>
      </w:pPr>
      <w:r>
        <w:rPr>
          <w:rFonts w:hint="eastAsia" w:ascii="宋体" w:hAnsi="宋体" w:cs="宋体"/>
          <w:sz w:val="22"/>
          <w:szCs w:val="22"/>
        </w:rPr>
        <w:t>2、提交投标文件的地点：“投标文件制作工具”生成的xetf格式的电子档上传至新点电子交易平台-大丰政府采购系统（网址：https://www.etrading.cn/BREpointSSO/login/oauth2login）。</w:t>
      </w:r>
    </w:p>
    <w:p>
      <w:pPr>
        <w:keepNext w:val="0"/>
        <w:keepLines w:val="0"/>
        <w:pageBreakBefore w:val="0"/>
        <w:widowControl/>
        <w:kinsoku/>
        <w:wordWrap/>
        <w:overflowPunct/>
        <w:topLinePunct w:val="0"/>
        <w:bidi w:val="0"/>
        <w:adjustRightInd/>
        <w:snapToGrid/>
        <w:spacing w:line="440" w:lineRule="exact"/>
        <w:ind w:firstLine="440" w:firstLineChars="200"/>
        <w:jc w:val="left"/>
        <w:textAlignment w:val="auto"/>
        <w:rPr>
          <w:rFonts w:ascii="宋体" w:hAnsi="宋体" w:cs="宋体"/>
          <w:sz w:val="22"/>
          <w:szCs w:val="22"/>
        </w:rPr>
      </w:pPr>
      <w:r>
        <w:rPr>
          <w:rFonts w:hint="eastAsia" w:ascii="宋体" w:hAnsi="宋体" w:cs="宋体"/>
          <w:sz w:val="22"/>
          <w:szCs w:val="22"/>
        </w:rPr>
        <w:t>3、逾期提交的投标文件将被拒收并退回。</w:t>
      </w:r>
    </w:p>
    <w:p>
      <w:pPr>
        <w:keepNext w:val="0"/>
        <w:keepLines w:val="0"/>
        <w:pageBreakBefore w:val="0"/>
        <w:widowControl/>
        <w:kinsoku/>
        <w:wordWrap/>
        <w:overflowPunct/>
        <w:topLinePunct w:val="0"/>
        <w:bidi w:val="0"/>
        <w:adjustRightInd/>
        <w:snapToGrid/>
        <w:spacing w:line="440" w:lineRule="exact"/>
        <w:ind w:firstLine="440" w:firstLineChars="200"/>
        <w:jc w:val="left"/>
        <w:textAlignment w:val="auto"/>
        <w:rPr>
          <w:rFonts w:ascii="宋体" w:hAnsi="宋体" w:cs="宋体"/>
          <w:sz w:val="22"/>
          <w:szCs w:val="22"/>
        </w:rPr>
      </w:pPr>
      <w:r>
        <w:rPr>
          <w:rFonts w:hint="eastAsia" w:ascii="宋体" w:hAnsi="宋体" w:cs="宋体"/>
          <w:sz w:val="22"/>
          <w:szCs w:val="22"/>
        </w:rPr>
        <w:t>4、开标时间：投标文件提交截止时间。</w:t>
      </w:r>
    </w:p>
    <w:p>
      <w:pPr>
        <w:keepNext w:val="0"/>
        <w:keepLines w:val="0"/>
        <w:pageBreakBefore w:val="0"/>
        <w:kinsoku/>
        <w:wordWrap/>
        <w:overflowPunct/>
        <w:topLinePunct w:val="0"/>
        <w:bidi w:val="0"/>
        <w:adjustRightInd/>
        <w:snapToGrid/>
        <w:spacing w:line="440" w:lineRule="exact"/>
        <w:ind w:firstLine="440" w:firstLineChars="200"/>
        <w:jc w:val="left"/>
        <w:textAlignment w:val="auto"/>
        <w:rPr>
          <w:rFonts w:ascii="宋体" w:hAnsi="宋体" w:cs="宋体"/>
          <w:b/>
          <w:bCs/>
          <w:sz w:val="22"/>
          <w:szCs w:val="22"/>
        </w:rPr>
      </w:pPr>
      <w:r>
        <w:rPr>
          <w:rFonts w:hint="eastAsia" w:ascii="宋体" w:hAnsi="宋体" w:cs="宋体"/>
          <w:sz w:val="22"/>
          <w:szCs w:val="22"/>
        </w:rPr>
        <w:t>5、开标地点：本项目实行不见面开标，各投标人（供应商）的授权委托人或法人代表应在投标文件提交截止时间前提前登入“开标大厅系统”（步骤：登入-投标人-CA登录-江苏省CA），到达投标文件提交截止时间后，首先进入开标程序中的投标文件解密会议，然后按系统提示完成投标文件解密。网址为http://js.etrading.cn/EpointBidOpening/bidopeninghallaction/hall/login。投标人未按时完成投标文件解密或解密未成功的，均被视为投标人放弃本次投标（无效投标）。解密完成后投标人可自行决定是否继续参加开（唱）标会议，投标人未参加开标的，视同认可开标结果。</w:t>
      </w:r>
    </w:p>
    <w:p>
      <w:pPr>
        <w:keepNext w:val="0"/>
        <w:keepLines w:val="0"/>
        <w:pageBreakBefore w:val="0"/>
        <w:kinsoku/>
        <w:wordWrap/>
        <w:overflowPunct/>
        <w:topLinePunct w:val="0"/>
        <w:bidi w:val="0"/>
        <w:adjustRightInd/>
        <w:snapToGrid/>
        <w:spacing w:line="440" w:lineRule="exact"/>
        <w:ind w:firstLine="442" w:firstLineChars="200"/>
        <w:textAlignment w:val="auto"/>
        <w:rPr>
          <w:rFonts w:ascii="宋体" w:hAnsi="宋体" w:cs="宋体"/>
          <w:b/>
          <w:bCs/>
          <w:sz w:val="22"/>
          <w:szCs w:val="22"/>
        </w:rPr>
      </w:pPr>
      <w:r>
        <w:rPr>
          <w:rFonts w:hint="eastAsia" w:ascii="宋体" w:hAnsi="宋体" w:cs="宋体"/>
          <w:b/>
          <w:bCs/>
          <w:sz w:val="22"/>
          <w:szCs w:val="22"/>
        </w:rPr>
        <w:t>五、公告期限</w:t>
      </w:r>
    </w:p>
    <w:p>
      <w:pPr>
        <w:keepNext w:val="0"/>
        <w:keepLines w:val="0"/>
        <w:pageBreakBefore w:val="0"/>
        <w:kinsoku/>
        <w:wordWrap/>
        <w:overflowPunct/>
        <w:topLinePunct w:val="0"/>
        <w:bidi w:val="0"/>
        <w:adjustRightInd/>
        <w:snapToGrid/>
        <w:spacing w:line="440" w:lineRule="exact"/>
        <w:ind w:firstLine="440" w:firstLineChars="200"/>
        <w:textAlignment w:val="auto"/>
        <w:rPr>
          <w:rFonts w:ascii="宋体" w:hAnsi="宋体" w:cs="宋体"/>
          <w:b/>
          <w:bCs/>
          <w:sz w:val="22"/>
          <w:szCs w:val="22"/>
        </w:rPr>
      </w:pPr>
      <w:r>
        <w:rPr>
          <w:rFonts w:hint="eastAsia" w:ascii="宋体" w:hAnsi="宋体" w:cs="宋体"/>
          <w:sz w:val="22"/>
          <w:szCs w:val="22"/>
        </w:rPr>
        <w:t>自本公告发布之日起5个工作日。</w:t>
      </w:r>
    </w:p>
    <w:p>
      <w:pPr>
        <w:keepNext w:val="0"/>
        <w:keepLines w:val="0"/>
        <w:pageBreakBefore w:val="0"/>
        <w:widowControl/>
        <w:kinsoku/>
        <w:wordWrap/>
        <w:overflowPunct/>
        <w:topLinePunct w:val="0"/>
        <w:bidi w:val="0"/>
        <w:adjustRightInd/>
        <w:snapToGrid/>
        <w:spacing w:line="440" w:lineRule="exact"/>
        <w:ind w:firstLine="442" w:firstLineChars="200"/>
        <w:jc w:val="left"/>
        <w:textAlignment w:val="auto"/>
        <w:rPr>
          <w:rFonts w:ascii="宋体" w:hAnsi="宋体" w:cs="宋体"/>
          <w:b/>
          <w:bCs/>
          <w:sz w:val="22"/>
          <w:szCs w:val="22"/>
        </w:rPr>
      </w:pPr>
      <w:r>
        <w:rPr>
          <w:rFonts w:hint="eastAsia" w:ascii="宋体" w:hAnsi="宋体" w:cs="宋体"/>
          <w:b/>
          <w:bCs/>
          <w:sz w:val="22"/>
          <w:szCs w:val="22"/>
        </w:rPr>
        <w:t>六、其他补充事宜</w:t>
      </w:r>
    </w:p>
    <w:p>
      <w:pPr>
        <w:keepNext w:val="0"/>
        <w:keepLines w:val="0"/>
        <w:pageBreakBefore w:val="0"/>
        <w:widowControl/>
        <w:kinsoku/>
        <w:wordWrap/>
        <w:overflowPunct/>
        <w:topLinePunct w:val="0"/>
        <w:bidi w:val="0"/>
        <w:adjustRightInd/>
        <w:snapToGrid/>
        <w:spacing w:line="440" w:lineRule="exact"/>
        <w:ind w:firstLine="440" w:firstLineChars="200"/>
        <w:jc w:val="left"/>
        <w:textAlignment w:val="auto"/>
        <w:rPr>
          <w:rFonts w:ascii="宋体" w:hAnsi="宋体" w:cs="宋体"/>
          <w:sz w:val="22"/>
          <w:szCs w:val="22"/>
        </w:rPr>
      </w:pPr>
      <w:r>
        <w:rPr>
          <w:rFonts w:hint="eastAsia" w:ascii="宋体" w:hAnsi="宋体" w:cs="宋体"/>
          <w:sz w:val="22"/>
          <w:szCs w:val="22"/>
        </w:rPr>
        <w:t>1、本项目对投标申请人的资格审查采用资格后审方式，由评标委员会根据招标文件进行评定；报名时不进行报名资料的任何审查，由意向投标人自行判断是否符合投标资格。</w:t>
      </w:r>
    </w:p>
    <w:p>
      <w:pPr>
        <w:keepNext w:val="0"/>
        <w:keepLines w:val="0"/>
        <w:pageBreakBefore w:val="0"/>
        <w:widowControl/>
        <w:kinsoku/>
        <w:wordWrap/>
        <w:overflowPunct/>
        <w:topLinePunct w:val="0"/>
        <w:bidi w:val="0"/>
        <w:adjustRightInd/>
        <w:snapToGrid/>
        <w:spacing w:line="440" w:lineRule="exact"/>
        <w:ind w:firstLine="440" w:firstLineChars="200"/>
        <w:jc w:val="left"/>
        <w:textAlignment w:val="auto"/>
        <w:rPr>
          <w:rFonts w:ascii="宋体" w:hAnsi="宋体" w:cs="宋体"/>
          <w:sz w:val="22"/>
          <w:szCs w:val="22"/>
        </w:rPr>
      </w:pPr>
      <w:r>
        <w:rPr>
          <w:rFonts w:hint="eastAsia" w:ascii="宋体" w:hAnsi="宋体" w:cs="宋体"/>
          <w:sz w:val="22"/>
          <w:szCs w:val="22"/>
        </w:rPr>
        <w:t>2、本招标项目采用的评标方法：</w:t>
      </w:r>
      <w:r>
        <w:rPr>
          <w:rFonts w:hint="eastAsia" w:ascii="宋体" w:hAnsi="宋体" w:cs="宋体"/>
          <w:b/>
          <w:bCs/>
          <w:sz w:val="22"/>
          <w:szCs w:val="22"/>
        </w:rPr>
        <w:t>综合评分法</w:t>
      </w:r>
      <w:r>
        <w:rPr>
          <w:rFonts w:hint="eastAsia" w:ascii="宋体" w:hAnsi="宋体" w:cs="宋体"/>
          <w:sz w:val="22"/>
          <w:szCs w:val="22"/>
        </w:rPr>
        <w:t>。</w:t>
      </w:r>
    </w:p>
    <w:p>
      <w:pPr>
        <w:keepNext w:val="0"/>
        <w:keepLines w:val="0"/>
        <w:pageBreakBefore w:val="0"/>
        <w:widowControl/>
        <w:kinsoku/>
        <w:wordWrap/>
        <w:overflowPunct/>
        <w:topLinePunct w:val="0"/>
        <w:bidi w:val="0"/>
        <w:adjustRightInd/>
        <w:snapToGrid/>
        <w:spacing w:line="440" w:lineRule="exact"/>
        <w:ind w:firstLine="440" w:firstLineChars="200"/>
        <w:jc w:val="left"/>
        <w:textAlignment w:val="auto"/>
        <w:rPr>
          <w:rFonts w:ascii="宋体" w:hAnsi="宋体" w:cs="宋体"/>
          <w:sz w:val="22"/>
          <w:szCs w:val="22"/>
        </w:rPr>
      </w:pPr>
      <w:r>
        <w:rPr>
          <w:rFonts w:hint="eastAsia" w:ascii="宋体" w:hAnsi="宋体" w:cs="宋体"/>
          <w:sz w:val="22"/>
          <w:szCs w:val="22"/>
        </w:rPr>
        <w:t>3、本招标项目招标公告发布媒介：大丰公共资源电子交易平台（http://ggzy.dafeng.gov.cn/dfweb/）。</w:t>
      </w:r>
    </w:p>
    <w:p>
      <w:pPr>
        <w:keepNext w:val="0"/>
        <w:keepLines w:val="0"/>
        <w:pageBreakBefore w:val="0"/>
        <w:kinsoku/>
        <w:wordWrap/>
        <w:overflowPunct/>
        <w:topLinePunct w:val="0"/>
        <w:bidi w:val="0"/>
        <w:adjustRightInd/>
        <w:snapToGrid/>
        <w:spacing w:line="440" w:lineRule="exact"/>
        <w:ind w:firstLine="440" w:firstLineChars="200"/>
        <w:textAlignment w:val="auto"/>
        <w:rPr>
          <w:rFonts w:ascii="宋体" w:hAnsi="宋体" w:cs="宋体"/>
          <w:sz w:val="22"/>
          <w:szCs w:val="22"/>
        </w:rPr>
      </w:pPr>
      <w:r>
        <w:rPr>
          <w:rFonts w:hint="eastAsia" w:ascii="宋体" w:hAnsi="宋体" w:cs="宋体"/>
          <w:sz w:val="22"/>
          <w:szCs w:val="22"/>
        </w:rPr>
        <w:t>4、投标前请关注“大丰公共资源电子交易平台”的“政府采购”—“答疑补充”栏目。及时了解到项目的“答疑补充”等情况。</w:t>
      </w:r>
    </w:p>
    <w:p>
      <w:pPr>
        <w:keepNext w:val="0"/>
        <w:keepLines w:val="0"/>
        <w:pageBreakBefore w:val="0"/>
        <w:kinsoku/>
        <w:wordWrap/>
        <w:overflowPunct/>
        <w:topLinePunct w:val="0"/>
        <w:bidi w:val="0"/>
        <w:adjustRightInd/>
        <w:snapToGrid/>
        <w:spacing w:line="440" w:lineRule="exact"/>
        <w:ind w:firstLine="440" w:firstLineChars="200"/>
        <w:textAlignment w:val="auto"/>
        <w:rPr>
          <w:rFonts w:ascii="宋体" w:hAnsi="宋体" w:cs="宋体"/>
          <w:b/>
          <w:bCs/>
          <w:sz w:val="22"/>
          <w:szCs w:val="22"/>
        </w:rPr>
      </w:pPr>
      <w:r>
        <w:rPr>
          <w:rFonts w:hint="eastAsia" w:ascii="宋体" w:hAnsi="宋体" w:cs="宋体"/>
          <w:sz w:val="22"/>
          <w:szCs w:val="22"/>
        </w:rPr>
        <w:t>5、本项目采用全程电子化及不见面开标模式。本项目实行不见面开标，各投标人（供应商）的授权委托人或法人代表应在投标文件提交截止时间前提前登入“开标大厅系统”（步骤：登入-投标人-CA登录-江苏省CA），到达投标文件提交截止时间后，首先进入开标程序中的投标文件解密会议，然后按系统提示完成投标文件解密。投标人未按时完成投标文件解密或解密未成功的，均被视为投标人放弃本次投标（无效投标）。因投标人自身设备故障或自身原因导致无法完成投标的，对其形成的不利后果及责任由投标人自行承担。解密完成后，投标人可自行决定是否继续参加开（唱）标会议，投标人未参加开标的，视同认可开标结果。</w:t>
      </w:r>
    </w:p>
    <w:p>
      <w:pPr>
        <w:keepNext w:val="0"/>
        <w:keepLines w:val="0"/>
        <w:pageBreakBefore w:val="0"/>
        <w:kinsoku/>
        <w:wordWrap/>
        <w:overflowPunct/>
        <w:topLinePunct w:val="0"/>
        <w:bidi w:val="0"/>
        <w:adjustRightInd/>
        <w:snapToGrid/>
        <w:spacing w:line="440" w:lineRule="exact"/>
        <w:ind w:firstLine="440" w:firstLineChars="200"/>
        <w:jc w:val="left"/>
        <w:textAlignment w:val="auto"/>
        <w:rPr>
          <w:rFonts w:ascii="宋体" w:hAnsi="宋体" w:cs="宋体"/>
          <w:sz w:val="22"/>
          <w:szCs w:val="22"/>
        </w:rPr>
      </w:pPr>
      <w:r>
        <w:rPr>
          <w:rFonts w:hint="eastAsia" w:ascii="宋体" w:hAnsi="宋体" w:cs="宋体"/>
          <w:sz w:val="22"/>
          <w:szCs w:val="22"/>
        </w:rPr>
        <w:t>6、开标大厅系统网址为：http://js.etrading.cn/EpointBidOpening/bidopeninghallaction/hall/login。</w:t>
      </w:r>
    </w:p>
    <w:p>
      <w:pPr>
        <w:keepNext w:val="0"/>
        <w:keepLines w:val="0"/>
        <w:pageBreakBefore w:val="0"/>
        <w:kinsoku/>
        <w:wordWrap/>
        <w:overflowPunct/>
        <w:topLinePunct w:val="0"/>
        <w:bidi w:val="0"/>
        <w:adjustRightInd/>
        <w:snapToGrid/>
        <w:spacing w:line="440" w:lineRule="exact"/>
        <w:ind w:firstLine="442" w:firstLineChars="200"/>
        <w:textAlignment w:val="auto"/>
        <w:rPr>
          <w:rFonts w:ascii="宋体" w:hAnsi="宋体" w:cs="宋体"/>
          <w:sz w:val="22"/>
          <w:szCs w:val="22"/>
        </w:rPr>
      </w:pPr>
      <w:r>
        <w:rPr>
          <w:rFonts w:hint="eastAsia" w:ascii="宋体" w:hAnsi="宋体" w:cs="宋体"/>
          <w:b/>
          <w:bCs/>
          <w:sz w:val="22"/>
          <w:szCs w:val="22"/>
        </w:rPr>
        <w:t>七、投标保证金</w:t>
      </w:r>
    </w:p>
    <w:p>
      <w:pPr>
        <w:keepNext w:val="0"/>
        <w:keepLines w:val="0"/>
        <w:pageBreakBefore w:val="0"/>
        <w:kinsoku/>
        <w:wordWrap/>
        <w:overflowPunct/>
        <w:topLinePunct w:val="0"/>
        <w:bidi w:val="0"/>
        <w:adjustRightInd/>
        <w:snapToGrid/>
        <w:spacing w:line="440" w:lineRule="exact"/>
        <w:ind w:firstLine="440" w:firstLineChars="200"/>
        <w:textAlignment w:val="auto"/>
        <w:rPr>
          <w:rFonts w:ascii="宋体" w:hAnsi="宋体" w:cs="宋体"/>
          <w:b/>
          <w:bCs/>
          <w:sz w:val="22"/>
          <w:szCs w:val="22"/>
        </w:rPr>
      </w:pPr>
      <w:r>
        <w:rPr>
          <w:rFonts w:hint="eastAsia" w:ascii="宋体" w:hAnsi="宋体" w:cs="宋体"/>
          <w:sz w:val="22"/>
          <w:szCs w:val="22"/>
        </w:rPr>
        <w:t>本项目不需要缴纳投标保证金。</w:t>
      </w:r>
    </w:p>
    <w:p>
      <w:pPr>
        <w:keepNext w:val="0"/>
        <w:keepLines w:val="0"/>
        <w:pageBreakBefore w:val="0"/>
        <w:kinsoku/>
        <w:wordWrap/>
        <w:overflowPunct/>
        <w:topLinePunct w:val="0"/>
        <w:bidi w:val="0"/>
        <w:adjustRightInd/>
        <w:snapToGrid/>
        <w:spacing w:line="440" w:lineRule="exact"/>
        <w:ind w:firstLine="442" w:firstLineChars="200"/>
        <w:textAlignment w:val="auto"/>
        <w:rPr>
          <w:rFonts w:ascii="宋体" w:hAnsi="宋体" w:cs="宋体"/>
          <w:b/>
          <w:bCs/>
          <w:sz w:val="22"/>
          <w:szCs w:val="22"/>
        </w:rPr>
      </w:pPr>
      <w:r>
        <w:rPr>
          <w:rFonts w:hint="eastAsia" w:ascii="宋体" w:hAnsi="宋体" w:cs="宋体"/>
          <w:b/>
          <w:bCs/>
          <w:sz w:val="22"/>
          <w:szCs w:val="22"/>
        </w:rPr>
        <w:t>八、投标人在诚信库中录入的所有信息均应合法真实有效，并应在投标文件提交截止时间前完成诚信库信息的及时更新、完善，采购人或评标委员会将按照投标文件提交截止时间前的现状信息予以审查或评审，如投标人未及时更新和完善的，对其形成不利的后果及责任由投标人自行承担。投标人录入诚信库提交的信息如有虚假或其他违法违规情形的，将有可能面临被列为失信行为的风险并承担相应的法律责任。</w:t>
      </w:r>
    </w:p>
    <w:p>
      <w:pPr>
        <w:keepNext w:val="0"/>
        <w:keepLines w:val="0"/>
        <w:pageBreakBefore w:val="0"/>
        <w:widowControl/>
        <w:kinsoku/>
        <w:wordWrap/>
        <w:overflowPunct/>
        <w:topLinePunct w:val="0"/>
        <w:bidi w:val="0"/>
        <w:adjustRightInd/>
        <w:snapToGrid/>
        <w:spacing w:line="440" w:lineRule="exact"/>
        <w:ind w:firstLine="442" w:firstLineChars="200"/>
        <w:jc w:val="left"/>
        <w:textAlignment w:val="auto"/>
        <w:rPr>
          <w:rFonts w:ascii="宋体" w:hAnsi="宋体" w:cs="宋体"/>
          <w:sz w:val="22"/>
          <w:szCs w:val="22"/>
        </w:rPr>
      </w:pPr>
      <w:r>
        <w:rPr>
          <w:rFonts w:hint="eastAsia" w:ascii="宋体" w:hAnsi="宋体" w:cs="宋体"/>
          <w:b/>
          <w:bCs/>
          <w:sz w:val="22"/>
          <w:szCs w:val="22"/>
        </w:rPr>
        <w:t>九、对本次招标提出询问，请按以下方式联系。</w:t>
      </w:r>
    </w:p>
    <w:p>
      <w:pPr>
        <w:keepNext w:val="0"/>
        <w:keepLines w:val="0"/>
        <w:pageBreakBefore w:val="0"/>
        <w:kinsoku/>
        <w:wordWrap/>
        <w:overflowPunct/>
        <w:topLinePunct w:val="0"/>
        <w:autoSpaceDE w:val="0"/>
        <w:autoSpaceDN w:val="0"/>
        <w:bidi w:val="0"/>
        <w:adjustRightInd/>
        <w:snapToGrid/>
        <w:spacing w:line="440" w:lineRule="exact"/>
        <w:ind w:firstLine="420" w:firstLineChars="200"/>
        <w:jc w:val="left"/>
        <w:textAlignment w:val="auto"/>
        <w:rPr>
          <w:rFonts w:ascii="宋体" w:hAnsi="宋体" w:cs="宋体"/>
          <w:kern w:val="0"/>
          <w:szCs w:val="21"/>
          <w:lang w:val="zh-CN"/>
        </w:rPr>
      </w:pPr>
      <w:r>
        <w:rPr>
          <w:rFonts w:hint="eastAsia" w:ascii="宋体" w:hAnsi="宋体" w:cs="宋体"/>
          <w:kern w:val="0"/>
          <w:szCs w:val="21"/>
          <w:lang w:val="zh-CN"/>
        </w:rPr>
        <w:t>1.采购人信息</w:t>
      </w:r>
    </w:p>
    <w:p>
      <w:pPr>
        <w:keepNext w:val="0"/>
        <w:keepLines w:val="0"/>
        <w:pageBreakBefore w:val="0"/>
        <w:kinsoku/>
        <w:wordWrap/>
        <w:overflowPunct/>
        <w:topLinePunct w:val="0"/>
        <w:autoSpaceDE w:val="0"/>
        <w:autoSpaceDN w:val="0"/>
        <w:bidi w:val="0"/>
        <w:adjustRightInd/>
        <w:snapToGrid/>
        <w:spacing w:line="440" w:lineRule="exact"/>
        <w:ind w:firstLine="420" w:firstLineChars="200"/>
        <w:jc w:val="left"/>
        <w:textAlignment w:val="auto"/>
        <w:rPr>
          <w:rFonts w:ascii="宋体" w:hAnsi="宋体" w:cs="宋体"/>
          <w:kern w:val="0"/>
          <w:szCs w:val="21"/>
          <w:lang w:val="zh-CN"/>
        </w:rPr>
      </w:pPr>
      <w:r>
        <w:rPr>
          <w:rFonts w:hint="eastAsia" w:ascii="宋体" w:hAnsi="宋体" w:cs="宋体"/>
          <w:kern w:val="0"/>
          <w:szCs w:val="21"/>
          <w:lang w:val="zh-CN"/>
        </w:rPr>
        <w:t>名</w:t>
      </w:r>
      <w:r>
        <w:rPr>
          <w:rFonts w:hint="eastAsia" w:ascii="宋体" w:hAnsi="宋体" w:cs="宋体"/>
          <w:kern w:val="0"/>
          <w:szCs w:val="21"/>
        </w:rPr>
        <w:t xml:space="preserve">    </w:t>
      </w:r>
      <w:r>
        <w:rPr>
          <w:rFonts w:hint="eastAsia" w:ascii="宋体" w:hAnsi="宋体" w:cs="宋体"/>
          <w:kern w:val="0"/>
          <w:szCs w:val="21"/>
          <w:lang w:val="zh-CN"/>
        </w:rPr>
        <w:t>称：</w:t>
      </w:r>
      <w:r>
        <w:rPr>
          <w:rFonts w:hint="eastAsia" w:ascii="宋体" w:hAnsi="宋体" w:cs="宋体"/>
          <w:kern w:val="0"/>
          <w:szCs w:val="21"/>
          <w:shd w:val="clear" w:color="auto" w:fill="FFFFFF"/>
        </w:rPr>
        <w:t xml:space="preserve">盐城市大丰区城镇净水有限公司 </w:t>
      </w:r>
      <w:r>
        <w:rPr>
          <w:rFonts w:hint="eastAsia" w:ascii="宋体" w:hAnsi="宋体" w:cs="宋体"/>
          <w:kern w:val="0"/>
          <w:szCs w:val="21"/>
          <w:shd w:val="clear" w:color="auto" w:fill="FFFFFF"/>
          <w:lang w:val="zh-CN"/>
        </w:rPr>
        <w:t xml:space="preserve"> </w:t>
      </w:r>
    </w:p>
    <w:p>
      <w:pPr>
        <w:keepNext w:val="0"/>
        <w:keepLines w:val="0"/>
        <w:pageBreakBefore w:val="0"/>
        <w:kinsoku/>
        <w:wordWrap/>
        <w:overflowPunct/>
        <w:topLinePunct w:val="0"/>
        <w:autoSpaceDE w:val="0"/>
        <w:autoSpaceDN w:val="0"/>
        <w:bidi w:val="0"/>
        <w:adjustRightInd/>
        <w:snapToGrid/>
        <w:spacing w:line="440" w:lineRule="exact"/>
        <w:ind w:firstLine="420" w:firstLineChars="200"/>
        <w:jc w:val="left"/>
        <w:textAlignment w:val="auto"/>
        <w:rPr>
          <w:rFonts w:ascii="宋体" w:hAnsi="宋体" w:cs="宋体"/>
          <w:kern w:val="0"/>
          <w:szCs w:val="21"/>
          <w:lang w:val="zh-CN"/>
        </w:rPr>
      </w:pPr>
      <w:r>
        <w:rPr>
          <w:rFonts w:hint="eastAsia" w:ascii="宋体" w:hAnsi="宋体" w:cs="宋体"/>
          <w:kern w:val="0"/>
          <w:szCs w:val="21"/>
          <w:lang w:val="zh-CN"/>
        </w:rPr>
        <w:t>联系地址：</w:t>
      </w:r>
      <w:r>
        <w:rPr>
          <w:rFonts w:hint="eastAsia" w:ascii="宋体" w:hAnsi="宋体" w:cs="宋体"/>
          <w:kern w:val="0"/>
          <w:szCs w:val="21"/>
          <w:shd w:val="clear" w:color="auto" w:fill="FFFFFF"/>
        </w:rPr>
        <w:t>盐城市大丰区</w:t>
      </w:r>
    </w:p>
    <w:p>
      <w:pPr>
        <w:keepNext w:val="0"/>
        <w:keepLines w:val="0"/>
        <w:pageBreakBefore w:val="0"/>
        <w:kinsoku/>
        <w:wordWrap/>
        <w:overflowPunct/>
        <w:topLinePunct w:val="0"/>
        <w:autoSpaceDE w:val="0"/>
        <w:autoSpaceDN w:val="0"/>
        <w:bidi w:val="0"/>
        <w:adjustRightInd/>
        <w:snapToGrid/>
        <w:spacing w:line="440" w:lineRule="exact"/>
        <w:ind w:firstLine="420" w:firstLineChars="200"/>
        <w:jc w:val="left"/>
        <w:textAlignment w:val="auto"/>
        <w:rPr>
          <w:rFonts w:ascii="宋体" w:hAnsi="宋体" w:cs="宋体"/>
          <w:kern w:val="0"/>
          <w:szCs w:val="21"/>
          <w:lang w:val="zh-CN"/>
        </w:rPr>
      </w:pPr>
      <w:r>
        <w:rPr>
          <w:rFonts w:hint="eastAsia" w:ascii="宋体" w:hAnsi="宋体" w:cs="宋体"/>
          <w:kern w:val="0"/>
          <w:szCs w:val="21"/>
          <w:lang w:val="zh-CN"/>
        </w:rPr>
        <w:t>联 系 人：宋海涛</w:t>
      </w:r>
    </w:p>
    <w:p>
      <w:pPr>
        <w:keepNext w:val="0"/>
        <w:keepLines w:val="0"/>
        <w:pageBreakBefore w:val="0"/>
        <w:kinsoku/>
        <w:wordWrap/>
        <w:overflowPunct/>
        <w:topLinePunct w:val="0"/>
        <w:autoSpaceDE w:val="0"/>
        <w:autoSpaceDN w:val="0"/>
        <w:bidi w:val="0"/>
        <w:adjustRightInd/>
        <w:snapToGrid/>
        <w:spacing w:line="440" w:lineRule="exact"/>
        <w:ind w:firstLine="420" w:firstLineChars="200"/>
        <w:jc w:val="left"/>
        <w:textAlignment w:val="auto"/>
        <w:rPr>
          <w:rFonts w:ascii="宋体" w:hAnsi="宋体" w:cs="宋体"/>
          <w:kern w:val="0"/>
          <w:szCs w:val="21"/>
          <w:lang w:val="zh-CN"/>
        </w:rPr>
      </w:pPr>
      <w:r>
        <w:rPr>
          <w:rFonts w:hint="eastAsia" w:ascii="宋体" w:hAnsi="宋体" w:cs="宋体"/>
          <w:kern w:val="0"/>
          <w:szCs w:val="21"/>
          <w:lang w:val="zh-CN"/>
        </w:rPr>
        <w:t>联系方式：13851313037</w:t>
      </w:r>
    </w:p>
    <w:p>
      <w:pPr>
        <w:keepNext w:val="0"/>
        <w:keepLines w:val="0"/>
        <w:pageBreakBefore w:val="0"/>
        <w:kinsoku/>
        <w:wordWrap/>
        <w:overflowPunct/>
        <w:topLinePunct w:val="0"/>
        <w:autoSpaceDE w:val="0"/>
        <w:autoSpaceDN w:val="0"/>
        <w:bidi w:val="0"/>
        <w:adjustRightInd/>
        <w:snapToGrid/>
        <w:spacing w:line="440" w:lineRule="exact"/>
        <w:ind w:firstLine="420" w:firstLineChars="200"/>
        <w:jc w:val="left"/>
        <w:textAlignment w:val="auto"/>
        <w:rPr>
          <w:kern w:val="0"/>
          <w:szCs w:val="21"/>
          <w:lang w:val="zh-CN"/>
        </w:rPr>
      </w:pPr>
      <w:r>
        <w:rPr>
          <w:kern w:val="0"/>
          <w:szCs w:val="21"/>
          <w:lang w:val="zh-CN"/>
        </w:rPr>
        <w:t>2.</w:t>
      </w:r>
      <w:r>
        <w:rPr>
          <w:rFonts w:hint="eastAsia"/>
          <w:kern w:val="0"/>
          <w:szCs w:val="21"/>
        </w:rPr>
        <w:t>采购</w:t>
      </w:r>
      <w:r>
        <w:rPr>
          <w:kern w:val="0"/>
          <w:szCs w:val="21"/>
          <w:lang w:val="zh-CN"/>
        </w:rPr>
        <w:t>代理机构信息</w:t>
      </w:r>
    </w:p>
    <w:p>
      <w:pPr>
        <w:keepNext w:val="0"/>
        <w:keepLines w:val="0"/>
        <w:pageBreakBefore w:val="0"/>
        <w:kinsoku/>
        <w:wordWrap/>
        <w:overflowPunct/>
        <w:topLinePunct w:val="0"/>
        <w:autoSpaceDE w:val="0"/>
        <w:autoSpaceDN w:val="0"/>
        <w:bidi w:val="0"/>
        <w:adjustRightInd/>
        <w:snapToGrid/>
        <w:spacing w:line="440" w:lineRule="exact"/>
        <w:ind w:firstLine="420" w:firstLineChars="200"/>
        <w:jc w:val="left"/>
        <w:textAlignment w:val="auto"/>
        <w:rPr>
          <w:kern w:val="0"/>
          <w:szCs w:val="21"/>
          <w:lang w:val="zh-CN"/>
        </w:rPr>
      </w:pPr>
      <w:r>
        <w:rPr>
          <w:kern w:val="0"/>
          <w:szCs w:val="21"/>
          <w:lang w:val="zh-CN"/>
        </w:rPr>
        <w:t>名称：</w:t>
      </w:r>
      <w:r>
        <w:rPr>
          <w:rFonts w:hint="eastAsia"/>
          <w:kern w:val="0"/>
          <w:szCs w:val="21"/>
          <w:lang w:val="zh-CN"/>
        </w:rPr>
        <w:t>盐城宏源工程管理有限公司</w:t>
      </w:r>
    </w:p>
    <w:p>
      <w:pPr>
        <w:keepNext w:val="0"/>
        <w:keepLines w:val="0"/>
        <w:pageBreakBefore w:val="0"/>
        <w:kinsoku/>
        <w:wordWrap/>
        <w:overflowPunct/>
        <w:topLinePunct w:val="0"/>
        <w:autoSpaceDE w:val="0"/>
        <w:autoSpaceDN w:val="0"/>
        <w:bidi w:val="0"/>
        <w:adjustRightInd/>
        <w:snapToGrid/>
        <w:spacing w:line="440" w:lineRule="exact"/>
        <w:ind w:firstLine="420" w:firstLineChars="200"/>
        <w:jc w:val="left"/>
        <w:textAlignment w:val="auto"/>
        <w:rPr>
          <w:kern w:val="0"/>
          <w:szCs w:val="21"/>
          <w:lang w:val="zh-CN"/>
        </w:rPr>
      </w:pPr>
      <w:r>
        <w:rPr>
          <w:kern w:val="0"/>
          <w:szCs w:val="21"/>
          <w:lang w:val="zh-CN"/>
        </w:rPr>
        <w:t>地址：</w:t>
      </w:r>
      <w:r>
        <w:rPr>
          <w:rFonts w:hint="eastAsia"/>
          <w:kern w:val="0"/>
          <w:szCs w:val="21"/>
          <w:lang w:val="zh-CN"/>
        </w:rPr>
        <w:t>盐城市大丰区黄海西路28号</w:t>
      </w:r>
    </w:p>
    <w:p>
      <w:pPr>
        <w:keepNext w:val="0"/>
        <w:keepLines w:val="0"/>
        <w:pageBreakBefore w:val="0"/>
        <w:kinsoku/>
        <w:wordWrap/>
        <w:overflowPunct/>
        <w:topLinePunct w:val="0"/>
        <w:autoSpaceDE w:val="0"/>
        <w:autoSpaceDN w:val="0"/>
        <w:bidi w:val="0"/>
        <w:adjustRightInd/>
        <w:snapToGrid/>
        <w:spacing w:line="440" w:lineRule="exact"/>
        <w:ind w:firstLine="420" w:firstLineChars="200"/>
        <w:jc w:val="left"/>
        <w:textAlignment w:val="auto"/>
        <w:rPr>
          <w:kern w:val="0"/>
          <w:szCs w:val="21"/>
          <w:lang w:val="zh-CN"/>
        </w:rPr>
      </w:pPr>
      <w:r>
        <w:rPr>
          <w:rFonts w:hint="eastAsia"/>
          <w:kern w:val="0"/>
          <w:szCs w:val="21"/>
          <w:lang w:val="zh-CN"/>
        </w:rPr>
        <w:t>联系人：邰泽鹏</w:t>
      </w:r>
    </w:p>
    <w:p>
      <w:pPr>
        <w:keepNext w:val="0"/>
        <w:keepLines w:val="0"/>
        <w:pageBreakBefore w:val="0"/>
        <w:kinsoku/>
        <w:wordWrap/>
        <w:overflowPunct/>
        <w:topLinePunct w:val="0"/>
        <w:autoSpaceDE w:val="0"/>
        <w:autoSpaceDN w:val="0"/>
        <w:bidi w:val="0"/>
        <w:adjustRightInd/>
        <w:snapToGrid/>
        <w:spacing w:line="440" w:lineRule="exact"/>
        <w:ind w:firstLine="420" w:firstLineChars="200"/>
        <w:jc w:val="left"/>
        <w:textAlignment w:val="auto"/>
        <w:rPr>
          <w:rFonts w:hint="eastAsia" w:ascii="Times New Roman" w:hAnsi="Times New Roman" w:eastAsia="宋体" w:cs="Times New Roman"/>
          <w:kern w:val="0"/>
          <w:szCs w:val="21"/>
          <w:lang w:val="zh-CN"/>
        </w:rPr>
      </w:pPr>
      <w:r>
        <w:rPr>
          <w:kern w:val="0"/>
          <w:szCs w:val="21"/>
          <w:lang w:val="zh-CN"/>
        </w:rPr>
        <w:t>联系方式：</w:t>
      </w:r>
      <w:r>
        <w:rPr>
          <w:rFonts w:hint="eastAsia" w:ascii="Times New Roman" w:hAnsi="Times New Roman" w:eastAsia="宋体" w:cs="Times New Roman"/>
          <w:kern w:val="0"/>
          <w:szCs w:val="21"/>
          <w:lang w:val="zh-CN"/>
        </w:rPr>
        <w:t>18962071685　　</w:t>
      </w:r>
    </w:p>
    <w:p>
      <w:pPr>
        <w:keepNext w:val="0"/>
        <w:keepLines w:val="0"/>
        <w:pageBreakBefore w:val="0"/>
        <w:kinsoku/>
        <w:wordWrap/>
        <w:overflowPunct/>
        <w:topLinePunct w:val="0"/>
        <w:autoSpaceDE w:val="0"/>
        <w:autoSpaceDN w:val="0"/>
        <w:bidi w:val="0"/>
        <w:adjustRightInd/>
        <w:snapToGrid/>
        <w:spacing w:line="440" w:lineRule="exact"/>
        <w:ind w:firstLine="420" w:firstLineChars="200"/>
        <w:jc w:val="left"/>
        <w:textAlignment w:val="auto"/>
        <w:rPr>
          <w:rFonts w:hint="eastAsia" w:ascii="Times New Roman" w:hAnsi="Times New Roman" w:eastAsia="宋体" w:cs="Times New Roman"/>
          <w:kern w:val="0"/>
          <w:szCs w:val="21"/>
          <w:lang w:val="zh-CN"/>
        </w:rPr>
      </w:pPr>
      <w:r>
        <w:rPr>
          <w:rFonts w:hint="eastAsia" w:ascii="Times New Roman" w:hAnsi="Times New Roman" w:eastAsia="宋体" w:cs="Times New Roman"/>
          <w:kern w:val="0"/>
          <w:szCs w:val="21"/>
          <w:lang w:val="zh-CN"/>
        </w:rPr>
        <w:t>3.项目联系方式</w:t>
      </w:r>
    </w:p>
    <w:p>
      <w:pPr>
        <w:keepNext w:val="0"/>
        <w:keepLines w:val="0"/>
        <w:pageBreakBefore w:val="0"/>
        <w:kinsoku/>
        <w:wordWrap/>
        <w:overflowPunct/>
        <w:topLinePunct w:val="0"/>
        <w:autoSpaceDE w:val="0"/>
        <w:autoSpaceDN w:val="0"/>
        <w:bidi w:val="0"/>
        <w:adjustRightInd/>
        <w:snapToGrid/>
        <w:spacing w:line="440" w:lineRule="exact"/>
        <w:ind w:firstLine="420" w:firstLineChars="200"/>
        <w:jc w:val="left"/>
        <w:textAlignment w:val="auto"/>
        <w:rPr>
          <w:rFonts w:hint="eastAsia" w:ascii="Times New Roman" w:hAnsi="Times New Roman" w:eastAsia="宋体" w:cs="Times New Roman"/>
          <w:kern w:val="0"/>
          <w:szCs w:val="21"/>
          <w:lang w:val="zh-CN"/>
        </w:rPr>
      </w:pPr>
      <w:r>
        <w:rPr>
          <w:rFonts w:hint="eastAsia" w:ascii="Times New Roman" w:hAnsi="Times New Roman" w:eastAsia="宋体" w:cs="Times New Roman"/>
          <w:kern w:val="0"/>
          <w:szCs w:val="21"/>
          <w:lang w:val="zh-CN"/>
        </w:rPr>
        <w:t>项目联系人：邰泽鹏</w:t>
      </w:r>
    </w:p>
    <w:p>
      <w:pPr>
        <w:keepNext w:val="0"/>
        <w:keepLines w:val="0"/>
        <w:pageBreakBefore w:val="0"/>
        <w:kinsoku/>
        <w:wordWrap/>
        <w:overflowPunct/>
        <w:topLinePunct w:val="0"/>
        <w:autoSpaceDE w:val="0"/>
        <w:autoSpaceDN w:val="0"/>
        <w:bidi w:val="0"/>
        <w:adjustRightInd/>
        <w:snapToGrid/>
        <w:spacing w:line="440" w:lineRule="exact"/>
        <w:ind w:firstLine="420" w:firstLineChars="200"/>
        <w:jc w:val="left"/>
        <w:textAlignment w:val="auto"/>
        <w:rPr>
          <w:rFonts w:hint="eastAsia"/>
          <w:color w:val="auto"/>
          <w:kern w:val="0"/>
          <w:szCs w:val="21"/>
          <w:highlight w:val="none"/>
          <w:lang w:val="zh-CN"/>
        </w:rPr>
      </w:pPr>
      <w:r>
        <w:rPr>
          <w:rFonts w:hint="eastAsia" w:ascii="Times New Roman" w:hAnsi="Times New Roman" w:eastAsia="宋体" w:cs="Times New Roman"/>
          <w:kern w:val="0"/>
          <w:szCs w:val="21"/>
          <w:lang w:val="zh-CN"/>
        </w:rPr>
        <w:t>电　话：18962071685</w:t>
      </w:r>
      <w:r>
        <w:rPr>
          <w:rFonts w:hint="eastAsia"/>
          <w:color w:val="auto"/>
          <w:kern w:val="0"/>
          <w:szCs w:val="21"/>
          <w:highlight w:val="none"/>
          <w:lang w:val="zh-CN"/>
        </w:rPr>
        <w:t>　</w:t>
      </w:r>
    </w:p>
    <w:p>
      <w:pPr>
        <w:pStyle w:val="2"/>
        <w:spacing w:before="0" w:after="0" w:line="360" w:lineRule="auto"/>
        <w:rPr>
          <w:rFonts w:ascii="宋体" w:hAnsi="宋体"/>
          <w:color w:val="auto"/>
          <w:highlight w:val="none"/>
        </w:rPr>
      </w:pPr>
      <w:bookmarkStart w:id="21" w:name="_Toc21594"/>
      <w:r>
        <w:rPr>
          <w:rFonts w:ascii="宋体" w:hAnsi="宋体"/>
          <w:color w:val="auto"/>
          <w:highlight w:val="none"/>
        </w:rPr>
        <w:t>第二章  投标人须知</w:t>
      </w:r>
      <w:bookmarkEnd w:id="10"/>
      <w:bookmarkEnd w:id="11"/>
      <w:bookmarkEnd w:id="12"/>
      <w:bookmarkEnd w:id="13"/>
      <w:bookmarkEnd w:id="14"/>
      <w:bookmarkEnd w:id="15"/>
      <w:bookmarkEnd w:id="16"/>
      <w:bookmarkEnd w:id="17"/>
      <w:bookmarkEnd w:id="18"/>
      <w:bookmarkEnd w:id="19"/>
      <w:bookmarkEnd w:id="21"/>
    </w:p>
    <w:p>
      <w:pPr>
        <w:pStyle w:val="29"/>
        <w:spacing w:before="0" w:after="0"/>
        <w:jc w:val="center"/>
        <w:rPr>
          <w:rFonts w:ascii="宋体" w:hAnsi="宋体"/>
          <w:color w:val="auto"/>
          <w:highlight w:val="none"/>
        </w:rPr>
      </w:pPr>
      <w:bookmarkStart w:id="22" w:name="_Toc397928548"/>
      <w:bookmarkStart w:id="23" w:name="_Toc387526374"/>
      <w:bookmarkStart w:id="24" w:name="_Toc508216879"/>
      <w:bookmarkStart w:id="25" w:name="_Toc16205"/>
      <w:bookmarkStart w:id="26" w:name="_Toc369077559"/>
      <w:bookmarkStart w:id="27" w:name="_Toc387526178"/>
      <w:bookmarkStart w:id="28" w:name="_Toc387526282"/>
      <w:r>
        <w:rPr>
          <w:rFonts w:ascii="宋体" w:hAnsi="宋体"/>
          <w:color w:val="auto"/>
          <w:highlight w:val="none"/>
        </w:rPr>
        <w:t>投标人须知前附表</w:t>
      </w:r>
      <w:bookmarkEnd w:id="22"/>
      <w:bookmarkEnd w:id="23"/>
      <w:bookmarkEnd w:id="24"/>
      <w:bookmarkEnd w:id="25"/>
      <w:bookmarkEnd w:id="26"/>
      <w:bookmarkEnd w:id="27"/>
      <w:bookmarkEnd w:id="28"/>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912"/>
        <w:gridCol w:w="6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条款号</w:t>
            </w:r>
          </w:p>
        </w:tc>
        <w:tc>
          <w:tcPr>
            <w:tcW w:w="1912" w:type="dxa"/>
            <w:vAlign w:val="center"/>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条 款 名 称</w:t>
            </w:r>
          </w:p>
        </w:tc>
        <w:tc>
          <w:tcPr>
            <w:tcW w:w="6868" w:type="dxa"/>
            <w:vAlign w:val="center"/>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1.1.2</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招标人</w:t>
            </w:r>
          </w:p>
        </w:tc>
        <w:tc>
          <w:tcPr>
            <w:tcW w:w="6868"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盐城市大丰区城镇净水有限公司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1.1.3</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招标代理机构</w:t>
            </w:r>
          </w:p>
        </w:tc>
        <w:tc>
          <w:tcPr>
            <w:tcW w:w="6868"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盐城宏源工程管理有限公司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1.1.4</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6868" w:type="dxa"/>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2024年大丰区农村生活污水治理排查、方案编制、设计项目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1.2.1</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资金来源</w:t>
            </w:r>
          </w:p>
        </w:tc>
        <w:tc>
          <w:tcPr>
            <w:tcW w:w="6868"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1.2.2</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出资比例</w:t>
            </w:r>
          </w:p>
        </w:tc>
        <w:tc>
          <w:tcPr>
            <w:tcW w:w="6868"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1.2.3</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资金落实情况</w:t>
            </w:r>
          </w:p>
        </w:tc>
        <w:tc>
          <w:tcPr>
            <w:tcW w:w="6868"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1.3.1</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采购需求</w:t>
            </w:r>
          </w:p>
        </w:tc>
        <w:tc>
          <w:tcPr>
            <w:tcW w:w="6868"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1.3.2</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合同履行期限</w:t>
            </w:r>
          </w:p>
        </w:tc>
        <w:tc>
          <w:tcPr>
            <w:tcW w:w="6868"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1.3.3</w:t>
            </w:r>
          </w:p>
        </w:tc>
        <w:tc>
          <w:tcPr>
            <w:tcW w:w="1912" w:type="dxa"/>
            <w:vAlign w:val="center"/>
          </w:tcPr>
          <w:p>
            <w:pPr>
              <w:spacing w:line="480" w:lineRule="exact"/>
              <w:jc w:val="center"/>
              <w:rPr>
                <w:rFonts w:ascii="宋体" w:hAnsi="宋体" w:cs="宋体"/>
                <w:bCs/>
                <w:color w:val="auto"/>
                <w:szCs w:val="21"/>
                <w:highlight w:val="none"/>
              </w:rPr>
            </w:pPr>
            <w:r>
              <w:rPr>
                <w:rFonts w:hint="eastAsia" w:ascii="宋体" w:hAnsi="宋体" w:cs="宋体"/>
                <w:bCs/>
                <w:color w:val="auto"/>
                <w:szCs w:val="21"/>
                <w:highlight w:val="none"/>
              </w:rPr>
              <w:t>服务地点</w:t>
            </w:r>
          </w:p>
        </w:tc>
        <w:tc>
          <w:tcPr>
            <w:tcW w:w="6868"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盐城市大丰区境内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1.3.4</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质量要求</w:t>
            </w:r>
          </w:p>
        </w:tc>
        <w:tc>
          <w:tcPr>
            <w:tcW w:w="6868" w:type="dxa"/>
            <w:vAlign w:val="center"/>
          </w:tcPr>
          <w:p>
            <w:pPr>
              <w:spacing w:line="480" w:lineRule="exact"/>
              <w:rPr>
                <w:color w:val="auto"/>
                <w:highlight w:val="none"/>
              </w:rPr>
            </w:pPr>
            <w:r>
              <w:rPr>
                <w:rFonts w:hint="eastAsia" w:ascii="宋体" w:hAnsi="宋体" w:cs="宋体"/>
                <w:color w:val="auto"/>
                <w:szCs w:val="21"/>
                <w:highlight w:val="none"/>
              </w:rPr>
              <w:t xml:space="preserve">按照国家、省、市等相关技术标准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1.4.1</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投标人资格要求</w:t>
            </w:r>
          </w:p>
        </w:tc>
        <w:tc>
          <w:tcPr>
            <w:tcW w:w="6868"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1.4.2</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是否接受联合体投标</w:t>
            </w:r>
          </w:p>
        </w:tc>
        <w:tc>
          <w:tcPr>
            <w:tcW w:w="6868" w:type="dxa"/>
            <w:vAlign w:val="center"/>
          </w:tcPr>
          <w:p>
            <w:pPr>
              <w:spacing w:line="480" w:lineRule="exact"/>
              <w:rPr>
                <w:rFonts w:ascii="宋体" w:hAnsi="宋体" w:cs="宋体"/>
                <w:color w:val="auto"/>
                <w:kern w:val="0"/>
                <w:szCs w:val="21"/>
                <w:highlight w:val="none"/>
              </w:rPr>
            </w:pPr>
            <w:r>
              <w:rPr>
                <w:rFonts w:hint="eastAsia" w:ascii="宋体" w:hAnsi="宋体" w:cs="宋体"/>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b/>
                <w:color w:val="auto"/>
                <w:szCs w:val="21"/>
                <w:highlight w:val="none"/>
              </w:rPr>
            </w:pPr>
            <w:r>
              <w:rPr>
                <w:rFonts w:hint="eastAsia" w:ascii="宋体" w:hAnsi="宋体" w:cs="宋体"/>
                <w:color w:val="auto"/>
                <w:szCs w:val="21"/>
                <w:highlight w:val="none"/>
              </w:rPr>
              <w:t>1.9.1</w:t>
            </w:r>
          </w:p>
        </w:tc>
        <w:tc>
          <w:tcPr>
            <w:tcW w:w="1912" w:type="dxa"/>
            <w:vAlign w:val="center"/>
          </w:tcPr>
          <w:p>
            <w:pPr>
              <w:spacing w:line="480" w:lineRule="exact"/>
              <w:jc w:val="center"/>
              <w:rPr>
                <w:rFonts w:ascii="宋体" w:hAnsi="宋体" w:cs="宋体"/>
                <w:b/>
                <w:color w:val="auto"/>
                <w:szCs w:val="21"/>
                <w:highlight w:val="none"/>
              </w:rPr>
            </w:pPr>
            <w:r>
              <w:rPr>
                <w:rFonts w:hint="eastAsia" w:ascii="宋体" w:hAnsi="宋体" w:cs="宋体"/>
                <w:color w:val="auto"/>
                <w:kern w:val="0"/>
                <w:szCs w:val="21"/>
                <w:highlight w:val="none"/>
              </w:rPr>
              <w:t>踏勘现场</w:t>
            </w:r>
          </w:p>
        </w:tc>
        <w:tc>
          <w:tcPr>
            <w:tcW w:w="6868" w:type="dxa"/>
            <w:vAlign w:val="center"/>
          </w:tcPr>
          <w:p>
            <w:pPr>
              <w:spacing w:line="480" w:lineRule="exact"/>
              <w:rPr>
                <w:rFonts w:ascii="宋体" w:hAnsi="宋体" w:cs="宋体"/>
                <w:b/>
                <w:color w:val="auto"/>
                <w:szCs w:val="21"/>
                <w:highlight w:val="none"/>
                <w:u w:val="single"/>
              </w:rPr>
            </w:pPr>
            <w:r>
              <w:rPr>
                <w:rFonts w:hint="eastAsia" w:ascii="宋体" w:hAnsi="宋体" w:cs="宋体"/>
                <w:color w:val="auto"/>
                <w:szCs w:val="21"/>
                <w:highlight w:val="none"/>
              </w:rPr>
              <w:t>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1.10</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投标预备会</w:t>
            </w:r>
          </w:p>
        </w:tc>
        <w:tc>
          <w:tcPr>
            <w:tcW w:w="6868"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1.11</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偏离</w:t>
            </w:r>
          </w:p>
        </w:tc>
        <w:tc>
          <w:tcPr>
            <w:tcW w:w="6868" w:type="dxa"/>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2.1.1（7）</w:t>
            </w:r>
          </w:p>
        </w:tc>
        <w:tc>
          <w:tcPr>
            <w:tcW w:w="1912"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构成招标文件的其它材料</w:t>
            </w:r>
          </w:p>
        </w:tc>
        <w:tc>
          <w:tcPr>
            <w:tcW w:w="6868" w:type="dxa"/>
            <w:vAlign w:val="center"/>
          </w:tcPr>
          <w:p>
            <w:pPr>
              <w:spacing w:line="480" w:lineRule="exact"/>
              <w:rPr>
                <w:rFonts w:ascii="宋体" w:hAnsi="宋体" w:cs="宋体"/>
                <w:color w:val="auto"/>
                <w:kern w:val="0"/>
                <w:szCs w:val="21"/>
                <w:highlight w:val="none"/>
              </w:rPr>
            </w:pPr>
            <w:r>
              <w:rPr>
                <w:rFonts w:hint="eastAsia" w:ascii="宋体" w:hAnsi="宋体" w:cs="宋体"/>
                <w:color w:val="auto"/>
                <w:kern w:val="0"/>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2.2.2</w:t>
            </w:r>
          </w:p>
        </w:tc>
        <w:tc>
          <w:tcPr>
            <w:tcW w:w="191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要求招标人澄清招标</w:t>
            </w:r>
          </w:p>
          <w:p>
            <w:pPr>
              <w:jc w:val="center"/>
              <w:rPr>
                <w:rFonts w:ascii="宋体" w:hAnsi="宋体" w:cs="宋体"/>
                <w:color w:val="auto"/>
                <w:szCs w:val="21"/>
                <w:highlight w:val="none"/>
              </w:rPr>
            </w:pPr>
            <w:r>
              <w:rPr>
                <w:rFonts w:hint="eastAsia" w:ascii="宋体" w:hAnsi="宋体" w:cs="宋体"/>
                <w:color w:val="auto"/>
                <w:szCs w:val="21"/>
                <w:highlight w:val="none"/>
              </w:rPr>
              <w:t>文件截至时间</w:t>
            </w:r>
          </w:p>
        </w:tc>
        <w:tc>
          <w:tcPr>
            <w:tcW w:w="6868" w:type="dxa"/>
            <w:vAlign w:val="center"/>
          </w:tcPr>
          <w:p>
            <w:pPr>
              <w:spacing w:line="480" w:lineRule="exact"/>
              <w:rPr>
                <w:rFonts w:ascii="宋体" w:hAnsi="宋体" w:cs="宋体"/>
                <w:color w:val="auto"/>
                <w:szCs w:val="21"/>
                <w:highlight w:val="none"/>
              </w:rPr>
            </w:pPr>
            <w:r>
              <w:rPr>
                <w:rFonts w:hint="eastAsia" w:ascii="宋体" w:hAnsi="宋体" w:eastAsia="宋体" w:cs="宋体"/>
                <w:color w:val="auto"/>
                <w:szCs w:val="21"/>
                <w:highlight w:val="none"/>
              </w:rPr>
              <w:t>2024年</w:t>
            </w:r>
            <w:r>
              <w:rPr>
                <w:rFonts w:hint="eastAsia" w:ascii="宋体" w:hAnsi="宋体" w:eastAsia="宋体" w:cs="宋体"/>
                <w:color w:val="auto"/>
                <w:szCs w:val="21"/>
                <w:highlight w:val="none"/>
                <w:lang w:val="en-US" w:eastAsia="zh-CN"/>
              </w:rPr>
              <w:t>05</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17</w:t>
            </w:r>
            <w:r>
              <w:rPr>
                <w:rFonts w:hint="eastAsia" w:ascii="宋体" w:hAnsi="宋体" w:eastAsia="宋体" w:cs="宋体"/>
                <w:color w:val="auto"/>
                <w:szCs w:val="21"/>
                <w:highlight w:val="none"/>
              </w:rPr>
              <w:t>日</w:t>
            </w:r>
            <w:r>
              <w:rPr>
                <w:rFonts w:hint="eastAsia" w:ascii="宋体" w:hAnsi="宋体" w:cs="宋体"/>
                <w:color w:val="auto"/>
                <w:szCs w:val="21"/>
                <w:highlight w:val="none"/>
                <w:u w:val="single"/>
              </w:rPr>
              <w:t>18：00</w:t>
            </w:r>
            <w:r>
              <w:rPr>
                <w:rFonts w:hint="eastAsia" w:ascii="宋体" w:hAnsi="宋体" w:cs="宋体"/>
                <w:color w:val="auto"/>
                <w:szCs w:val="21"/>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2.3.1</w:t>
            </w:r>
          </w:p>
        </w:tc>
        <w:tc>
          <w:tcPr>
            <w:tcW w:w="191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投标人确认收到招标</w:t>
            </w:r>
          </w:p>
          <w:p>
            <w:pPr>
              <w:jc w:val="center"/>
              <w:rPr>
                <w:rFonts w:ascii="宋体" w:hAnsi="宋体" w:cs="宋体"/>
                <w:color w:val="auto"/>
                <w:szCs w:val="21"/>
                <w:highlight w:val="none"/>
              </w:rPr>
            </w:pPr>
            <w:r>
              <w:rPr>
                <w:rFonts w:hint="eastAsia" w:ascii="宋体" w:hAnsi="宋体" w:cs="宋体"/>
                <w:color w:val="auto"/>
                <w:szCs w:val="21"/>
                <w:highlight w:val="none"/>
              </w:rPr>
              <w:t>文件修改时间</w:t>
            </w:r>
          </w:p>
        </w:tc>
        <w:tc>
          <w:tcPr>
            <w:tcW w:w="6868" w:type="dxa"/>
            <w:vAlign w:val="center"/>
          </w:tcPr>
          <w:p>
            <w:pPr>
              <w:rPr>
                <w:rFonts w:ascii="宋体" w:hAnsi="宋体" w:cs="宋体"/>
                <w:color w:val="auto"/>
                <w:szCs w:val="21"/>
                <w:highlight w:val="none"/>
              </w:rPr>
            </w:pPr>
            <w:r>
              <w:rPr>
                <w:rFonts w:hint="eastAsia" w:ascii="宋体" w:hAnsi="宋体" w:cs="宋体"/>
                <w:color w:val="auto"/>
                <w:szCs w:val="21"/>
                <w:highlight w:val="none"/>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3.1.1</w:t>
            </w:r>
          </w:p>
        </w:tc>
        <w:tc>
          <w:tcPr>
            <w:tcW w:w="1912" w:type="dxa"/>
            <w:vAlign w:val="center"/>
          </w:tcPr>
          <w:p>
            <w:pPr>
              <w:rPr>
                <w:rFonts w:ascii="宋体" w:hAnsi="宋体" w:cs="宋体"/>
                <w:color w:val="auto"/>
                <w:szCs w:val="21"/>
                <w:highlight w:val="none"/>
              </w:rPr>
            </w:pPr>
            <w:r>
              <w:rPr>
                <w:rFonts w:hint="eastAsia" w:ascii="宋体" w:hAnsi="宋体" w:cs="宋体"/>
                <w:color w:val="auto"/>
                <w:szCs w:val="21"/>
                <w:highlight w:val="none"/>
              </w:rPr>
              <w:t>投标文件的组成</w:t>
            </w:r>
          </w:p>
        </w:tc>
        <w:tc>
          <w:tcPr>
            <w:tcW w:w="6868" w:type="dxa"/>
            <w:vAlign w:val="center"/>
          </w:tcPr>
          <w:p>
            <w:pPr>
              <w:spacing w:line="400" w:lineRule="exact"/>
              <w:rPr>
                <w:rFonts w:ascii="宋体" w:hAnsi="宋体" w:cs="宋体"/>
                <w:color w:val="auto"/>
                <w:szCs w:val="21"/>
                <w:highlight w:val="none"/>
              </w:rPr>
            </w:pPr>
            <w:r>
              <w:rPr>
                <w:rFonts w:hint="eastAsia" w:ascii="宋体" w:hAnsi="宋体" w:cs="宋体"/>
                <w:b/>
                <w:bCs/>
                <w:color w:val="auto"/>
                <w:szCs w:val="21"/>
                <w:highlight w:val="none"/>
              </w:rPr>
              <w:t>1、本项目投标文件包括资信文件、商务文件、技术文件、开标一览表。</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⑴资信文件应包括如下内容：</w:t>
            </w:r>
          </w:p>
          <w:p>
            <w:pPr>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投标企业营业执照</w:t>
            </w:r>
          </w:p>
          <w:p>
            <w:pPr>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投标企业资质证书</w:t>
            </w:r>
          </w:p>
          <w:p>
            <w:pPr>
              <w:spacing w:line="400" w:lineRule="exact"/>
              <w:rPr>
                <w:color w:val="auto"/>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投标企业项目经理证书</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⑵商务文件应包括如下内容：</w:t>
            </w:r>
          </w:p>
          <w:p>
            <w:pPr>
              <w:widowControl/>
              <w:topLinePunct/>
              <w:autoSpaceDE w:val="0"/>
              <w:autoSpaceDN w:val="0"/>
              <w:spacing w:line="400" w:lineRule="exact"/>
              <w:textAlignment w:val="baseline"/>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法定代表人授权委托书（如有授权）（格式见投标文件格式）；</w:t>
            </w:r>
          </w:p>
          <w:p>
            <w:pPr>
              <w:widowControl/>
              <w:topLinePunct/>
              <w:autoSpaceDE w:val="0"/>
              <w:autoSpaceDN w:val="0"/>
              <w:spacing w:line="400" w:lineRule="exact"/>
              <w:textAlignment w:val="baseline"/>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法定代表人身份证明书（格式见投标文件格式）；</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投标函及投标报价分项分解表（格式见投标文件格式）；</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项目组主要成员一览表</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商务条款偏离表</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盐城市大丰区政府招标采购供应商承诺书。（仅作为评审因素，不作为无效投标条款）（格式见投标文件格式）；</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⑶技术文件应包括如下内容：</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☑按招标文件要求以及评标办法评分需要提供。</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⑷开标一览表</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2、必须从诚信库中获取的材料：</w:t>
            </w:r>
          </w:p>
          <w:p>
            <w:pPr>
              <w:pStyle w:val="9"/>
              <w:spacing w:after="0" w:line="400" w:lineRule="exact"/>
              <w:rPr>
                <w:rFonts w:hint="eastAsia"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企业营业执照；</w:t>
            </w:r>
          </w:p>
          <w:p>
            <w:pPr>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投标企业资质证书；</w:t>
            </w:r>
          </w:p>
          <w:p>
            <w:pPr>
              <w:spacing w:line="400" w:lineRule="exact"/>
              <w:rPr>
                <w:rFonts w:hint="eastAsia" w:ascii="宋体" w:hAnsi="宋体" w:eastAsia="宋体" w:cs="宋体"/>
                <w:color w:val="auto"/>
                <w:szCs w:val="21"/>
                <w:highlight w:val="none"/>
                <w:lang w:eastAsia="zh-CN"/>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投标企业项目经理证书</w:t>
            </w:r>
            <w:r>
              <w:rPr>
                <w:rFonts w:hint="eastAsia" w:ascii="宋体" w:hAnsi="宋体" w:cs="宋体"/>
                <w:color w:val="auto"/>
                <w:szCs w:val="21"/>
                <w:highlight w:val="none"/>
                <w:lang w:eastAsia="zh-CN"/>
              </w:rPr>
              <w:t>。</w:t>
            </w:r>
          </w:p>
          <w:p>
            <w:pPr>
              <w:numPr>
                <w:ilvl w:val="0"/>
                <w:numId w:val="1"/>
              </w:num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无需从诚信库勾选，可直接提供扫描件的材料：</w:t>
            </w:r>
          </w:p>
          <w:p>
            <w:pPr>
              <w:widowControl/>
              <w:topLinePunct/>
              <w:autoSpaceDE w:val="0"/>
              <w:autoSpaceDN w:val="0"/>
              <w:spacing w:line="400" w:lineRule="exact"/>
              <w:textAlignment w:val="baseline"/>
              <w:rPr>
                <w:color w:val="auto"/>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kern w:val="0"/>
                <w:szCs w:val="21"/>
                <w:highlight w:val="none"/>
                <w:shd w:val="clear" w:color="auto" w:fill="FFFFFF"/>
              </w:rPr>
              <w:t>满足《中华人民共和国政府采购法》第二十二条规定的书面声明；</w:t>
            </w:r>
          </w:p>
          <w:p>
            <w:pPr>
              <w:widowControl/>
              <w:topLinePunct/>
              <w:autoSpaceDE w:val="0"/>
              <w:autoSpaceDN w:val="0"/>
              <w:spacing w:line="400" w:lineRule="exact"/>
              <w:textAlignment w:val="baseline"/>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法定代表人授权委托书（如有授权）（格式见投标文件格式）；</w:t>
            </w:r>
          </w:p>
          <w:p>
            <w:pPr>
              <w:widowControl/>
              <w:topLinePunct/>
              <w:autoSpaceDE w:val="0"/>
              <w:autoSpaceDN w:val="0"/>
              <w:spacing w:line="400" w:lineRule="exact"/>
              <w:textAlignment w:val="baseline"/>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法定代表人身份证明书（格式见投标文件格式）；</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投标函及投标报价分项分解表（格式见投标文件格式）；</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项目组主要成员一览表（格式见投标文件格式）；</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商务条款偏离表</w:t>
            </w:r>
          </w:p>
          <w:p>
            <w:pPr>
              <w:widowControl/>
              <w:topLinePunct/>
              <w:autoSpaceDE w:val="0"/>
              <w:autoSpaceDN w:val="0"/>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盐城市大丰区政府招标采购供应商承诺书。（仅作为评审因素，不作为无效投标条款）（格式见投标文件格式）；</w:t>
            </w:r>
          </w:p>
          <w:p>
            <w:pPr>
              <w:spacing w:line="400" w:lineRule="exact"/>
              <w:rPr>
                <w:rFonts w:ascii="宋体" w:hAnsi="宋体" w:cs="宋体"/>
                <w:color w:val="auto"/>
                <w:szCs w:val="21"/>
                <w:highlight w:val="non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招标文件及评标办法需要提供的其他材料；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3.2.2</w:t>
            </w:r>
          </w:p>
        </w:tc>
        <w:tc>
          <w:tcPr>
            <w:tcW w:w="1912"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投标报价要求</w:t>
            </w:r>
          </w:p>
        </w:tc>
        <w:tc>
          <w:tcPr>
            <w:tcW w:w="6868" w:type="dxa"/>
            <w:vAlign w:val="center"/>
          </w:tcPr>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本次招标计价方式采用“固定总价”报价</w:t>
            </w:r>
            <w:r>
              <w:rPr>
                <w:rFonts w:hint="eastAsia"/>
                <w:color w:val="auto"/>
                <w:highlight w:val="none"/>
              </w:rPr>
              <w:t>，应包括投标人为完成本项目招标文件规定全部工作内容所需的全部费用，包含（但不限于）外出考察费用、研究费、资料收集、整理和编制费、交通差旅费、文档和图纸的打印输出、装订及寄送费用、专家评审费用、全额含税发票、技术服务费、评审会务费、设计人员整个施工期间驻场服务费、为完成图纸评审（审查或论证）所需工作及其费用、政策性文件规定及合同实施过程中的应预见和不可预见费用等完成合同规定责任和义务、达到合同目的的一切费用。除非因特殊原因并经买卖双方协商同意，投标人不得再要求追加任何费用。</w:t>
            </w:r>
            <w:r>
              <w:rPr>
                <w:rFonts w:hint="eastAsia" w:ascii="宋体" w:hAnsi="宋体" w:cs="宋体"/>
                <w:color w:val="auto"/>
                <w:szCs w:val="21"/>
                <w:highlight w:val="none"/>
              </w:rPr>
              <w:t>各类风险和政策性调整等风险已包括在投标报价中，最终结算时除合同约定调整外一律不予调整。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3.2.3</w:t>
            </w:r>
          </w:p>
        </w:tc>
        <w:tc>
          <w:tcPr>
            <w:tcW w:w="191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最高投标限价</w:t>
            </w:r>
          </w:p>
        </w:tc>
        <w:tc>
          <w:tcPr>
            <w:tcW w:w="6868" w:type="dxa"/>
            <w:vAlign w:val="center"/>
          </w:tcPr>
          <w:p>
            <w:pPr>
              <w:spacing w:line="40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98万元</w:t>
            </w:r>
            <w:r>
              <w:rPr>
                <w:rFonts w:hint="eastAsia" w:ascii="宋体" w:hAnsi="宋体" w:cs="宋体"/>
                <w:color w:val="auto"/>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3.3.1</w:t>
            </w:r>
          </w:p>
        </w:tc>
        <w:tc>
          <w:tcPr>
            <w:tcW w:w="191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6868"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u w:val="single"/>
              </w:rPr>
              <w:t>90</w:t>
            </w:r>
            <w:r>
              <w:rPr>
                <w:rFonts w:hint="eastAsia" w:ascii="宋体" w:hAnsi="宋体" w:cs="宋体"/>
                <w:color w:val="auto"/>
                <w:szCs w:val="21"/>
                <w:highlight w:val="none"/>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3.4</w:t>
            </w:r>
          </w:p>
        </w:tc>
        <w:tc>
          <w:tcPr>
            <w:tcW w:w="191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6868" w:type="dxa"/>
            <w:vAlign w:val="center"/>
          </w:tcPr>
          <w:p>
            <w:pPr>
              <w:spacing w:line="400" w:lineRule="exact"/>
              <w:rPr>
                <w:rFonts w:ascii="宋体" w:hAnsi="宋体" w:cs="宋体"/>
                <w:color w:val="auto"/>
                <w:szCs w:val="21"/>
                <w:highlight w:val="none"/>
                <w:u w:val="single"/>
              </w:rPr>
            </w:pPr>
            <w:r>
              <w:rPr>
                <w:rFonts w:hint="eastAsia" w:ascii="宋体" w:hAnsi="宋体" w:cs="宋体"/>
                <w:color w:val="auto"/>
                <w:szCs w:val="21"/>
                <w:highlight w:val="none"/>
              </w:rPr>
              <w:t>本项目不需要缴纳投标保证金。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3.7</w:t>
            </w:r>
          </w:p>
        </w:tc>
        <w:tc>
          <w:tcPr>
            <w:tcW w:w="191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是否允许递交备选</w:t>
            </w:r>
          </w:p>
          <w:p>
            <w:pPr>
              <w:jc w:val="center"/>
              <w:rPr>
                <w:rFonts w:ascii="宋体" w:hAnsi="宋体" w:cs="宋体"/>
                <w:color w:val="auto"/>
                <w:szCs w:val="21"/>
                <w:highlight w:val="none"/>
              </w:rPr>
            </w:pPr>
            <w:r>
              <w:rPr>
                <w:rFonts w:hint="eastAsia" w:ascii="宋体" w:hAnsi="宋体" w:cs="宋体"/>
                <w:color w:val="auto"/>
                <w:szCs w:val="21"/>
                <w:highlight w:val="none"/>
              </w:rPr>
              <w:t>投标方案</w:t>
            </w:r>
          </w:p>
        </w:tc>
        <w:tc>
          <w:tcPr>
            <w:tcW w:w="6868"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4.2.1</w:t>
            </w:r>
          </w:p>
        </w:tc>
        <w:tc>
          <w:tcPr>
            <w:tcW w:w="191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投标文件递交截止</w:t>
            </w:r>
          </w:p>
          <w:p>
            <w:pPr>
              <w:jc w:val="center"/>
              <w:rPr>
                <w:rFonts w:ascii="宋体" w:hAnsi="宋体" w:cs="宋体"/>
                <w:color w:val="auto"/>
                <w:szCs w:val="21"/>
                <w:highlight w:val="none"/>
              </w:rPr>
            </w:pPr>
            <w:r>
              <w:rPr>
                <w:rFonts w:hint="eastAsia" w:ascii="宋体" w:hAnsi="宋体" w:cs="宋体"/>
                <w:color w:val="auto"/>
                <w:szCs w:val="21"/>
                <w:highlight w:val="none"/>
              </w:rPr>
              <w:t>时间和地点</w:t>
            </w:r>
          </w:p>
        </w:tc>
        <w:tc>
          <w:tcPr>
            <w:tcW w:w="6868" w:type="dxa"/>
            <w:vAlign w:val="center"/>
          </w:tcPr>
          <w:p>
            <w:pPr>
              <w:spacing w:line="40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1、投标文件提交截止时间：</w:t>
            </w:r>
          </w:p>
          <w:p>
            <w:pPr>
              <w:spacing w:line="400" w:lineRule="exact"/>
              <w:jc w:val="left"/>
              <w:rPr>
                <w:rFonts w:ascii="宋体" w:hAnsi="宋体" w:cs="宋体"/>
                <w:color w:val="auto"/>
                <w:szCs w:val="21"/>
                <w:highlight w:val="none"/>
                <w:u w:val="single"/>
              </w:rPr>
            </w:pPr>
            <w:r>
              <w:rPr>
                <w:rStyle w:val="24"/>
                <w:rFonts w:hint="eastAsia" w:ascii="宋体" w:hAnsi="宋体" w:cs="宋体"/>
                <w:color w:val="000000"/>
                <w:sz w:val="22"/>
                <w:szCs w:val="22"/>
                <w:u w:val="single"/>
                <w:lang w:val="en-US" w:eastAsia="zh-CN"/>
              </w:rPr>
              <w:t>2024</w:t>
            </w:r>
            <w:r>
              <w:rPr>
                <w:rStyle w:val="24"/>
                <w:rFonts w:hint="eastAsia" w:ascii="宋体" w:hAnsi="宋体" w:cs="宋体"/>
                <w:color w:val="000000"/>
                <w:sz w:val="22"/>
                <w:szCs w:val="22"/>
              </w:rPr>
              <w:t>年</w:t>
            </w:r>
            <w:r>
              <w:rPr>
                <w:rStyle w:val="24"/>
                <w:rFonts w:hint="eastAsia" w:ascii="宋体" w:hAnsi="宋体" w:cs="宋体"/>
                <w:color w:val="000000"/>
                <w:sz w:val="22"/>
                <w:szCs w:val="22"/>
                <w:u w:val="single"/>
                <w:lang w:val="en-US" w:eastAsia="zh-CN"/>
              </w:rPr>
              <w:t>05</w:t>
            </w:r>
            <w:r>
              <w:rPr>
                <w:rStyle w:val="24"/>
                <w:rFonts w:hint="eastAsia" w:ascii="宋体" w:hAnsi="宋体" w:cs="宋体"/>
                <w:color w:val="000000"/>
                <w:sz w:val="22"/>
                <w:szCs w:val="22"/>
              </w:rPr>
              <w:t>月</w:t>
            </w:r>
            <w:r>
              <w:rPr>
                <w:rStyle w:val="24"/>
                <w:rFonts w:hint="eastAsia" w:ascii="宋体" w:hAnsi="宋体" w:cs="宋体"/>
                <w:color w:val="000000"/>
                <w:sz w:val="22"/>
                <w:szCs w:val="22"/>
                <w:u w:val="single"/>
                <w:lang w:val="en-US" w:eastAsia="zh-CN"/>
              </w:rPr>
              <w:t>31</w:t>
            </w:r>
            <w:r>
              <w:rPr>
                <w:rStyle w:val="24"/>
                <w:rFonts w:hint="eastAsia" w:ascii="宋体" w:hAnsi="宋体" w:cs="宋体"/>
                <w:color w:val="000000"/>
                <w:sz w:val="22"/>
                <w:szCs w:val="22"/>
              </w:rPr>
              <w:t>日</w:t>
            </w:r>
            <w:r>
              <w:rPr>
                <w:rStyle w:val="24"/>
                <w:rFonts w:hint="eastAsia" w:ascii="宋体" w:hAnsi="宋体" w:cs="宋体"/>
                <w:color w:val="000000"/>
                <w:sz w:val="22"/>
                <w:szCs w:val="22"/>
                <w:u w:val="single"/>
              </w:rPr>
              <w:t>09</w:t>
            </w:r>
            <w:r>
              <w:rPr>
                <w:rFonts w:hint="eastAsia" w:ascii="宋体" w:hAnsi="宋体" w:cs="宋体"/>
                <w:color w:val="000000"/>
                <w:sz w:val="22"/>
                <w:szCs w:val="22"/>
              </w:rPr>
              <w:t>时</w:t>
            </w:r>
            <w:r>
              <w:rPr>
                <w:rFonts w:hint="eastAsia" w:ascii="宋体" w:hAnsi="宋体" w:cs="宋体"/>
                <w:color w:val="000000"/>
                <w:sz w:val="22"/>
                <w:szCs w:val="22"/>
                <w:u w:val="single"/>
              </w:rPr>
              <w:t>00</w:t>
            </w:r>
            <w:r>
              <w:rPr>
                <w:rFonts w:hint="eastAsia" w:ascii="宋体" w:hAnsi="宋体" w:cs="宋体"/>
                <w:color w:val="000000"/>
                <w:sz w:val="22"/>
                <w:szCs w:val="22"/>
              </w:rPr>
              <w:t>分</w:t>
            </w:r>
            <w:r>
              <w:rPr>
                <w:rFonts w:hint="eastAsia" w:ascii="宋体" w:hAnsi="宋体" w:cs="宋体"/>
                <w:color w:val="000000"/>
                <w:sz w:val="22"/>
                <w:szCs w:val="22"/>
                <w:u w:val="single"/>
              </w:rPr>
              <w:t>00</w:t>
            </w:r>
            <w:r>
              <w:rPr>
                <w:rFonts w:hint="eastAsia" w:ascii="宋体" w:hAnsi="宋体" w:cs="宋体"/>
                <w:color w:val="000000"/>
                <w:sz w:val="22"/>
                <w:szCs w:val="22"/>
              </w:rPr>
              <w:t>秒</w:t>
            </w:r>
            <w:r>
              <w:rPr>
                <w:rFonts w:hint="eastAsia" w:ascii="宋体" w:hAnsi="宋体" w:cs="宋体"/>
                <w:color w:val="auto"/>
                <w:szCs w:val="21"/>
                <w:highlight w:val="none"/>
              </w:rPr>
              <w:t>；</w:t>
            </w:r>
          </w:p>
          <w:p>
            <w:pPr>
              <w:spacing w:line="400" w:lineRule="exact"/>
              <w:jc w:val="left"/>
              <w:rPr>
                <w:rFonts w:ascii="宋体" w:hAnsi="宋体" w:cs="宋体"/>
                <w:b/>
                <w:bCs/>
                <w:color w:val="auto"/>
                <w:szCs w:val="21"/>
                <w:highlight w:val="none"/>
              </w:rPr>
            </w:pPr>
            <w:r>
              <w:rPr>
                <w:rFonts w:hint="eastAsia" w:ascii="宋体" w:hAnsi="宋体" w:cs="宋体"/>
                <w:b/>
                <w:bCs/>
                <w:color w:val="auto"/>
                <w:szCs w:val="21"/>
                <w:highlight w:val="none"/>
              </w:rPr>
              <w:t>2、投标文件提交地点：</w:t>
            </w:r>
          </w:p>
          <w:p>
            <w:pPr>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（1）电子档上传地址：“投标文件制作工具”生成的xetf格式的电子档上传至新点电子交易平台-大丰政府采购系统（网址：https://www.etrading.cn/BREpointSSO/login/oauth2login）。   </w:t>
            </w:r>
          </w:p>
          <w:p>
            <w:pPr>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（2）投标人未在投标文件递交截止时间前将加密的投标文件上传至新点电子交易平台-大丰政府采购系统，视为放弃其投标。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4.2.3</w:t>
            </w:r>
          </w:p>
        </w:tc>
        <w:tc>
          <w:tcPr>
            <w:tcW w:w="191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是否退还投标文件</w:t>
            </w:r>
          </w:p>
        </w:tc>
        <w:tc>
          <w:tcPr>
            <w:tcW w:w="6868" w:type="dxa"/>
            <w:vAlign w:val="center"/>
          </w:tcPr>
          <w:p>
            <w:pPr>
              <w:rPr>
                <w:rFonts w:ascii="宋体" w:hAnsi="宋体" w:cs="宋体"/>
                <w:color w:val="auto"/>
                <w:szCs w:val="21"/>
                <w:highlight w:val="none"/>
              </w:rPr>
            </w:pPr>
            <w:r>
              <w:rPr>
                <w:rFonts w:hint="eastAsia" w:ascii="宋体" w:hAnsi="宋体" w:cs="宋体"/>
                <w:color w:val="auto"/>
                <w:szCs w:val="21"/>
                <w:highlight w:val="none"/>
              </w:rPr>
              <w:t>否（相关原件资料除外）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5.1</w:t>
            </w:r>
          </w:p>
        </w:tc>
        <w:tc>
          <w:tcPr>
            <w:tcW w:w="191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开标时间和地点</w:t>
            </w:r>
          </w:p>
        </w:tc>
        <w:tc>
          <w:tcPr>
            <w:tcW w:w="6868"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开标时间：</w:t>
            </w:r>
            <w:r>
              <w:rPr>
                <w:rStyle w:val="24"/>
                <w:rFonts w:hint="eastAsia" w:ascii="宋体" w:hAnsi="宋体" w:cs="宋体"/>
                <w:color w:val="000000"/>
                <w:sz w:val="22"/>
                <w:szCs w:val="22"/>
                <w:u w:val="single"/>
                <w:lang w:val="en-US" w:eastAsia="zh-CN"/>
              </w:rPr>
              <w:t>2024</w:t>
            </w:r>
            <w:r>
              <w:rPr>
                <w:rStyle w:val="24"/>
                <w:rFonts w:hint="eastAsia" w:ascii="宋体" w:hAnsi="宋体" w:cs="宋体"/>
                <w:color w:val="000000"/>
                <w:sz w:val="22"/>
                <w:szCs w:val="22"/>
              </w:rPr>
              <w:t>年</w:t>
            </w:r>
            <w:r>
              <w:rPr>
                <w:rStyle w:val="24"/>
                <w:rFonts w:hint="eastAsia" w:ascii="宋体" w:hAnsi="宋体" w:cs="宋体"/>
                <w:color w:val="000000"/>
                <w:sz w:val="22"/>
                <w:szCs w:val="22"/>
                <w:u w:val="single"/>
                <w:lang w:val="en-US" w:eastAsia="zh-CN"/>
              </w:rPr>
              <w:t>05</w:t>
            </w:r>
            <w:r>
              <w:rPr>
                <w:rStyle w:val="24"/>
                <w:rFonts w:hint="eastAsia" w:ascii="宋体" w:hAnsi="宋体" w:cs="宋体"/>
                <w:color w:val="000000"/>
                <w:sz w:val="22"/>
                <w:szCs w:val="22"/>
              </w:rPr>
              <w:t>月</w:t>
            </w:r>
            <w:r>
              <w:rPr>
                <w:rStyle w:val="24"/>
                <w:rFonts w:hint="eastAsia" w:ascii="宋体" w:hAnsi="宋体" w:cs="宋体"/>
                <w:color w:val="000000"/>
                <w:sz w:val="22"/>
                <w:szCs w:val="22"/>
                <w:u w:val="single"/>
                <w:lang w:val="en-US" w:eastAsia="zh-CN"/>
              </w:rPr>
              <w:t>31</w:t>
            </w:r>
            <w:r>
              <w:rPr>
                <w:rStyle w:val="24"/>
                <w:rFonts w:hint="eastAsia" w:ascii="宋体" w:hAnsi="宋体" w:cs="宋体"/>
                <w:color w:val="000000"/>
                <w:sz w:val="22"/>
                <w:szCs w:val="22"/>
              </w:rPr>
              <w:t>日</w:t>
            </w:r>
            <w:r>
              <w:rPr>
                <w:rStyle w:val="24"/>
                <w:rFonts w:hint="eastAsia" w:ascii="宋体" w:hAnsi="宋体" w:cs="宋体"/>
                <w:color w:val="000000"/>
                <w:sz w:val="22"/>
                <w:szCs w:val="22"/>
                <w:u w:val="single"/>
              </w:rPr>
              <w:t>09</w:t>
            </w:r>
            <w:r>
              <w:rPr>
                <w:rFonts w:hint="eastAsia" w:ascii="宋体" w:hAnsi="宋体" w:cs="宋体"/>
                <w:color w:val="000000"/>
                <w:sz w:val="22"/>
                <w:szCs w:val="22"/>
              </w:rPr>
              <w:t>时</w:t>
            </w:r>
            <w:r>
              <w:rPr>
                <w:rFonts w:hint="eastAsia" w:ascii="宋体" w:hAnsi="宋体" w:cs="宋体"/>
                <w:color w:val="000000"/>
                <w:sz w:val="22"/>
                <w:szCs w:val="22"/>
                <w:u w:val="single"/>
              </w:rPr>
              <w:t>00</w:t>
            </w:r>
            <w:r>
              <w:rPr>
                <w:rFonts w:hint="eastAsia" w:ascii="宋体" w:hAnsi="宋体" w:cs="宋体"/>
                <w:color w:val="000000"/>
                <w:sz w:val="22"/>
                <w:szCs w:val="22"/>
              </w:rPr>
              <w:t>分</w:t>
            </w:r>
            <w:r>
              <w:rPr>
                <w:rFonts w:hint="eastAsia" w:ascii="宋体" w:hAnsi="宋体" w:cs="宋体"/>
                <w:color w:val="000000"/>
                <w:sz w:val="22"/>
                <w:szCs w:val="22"/>
                <w:u w:val="single"/>
              </w:rPr>
              <w:t>00</w:t>
            </w:r>
            <w:r>
              <w:rPr>
                <w:rFonts w:hint="eastAsia" w:ascii="宋体" w:hAnsi="宋体" w:cs="宋体"/>
                <w:color w:val="000000"/>
                <w:sz w:val="22"/>
                <w:szCs w:val="22"/>
              </w:rPr>
              <w:t>秒</w:t>
            </w:r>
            <w:r>
              <w:rPr>
                <w:rFonts w:hint="eastAsia" w:ascii="宋体" w:hAnsi="宋体" w:cs="宋体"/>
                <w:color w:val="auto"/>
                <w:szCs w:val="21"/>
                <w:highlight w:val="none"/>
              </w:rPr>
              <w:t>；</w:t>
            </w:r>
          </w:p>
          <w:p>
            <w:pPr>
              <w:spacing w:line="400" w:lineRule="exact"/>
              <w:jc w:val="left"/>
              <w:rPr>
                <w:rFonts w:ascii="宋体" w:hAnsi="宋体" w:cs="宋体"/>
                <w:color w:val="auto"/>
                <w:szCs w:val="21"/>
                <w:highlight w:val="none"/>
                <w:u w:val="single"/>
              </w:rPr>
            </w:pPr>
            <w:r>
              <w:rPr>
                <w:rFonts w:hint="eastAsia" w:ascii="宋体" w:hAnsi="宋体" w:cs="宋体"/>
                <w:color w:val="auto"/>
                <w:szCs w:val="21"/>
                <w:highlight w:val="none"/>
              </w:rPr>
              <w:t>开标地点：开标大厅系统http://js.etrading.cn/EpointBidOpening/bidopeninghallaction/hall/login。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9" w:hRule="atLeast"/>
          <w:jc w:val="center"/>
        </w:trPr>
        <w:tc>
          <w:tcPr>
            <w:tcW w:w="1130" w:type="dxa"/>
            <w:vAlign w:val="center"/>
          </w:tcPr>
          <w:p>
            <w:pPr>
              <w:adjustRightInd w:val="0"/>
              <w:snapToGrid w:val="0"/>
              <w:spacing w:line="480" w:lineRule="exact"/>
              <w:jc w:val="center"/>
              <w:rPr>
                <w:rFonts w:ascii="宋体" w:hAnsi="宋体" w:cs="宋体"/>
                <w:color w:val="auto"/>
                <w:szCs w:val="21"/>
                <w:highlight w:val="none"/>
              </w:rPr>
            </w:pPr>
            <w:r>
              <w:rPr>
                <w:rFonts w:hint="eastAsia" w:ascii="宋体" w:hAnsi="宋体" w:cs="宋体"/>
                <w:color w:val="auto"/>
                <w:szCs w:val="21"/>
                <w:highlight w:val="none"/>
              </w:rPr>
              <w:t>5.1.1</w:t>
            </w:r>
          </w:p>
        </w:tc>
        <w:tc>
          <w:tcPr>
            <w:tcW w:w="1912" w:type="dxa"/>
            <w:vAlign w:val="center"/>
          </w:tcPr>
          <w:p>
            <w:pPr>
              <w:adjustRightInd w:val="0"/>
              <w:snapToGrid w:val="0"/>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参加开标会的</w:t>
            </w:r>
          </w:p>
          <w:p>
            <w:pPr>
              <w:adjustRightInd w:val="0"/>
              <w:snapToGrid w:val="0"/>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投标人代表</w:t>
            </w:r>
          </w:p>
        </w:tc>
        <w:tc>
          <w:tcPr>
            <w:tcW w:w="6868" w:type="dxa"/>
            <w:vAlign w:val="center"/>
          </w:tcPr>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本项目实行不见面开标，各投标人（供应商）的授权委托人或法人代表应在投标文件提交截止时间前提前登入“开标大厅系统”（步骤：登入-投标人-CA登录-江苏省CA），到达投标文件提交截止时间后，首先进入开标程序中的投标文件解密会议，然后按系统提示完成投标文件解密。（解密完成后投标人可自行决定是否继续参加开（唱）标会议，投标人未参加开标的，视同认可开标结果）。投标人代表进入相应标段的开标会议区收听观看实时音视频交互效果并及时在讨论组中反馈，未按时加入开标会议区并完成扫码登录操作的或未能在开标会议区内全程参与交互的，视为放弃交互和放弃对开标全过程提疑的权利，投标人将无法看到解密指令、无效投标及澄清、开（唱）标等实时情况，并承担由此导致的一切不利后果。</w:t>
            </w:r>
          </w:p>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开评标全过程中，各投标人参与远程交互的授权委托人或法人代表应始终为同一个人，中途不得更换，在废标、澄清、提疑、传送文件等特殊情况下需要交互时，投标人一端参与交互的人员将均被视为是投标人的授权委托人或法人代表，投标人不得以不承认交互人员的资格或身份等为借口，投标人自行承担随意更换人员所导致的一切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30" w:type="dxa"/>
            <w:vAlign w:val="center"/>
          </w:tcPr>
          <w:p>
            <w:pPr>
              <w:adjustRightInd w:val="0"/>
              <w:snapToGrid w:val="0"/>
              <w:spacing w:line="480" w:lineRule="exact"/>
              <w:jc w:val="center"/>
              <w:rPr>
                <w:rFonts w:ascii="宋体" w:hAnsi="宋体" w:cs="宋体"/>
                <w:color w:val="auto"/>
                <w:szCs w:val="21"/>
                <w:highlight w:val="none"/>
              </w:rPr>
            </w:pPr>
            <w:r>
              <w:rPr>
                <w:rFonts w:hint="eastAsia" w:ascii="宋体" w:hAnsi="宋体" w:cs="宋体"/>
                <w:color w:val="auto"/>
                <w:szCs w:val="21"/>
                <w:highlight w:val="none"/>
              </w:rPr>
              <w:t>5.2</w:t>
            </w:r>
          </w:p>
        </w:tc>
        <w:tc>
          <w:tcPr>
            <w:tcW w:w="1912" w:type="dxa"/>
            <w:vAlign w:val="center"/>
          </w:tcPr>
          <w:p>
            <w:pPr>
              <w:adjustRightInd w:val="0"/>
              <w:snapToGrid w:val="0"/>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开标程序</w:t>
            </w:r>
          </w:p>
        </w:tc>
        <w:tc>
          <w:tcPr>
            <w:tcW w:w="6868" w:type="dxa"/>
            <w:vAlign w:val="center"/>
          </w:tcPr>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 xml:space="preserve">详见投标须知5.2条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jc w:val="center"/>
        </w:trPr>
        <w:tc>
          <w:tcPr>
            <w:tcW w:w="1130" w:type="dxa"/>
            <w:vAlign w:val="center"/>
          </w:tcPr>
          <w:p>
            <w:pPr>
              <w:adjustRightInd w:val="0"/>
              <w:snapToGrid w:val="0"/>
              <w:spacing w:line="480" w:lineRule="exact"/>
              <w:jc w:val="center"/>
              <w:rPr>
                <w:rFonts w:ascii="宋体" w:hAnsi="宋体" w:cs="宋体"/>
                <w:color w:val="auto"/>
                <w:szCs w:val="21"/>
                <w:highlight w:val="none"/>
              </w:rPr>
            </w:pPr>
            <w:r>
              <w:rPr>
                <w:rFonts w:hint="eastAsia" w:ascii="宋体" w:hAnsi="宋体" w:cs="宋体"/>
                <w:color w:val="auto"/>
                <w:szCs w:val="21"/>
                <w:highlight w:val="none"/>
              </w:rPr>
              <w:t>5.2.1</w:t>
            </w:r>
          </w:p>
        </w:tc>
        <w:tc>
          <w:tcPr>
            <w:tcW w:w="1912" w:type="dxa"/>
            <w:vAlign w:val="center"/>
          </w:tcPr>
          <w:p>
            <w:pPr>
              <w:adjustRightInd w:val="0"/>
              <w:snapToGrid w:val="0"/>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投标文件解密时间</w:t>
            </w:r>
          </w:p>
        </w:tc>
        <w:tc>
          <w:tcPr>
            <w:tcW w:w="6868" w:type="dxa"/>
            <w:vAlign w:val="center"/>
          </w:tcPr>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投标人解密时间限定在开标大厅系统发出投标文件解密指令后15分钟内完成，因投标人原因未能解密、解密失败或解密超时，视为投标人放弃本次投标（无效投标），系统内投标文件将被退回；因招标人原因或网上招投标平台发生故障，导致无法按时完成投标文件解密或开、评标工作无法进行的，可根据实际情况相应延迟解密时间或调整开、评标时间。</w:t>
            </w:r>
            <w:r>
              <w:rPr>
                <w:rFonts w:hint="eastAsia" w:ascii="宋体" w:hAnsi="宋体" w:cs="宋体"/>
                <w:b/>
                <w:bCs/>
                <w:color w:val="auto"/>
                <w:szCs w:val="21"/>
                <w:highlight w:val="none"/>
              </w:rPr>
              <w:t>（友情提示：进行解密的时候，应使用生成投标文件的CA锁进行操作，否则无法完成解密。）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6.1</w:t>
            </w:r>
          </w:p>
        </w:tc>
        <w:tc>
          <w:tcPr>
            <w:tcW w:w="1912" w:type="dxa"/>
            <w:vAlign w:val="center"/>
          </w:tcPr>
          <w:p>
            <w:pPr>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评标委员会的组建</w:t>
            </w:r>
          </w:p>
        </w:tc>
        <w:tc>
          <w:tcPr>
            <w:tcW w:w="6868"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评标委员会构成：</w:t>
            </w:r>
            <w:r>
              <w:rPr>
                <w:rFonts w:hint="eastAsia" w:ascii="宋体" w:hAnsi="宋体" w:cs="宋体"/>
                <w:b/>
                <w:bCs/>
                <w:color w:val="auto"/>
                <w:szCs w:val="21"/>
                <w:highlight w:val="none"/>
                <w:u w:val="single"/>
              </w:rPr>
              <w:t>5人或5人以上单数</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评标专家确定方式：电脑随机抽取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6.3</w:t>
            </w:r>
          </w:p>
        </w:tc>
        <w:tc>
          <w:tcPr>
            <w:tcW w:w="1912" w:type="dxa"/>
            <w:vAlign w:val="center"/>
          </w:tcPr>
          <w:p>
            <w:pPr>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评标办法</w:t>
            </w:r>
          </w:p>
        </w:tc>
        <w:tc>
          <w:tcPr>
            <w:tcW w:w="6868" w:type="dxa"/>
            <w:vAlign w:val="center"/>
          </w:tcPr>
          <w:p>
            <w:pPr>
              <w:spacing w:line="22" w:lineRule="atLeast"/>
              <w:rPr>
                <w:rFonts w:ascii="宋体" w:hAnsi="宋体" w:cs="宋体"/>
                <w:color w:val="auto"/>
                <w:szCs w:val="21"/>
                <w:highlight w:val="none"/>
              </w:rPr>
            </w:pPr>
            <w:r>
              <w:rPr>
                <w:rFonts w:hint="eastAsia" w:ascii="宋体" w:hAnsi="宋体" w:cs="宋体"/>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8.1</w:t>
            </w:r>
          </w:p>
        </w:tc>
        <w:tc>
          <w:tcPr>
            <w:tcW w:w="1912" w:type="dxa"/>
            <w:vAlign w:val="center"/>
          </w:tcPr>
          <w:p>
            <w:pPr>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是否授权评标</w:t>
            </w:r>
          </w:p>
          <w:p>
            <w:pPr>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委员会确定中标人</w:t>
            </w:r>
          </w:p>
        </w:tc>
        <w:tc>
          <w:tcPr>
            <w:tcW w:w="6868" w:type="dxa"/>
            <w:vAlign w:val="center"/>
          </w:tcPr>
          <w:p>
            <w:pPr>
              <w:spacing w:line="22" w:lineRule="atLeast"/>
              <w:rPr>
                <w:rFonts w:ascii="宋体" w:hAnsi="宋体" w:cs="宋体"/>
                <w:color w:val="auto"/>
                <w:szCs w:val="21"/>
                <w:highlight w:val="none"/>
              </w:rPr>
            </w:pPr>
            <w:r>
              <w:rPr>
                <w:rFonts w:hint="eastAsia" w:ascii="宋体" w:hAnsi="宋体" w:cs="宋体"/>
                <w:color w:val="auto"/>
                <w:szCs w:val="21"/>
                <w:highlight w:val="none"/>
              </w:rPr>
              <w:t>□是</w:t>
            </w:r>
          </w:p>
          <w:p>
            <w:pPr>
              <w:spacing w:line="22" w:lineRule="atLeast"/>
              <w:rPr>
                <w:rFonts w:ascii="宋体" w:hAnsi="宋体" w:cs="宋体"/>
                <w:color w:val="auto"/>
                <w:szCs w:val="21"/>
                <w:highlight w:val="none"/>
                <w:u w:val="single"/>
              </w:rPr>
            </w:pPr>
            <w:r>
              <w:rPr>
                <w:rFonts w:hint="eastAsia" w:ascii="宋体" w:hAnsi="宋体" w:cstheme="minorEastAsia"/>
                <w:b/>
                <w:color w:val="auto"/>
                <w:kern w:val="0"/>
                <w:szCs w:val="21"/>
                <w:highlight w:val="none"/>
              </w:rPr>
              <w:fldChar w:fldCharType="begin"/>
            </w:r>
            <w:r>
              <w:rPr>
                <w:rFonts w:hint="eastAsia" w:ascii="宋体" w:hAnsi="宋体" w:cstheme="minorEastAsia"/>
                <w:b/>
                <w:color w:val="auto"/>
                <w:kern w:val="0"/>
                <w:szCs w:val="21"/>
                <w:highlight w:val="none"/>
              </w:rPr>
              <w:instrText xml:space="preserve"> eq \o\ac(□,</w:instrText>
            </w:r>
            <w:r>
              <w:rPr>
                <w:rFonts w:hint="eastAsia" w:ascii="宋体" w:hAnsi="宋体" w:cstheme="minorEastAsia"/>
                <w:b/>
                <w:color w:val="auto"/>
                <w:kern w:val="0"/>
                <w:position w:val="2"/>
                <w:szCs w:val="21"/>
                <w:highlight w:val="none"/>
              </w:rPr>
              <w:instrText xml:space="preserve">√</w:instrText>
            </w:r>
            <w:r>
              <w:rPr>
                <w:rFonts w:hint="eastAsia" w:ascii="宋体" w:hAnsi="宋体" w:cstheme="minorEastAsia"/>
                <w:b/>
                <w:color w:val="auto"/>
                <w:kern w:val="0"/>
                <w:szCs w:val="21"/>
                <w:highlight w:val="none"/>
              </w:rPr>
              <w:instrText xml:space="preserve">)</w:instrText>
            </w:r>
            <w:r>
              <w:rPr>
                <w:rFonts w:hint="eastAsia" w:ascii="宋体" w:hAnsi="宋体" w:cstheme="minorEastAsia"/>
                <w:b/>
                <w:color w:val="auto"/>
                <w:kern w:val="0"/>
                <w:szCs w:val="21"/>
                <w:highlight w:val="none"/>
              </w:rPr>
              <w:fldChar w:fldCharType="end"/>
            </w:r>
            <w:r>
              <w:rPr>
                <w:rFonts w:hint="eastAsia" w:ascii="宋体" w:hAnsi="宋体" w:cs="宋体"/>
                <w:color w:val="auto"/>
                <w:szCs w:val="21"/>
                <w:highlight w:val="none"/>
              </w:rPr>
              <w:t>否，依据评标办法评审后按得分高低排序推荐1名中标候选人。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8.3</w:t>
            </w:r>
          </w:p>
        </w:tc>
        <w:tc>
          <w:tcPr>
            <w:tcW w:w="1912" w:type="dxa"/>
            <w:vAlign w:val="center"/>
          </w:tcPr>
          <w:p>
            <w:pPr>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履约保证金</w:t>
            </w:r>
          </w:p>
        </w:tc>
        <w:tc>
          <w:tcPr>
            <w:tcW w:w="6868" w:type="dxa"/>
            <w:vAlign w:val="center"/>
          </w:tcPr>
          <w:p>
            <w:pPr>
              <w:spacing w:line="400" w:lineRule="exact"/>
              <w:rPr>
                <w:rFonts w:ascii="宋体" w:hAnsi="宋体" w:cs="宋体"/>
                <w:color w:val="auto"/>
                <w:kern w:val="1"/>
                <w:szCs w:val="21"/>
                <w:highlight w:val="none"/>
              </w:rPr>
            </w:pPr>
            <w:r>
              <w:rPr>
                <w:rFonts w:hint="eastAsia" w:ascii="宋体" w:hAnsi="宋体" w:cs="宋体"/>
                <w:color w:val="auto"/>
                <w:kern w:val="1"/>
                <w:szCs w:val="21"/>
                <w:highlight w:val="none"/>
              </w:rPr>
              <w:t>履约保证金的形式：转账、履约担保或者投标人基本账户开户行出具的银行保函、保险公司保险单。</w:t>
            </w:r>
          </w:p>
          <w:p>
            <w:pPr>
              <w:spacing w:line="400" w:lineRule="exact"/>
              <w:rPr>
                <w:rFonts w:ascii="宋体" w:hAnsi="宋体" w:cs="宋体"/>
                <w:color w:val="auto"/>
                <w:kern w:val="1"/>
                <w:szCs w:val="21"/>
                <w:highlight w:val="none"/>
              </w:rPr>
            </w:pPr>
            <w:r>
              <w:rPr>
                <w:rFonts w:hint="eastAsia" w:ascii="宋体" w:hAnsi="宋体" w:cs="宋体"/>
                <w:color w:val="auto"/>
                <w:kern w:val="1"/>
                <w:szCs w:val="21"/>
                <w:highlight w:val="none"/>
              </w:rPr>
              <w:t>履约保证金的金额：中标价的10%。</w:t>
            </w:r>
          </w:p>
          <w:p>
            <w:pPr>
              <w:spacing w:line="400" w:lineRule="exact"/>
              <w:rPr>
                <w:rFonts w:ascii="宋体" w:hAnsi="宋体" w:cs="宋体"/>
                <w:color w:val="auto"/>
                <w:kern w:val="1"/>
                <w:szCs w:val="21"/>
                <w:highlight w:val="none"/>
              </w:rPr>
            </w:pPr>
            <w:r>
              <w:rPr>
                <w:rFonts w:hint="eastAsia" w:ascii="宋体" w:hAnsi="宋体" w:cs="宋体"/>
                <w:color w:val="auto"/>
                <w:kern w:val="1"/>
                <w:szCs w:val="21"/>
                <w:highlight w:val="none"/>
              </w:rPr>
              <w:t>注：对提供＂信用中国(江苏盐城)＂备案的第三方信用报告AA评级及以上采购供应商，免收履约保证金或履约保证金缴纳比例降低，合同订立前需提供相关证明材料。</w:t>
            </w:r>
          </w:p>
          <w:p>
            <w:pPr>
              <w:spacing w:line="400" w:lineRule="exact"/>
              <w:rPr>
                <w:rFonts w:ascii="宋体" w:hAnsi="宋体" w:cs="宋体"/>
                <w:color w:val="auto"/>
                <w:kern w:val="1"/>
                <w:szCs w:val="21"/>
                <w:highlight w:val="none"/>
              </w:rPr>
            </w:pPr>
            <w:r>
              <w:rPr>
                <w:rFonts w:hint="eastAsia" w:ascii="宋体" w:hAnsi="宋体" w:cs="宋体"/>
                <w:color w:val="auto"/>
                <w:kern w:val="1"/>
                <w:szCs w:val="21"/>
                <w:highlight w:val="none"/>
              </w:rPr>
              <w:t>履约保证金退还：待本合同期满后，中标方向招标人提交退还履约保证金申请函，在中标人无违约及按合同条款约定移交原已接收的设备情况下，招标人在 30 日内无息退还履约保证金。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1130" w:type="dxa"/>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10</w:t>
            </w:r>
          </w:p>
        </w:tc>
        <w:tc>
          <w:tcPr>
            <w:tcW w:w="1912" w:type="dxa"/>
            <w:vAlign w:val="center"/>
          </w:tcPr>
          <w:p>
            <w:pPr>
              <w:spacing w:line="22" w:lineRule="atLeast"/>
              <w:jc w:val="center"/>
              <w:rPr>
                <w:rFonts w:ascii="宋体" w:hAnsi="宋体" w:cs="宋体"/>
                <w:color w:val="auto"/>
                <w:szCs w:val="21"/>
                <w:highlight w:val="none"/>
              </w:rPr>
            </w:pPr>
            <w:r>
              <w:rPr>
                <w:rFonts w:hint="eastAsia" w:ascii="宋体" w:hAnsi="宋体" w:cs="宋体"/>
                <w:color w:val="auto"/>
                <w:szCs w:val="21"/>
                <w:highlight w:val="none"/>
              </w:rPr>
              <w:t>付款方式</w:t>
            </w:r>
          </w:p>
        </w:tc>
        <w:tc>
          <w:tcPr>
            <w:tcW w:w="6868" w:type="dxa"/>
            <w:vAlign w:val="center"/>
          </w:tcPr>
          <w:p>
            <w:pPr>
              <w:pStyle w:val="9"/>
              <w:rPr>
                <w:rFonts w:ascii="宋体" w:hAnsi="宋体" w:cs="宋体"/>
                <w:color w:val="auto"/>
                <w:kern w:val="1"/>
                <w:szCs w:val="21"/>
                <w:highlight w:val="none"/>
              </w:rPr>
            </w:pPr>
            <w:r>
              <w:rPr>
                <w:rFonts w:hint="eastAsia"/>
                <w:color w:val="auto"/>
                <w:highlight w:val="none"/>
              </w:rPr>
              <w:t>合同签订后付10%预付款，完成成果后且经发包人审核通过后付至合同价的70%；工程竣工验收合格后付至合同价款90%，工程经审计后结清余款，按以上进度付款无任何利息补偿。结算时，乙方须向甲方提供税务发票，对于满足合同约定支付条件的，甲方应当自收到发票后10个工作日内支付。（在签订合同时，供应商明确表示无需预付款或者主动要求降低预付款比例的，采购人可不适用上述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3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8780" w:type="dxa"/>
            <w:gridSpan w:val="2"/>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解释权：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00" w:lineRule="exact"/>
              <w:ind w:right="100"/>
              <w:rPr>
                <w:rFonts w:ascii="宋体" w:hAnsi="宋体" w:cs="宋体"/>
                <w:color w:val="auto"/>
                <w:szCs w:val="21"/>
                <w:highlight w:val="none"/>
              </w:rPr>
            </w:pPr>
            <w:r>
              <w:rPr>
                <w:rFonts w:hint="eastAsia" w:ascii="宋体" w:hAnsi="宋体" w:cs="宋体"/>
                <w:color w:val="auto"/>
                <w:szCs w:val="21"/>
                <w:highlight w:val="none"/>
              </w:rPr>
              <w:t>⑴凡是构成合同文件组成内容的不明确或不一致，以合同文件约定内容为准，且以专用合同条款约定的合同文件优先顺序解释；</w:t>
            </w:r>
          </w:p>
          <w:p>
            <w:pPr>
              <w:tabs>
                <w:tab w:val="left" w:pos="920"/>
              </w:tabs>
              <w:spacing w:line="400" w:lineRule="exact"/>
              <w:ind w:right="100"/>
              <w:rPr>
                <w:rFonts w:ascii="宋体" w:hAnsi="宋体" w:cs="宋体"/>
                <w:color w:val="auto"/>
                <w:szCs w:val="21"/>
                <w:highlight w:val="none"/>
              </w:rPr>
            </w:pPr>
            <w:r>
              <w:rPr>
                <w:rFonts w:hint="eastAsia" w:ascii="宋体" w:hAnsi="宋体" w:cs="宋体"/>
                <w:color w:val="auto"/>
                <w:szCs w:val="21"/>
                <w:highlight w:val="none"/>
              </w:rPr>
              <w:t>⑵凡不是构成合同文件组成内容的不明确或不一致，除招标文件中有特别规定外，仅适用于招标投标阶段的规定，按招标公告（投标邀请书）、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⑶按本款前述规定仍不能形成结论的，由招标人负责解释。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8780" w:type="dxa"/>
            <w:gridSpan w:val="2"/>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1、本招标文件时间均以中华人民共和国北京时间为准，所涉及金额的币种均为人民币。</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2、凡参与本项目投标的投标人，视同已踏勘过项目现场和研究了本招标文件的所有内容，并无保留地接受招标文件的所有条款（含招标答疑、补充通知等）。</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3、为防止因开标前集中上传投标文件造成的网络拥堵，导致投标人无法在投标截止时间前成功上传投标文件，建议投标人在开标前尽早将投标文件上传到</w:t>
            </w:r>
            <w:r>
              <w:rPr>
                <w:rFonts w:hint="eastAsia" w:ascii="宋体" w:hAnsi="宋体" w:cs="宋体"/>
                <w:b/>
                <w:bCs/>
                <w:color w:val="auto"/>
                <w:szCs w:val="21"/>
                <w:highlight w:val="none"/>
              </w:rPr>
              <w:t>新点电子交易平台-大丰政府采购系统</w:t>
            </w:r>
            <w:r>
              <w:rPr>
                <w:rFonts w:hint="eastAsia" w:ascii="宋体" w:hAnsi="宋体" w:cs="宋体"/>
                <w:color w:val="auto"/>
                <w:szCs w:val="21"/>
                <w:highlight w:val="none"/>
              </w:rPr>
              <w:t>（网址：https://www.etrading.cn/BREpointSSO/login/oauth2login）</w:t>
            </w:r>
            <w:r>
              <w:rPr>
                <w:rFonts w:hint="eastAsia" w:ascii="宋体" w:hAnsi="宋体" w:cs="宋体"/>
                <w:b/>
                <w:bCs/>
                <w:color w:val="auto"/>
                <w:szCs w:val="21"/>
                <w:highlight w:val="none"/>
              </w:rPr>
              <w:t>。</w:t>
            </w:r>
          </w:p>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4、请统一使用最新版本的投标文件编制工具制作投标文件，相应软件请至新点电子交易平台（https://www.etrading.cn/），点击右侧“常用下载”，选择“投标工具”进行下载（网址：https://download.bqpoint.com/download/downloaddetail.html?SourceFrom=Ztb&amp;ZtbSoftXiaQuCode=0128&amp;ZtbSoftType=tballinclusive），投标文件制作视频学习地址：https://www.etrading.cn/bszn/015005/015005002/20211227/80e55434-c70a-4a10-923e-641aa639269e.html。</w:t>
            </w:r>
            <w:r>
              <w:rPr>
                <w:rFonts w:hint="eastAsia" w:ascii="宋体" w:hAnsi="宋体" w:cs="宋体"/>
                <w:b/>
                <w:bCs/>
                <w:color w:val="auto"/>
                <w:szCs w:val="21"/>
                <w:highlight w:val="none"/>
              </w:rPr>
              <w:t>目前投标人使用投标文件制作工具制作投标文件时，无需电子签章。</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5、因本项目采用全程电子化及不见面开标模式，故招标人特别说明如下：</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①、不见面开标项目的时间均以国家授时中心发布的时间为准。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②、本项目招投标文件均用专用招投标工具软件编制，并通过网上招投标平台完成招投标过程。投标人投标文件的编制和提交，应依照招标文件的规定进行。如未按招标文件要求编制、提交电子投标文件，将有可能导致无效投标，其不利后果由投标人自行承担。不见面开标操作教程详见http://js.etrading.cn/EpointBidOpening/bidopeninghallaction/hall/login。投标人如对正确使用招投标专用工具软件有疑问的，请尽早和软件公司的服务人员联系，他们会根据投标人要求，提供必要的培训和技术支持。平台使用问题、投标文件制作工具使用问题请在工作时间联系新点公司，联系电话：4009280095-5或者联系本项目招标代理，联系电话：</w:t>
            </w:r>
            <w:r>
              <w:rPr>
                <w:rFonts w:hint="eastAsia"/>
                <w:color w:val="auto"/>
                <w:kern w:val="1"/>
                <w:szCs w:val="21"/>
                <w:highlight w:val="none"/>
              </w:rPr>
              <w:t>0515-83515088</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③、为顺利实现本项目开评标的远程交互，建议投标人配置的硬件设施有：高配置电脑、高速稳定的网络、电源（不间断）、CA锁、音视频设备（话筒、耳麦、高清摄像头、音响）、扫描仪、打印机、传真机、高清视频监控等；建议投标人具备的软件设施有：IE浏览器（版本必须为11及11以上），江苏省互联互通版驱动版本。为保证交互效果，建议投标人选择封闭安静的地点参与远程交互。因投标人自身软硬件配备不齐全或发生故障等问题而导致在交互过程中出现不稳定或中断等情况的，其产生的不利后果由投标人自身承担。</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6、本招标文件未尽事宜，按国家和省法律法规、规章要求处理。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7、本招标文件的解释权归招标人所有。</w:t>
            </w:r>
          </w:p>
        </w:tc>
      </w:tr>
    </w:tbl>
    <w:p>
      <w:pPr>
        <w:spacing w:line="480" w:lineRule="exact"/>
        <w:ind w:firstLine="422" w:firstLineChars="200"/>
        <w:rPr>
          <w:color w:val="auto"/>
          <w:highlight w:val="none"/>
        </w:rPr>
      </w:pPr>
      <w:bookmarkStart w:id="29" w:name="_Toc368760427"/>
      <w:bookmarkStart w:id="30" w:name="_Toc184635071"/>
      <w:bookmarkStart w:id="31" w:name="_Toc368759375"/>
      <w:bookmarkStart w:id="32" w:name="_Toc369077561"/>
      <w:bookmarkStart w:id="33" w:name="_Toc363329370"/>
      <w:bookmarkStart w:id="34" w:name="_Toc367894798"/>
      <w:r>
        <w:rPr>
          <w:rFonts w:hint="eastAsia" w:ascii="宋体" w:hAnsi="宋体" w:cs="宋体"/>
          <w:b/>
          <w:color w:val="auto"/>
          <w:szCs w:val="21"/>
          <w:highlight w:val="none"/>
        </w:rPr>
        <w:t>特别提醒：</w:t>
      </w:r>
      <w:bookmarkStart w:id="35" w:name="_Toc397928549"/>
      <w:bookmarkStart w:id="36" w:name="_Toc18948"/>
      <w:bookmarkStart w:id="37" w:name="_Toc387526375"/>
      <w:bookmarkStart w:id="38" w:name="_Toc387526283"/>
      <w:bookmarkStart w:id="39" w:name="_Toc387526179"/>
      <w:r>
        <w:rPr>
          <w:rFonts w:hint="eastAsia" w:ascii="宋体" w:hAnsi="宋体" w:cs="宋体"/>
          <w:b/>
          <w:color w:val="auto"/>
          <w:szCs w:val="21"/>
          <w:highlight w:val="none"/>
        </w:rPr>
        <w:t>招标人会根据招标需要，可能会不定期在大丰公共资源电子交易平台发布该项目补充答疑等澄清修改文件，请各投标人自行网上查寻，未能及时查阅响应而影响投标的，结果由投标人负责。</w:t>
      </w:r>
    </w:p>
    <w:p>
      <w:pPr>
        <w:spacing w:line="460" w:lineRule="exact"/>
        <w:ind w:firstLine="422" w:firstLineChars="200"/>
        <w:jc w:val="left"/>
        <w:rPr>
          <w:rFonts w:ascii="宋体" w:hAnsi="宋体" w:cs="宋体"/>
          <w:b/>
          <w:color w:val="auto"/>
          <w:szCs w:val="21"/>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1.总则</w:t>
      </w:r>
      <w:bookmarkEnd w:id="29"/>
      <w:bookmarkEnd w:id="30"/>
      <w:bookmarkEnd w:id="31"/>
      <w:bookmarkEnd w:id="32"/>
      <w:bookmarkEnd w:id="33"/>
      <w:bookmarkEnd w:id="34"/>
      <w:bookmarkEnd w:id="35"/>
      <w:bookmarkEnd w:id="36"/>
      <w:bookmarkEnd w:id="37"/>
      <w:bookmarkEnd w:id="38"/>
      <w:bookmarkEnd w:id="39"/>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40" w:name="_Toc397928550"/>
      <w:bookmarkStart w:id="41" w:name="_Toc5365"/>
      <w:bookmarkStart w:id="42" w:name="_Toc387526180"/>
      <w:bookmarkStart w:id="43" w:name="_Toc387526284"/>
      <w:bookmarkStart w:id="44" w:name="_Toc387526376"/>
      <w:bookmarkStart w:id="45" w:name="_Toc508216880"/>
      <w:r>
        <w:rPr>
          <w:rFonts w:hint="eastAsia" w:ascii="宋体" w:hAnsi="宋体" w:eastAsia="宋体" w:cs="宋体"/>
          <w:color w:val="auto"/>
          <w:sz w:val="21"/>
          <w:szCs w:val="21"/>
          <w:highlight w:val="none"/>
        </w:rPr>
        <w:t>1.1 项目概况</w:t>
      </w:r>
      <w:bookmarkEnd w:id="40"/>
      <w:bookmarkEnd w:id="41"/>
      <w:bookmarkEnd w:id="42"/>
      <w:bookmarkEnd w:id="43"/>
      <w:bookmarkEnd w:id="44"/>
      <w:bookmarkEnd w:id="45"/>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1.1.1根据有关法律、法规和规章的规定，本招标项目已具备招标条件，本项目所属行业划分为</w:t>
      </w:r>
      <w:r>
        <w:rPr>
          <w:rFonts w:hint="eastAsia" w:ascii="宋体" w:hAnsi="宋体" w:cs="宋体"/>
          <w:color w:val="auto"/>
          <w:szCs w:val="21"/>
          <w:highlight w:val="none"/>
          <w:u w:val="single"/>
        </w:rPr>
        <w:t>其他未列明行业</w:t>
      </w:r>
      <w:r>
        <w:rPr>
          <w:rFonts w:hint="eastAsia" w:ascii="宋体" w:hAnsi="宋体" w:cs="宋体"/>
          <w:color w:val="auto"/>
          <w:szCs w:val="21"/>
          <w:highlight w:val="none"/>
        </w:rPr>
        <w:t>，现对</w:t>
      </w:r>
      <w:r>
        <w:rPr>
          <w:rFonts w:hint="eastAsia" w:ascii="宋体" w:hAnsi="宋体" w:cs="宋体"/>
          <w:color w:val="auto"/>
          <w:szCs w:val="21"/>
          <w:highlight w:val="none"/>
          <w:u w:val="single"/>
        </w:rPr>
        <w:t xml:space="preserve"> 2024年大丰区农村生活污水治理排查、方案编制、设计项目 </w:t>
      </w:r>
      <w:r>
        <w:rPr>
          <w:rFonts w:hint="eastAsia" w:ascii="宋体" w:hAnsi="宋体" w:cs="宋体"/>
          <w:color w:val="auto"/>
          <w:szCs w:val="21"/>
          <w:highlight w:val="none"/>
        </w:rPr>
        <w:t>进行招标。</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1.1.2本招标项目招标人：见投标人须知前附表。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1.1.3本招标项目招标代理机构：见投标人须知前附表。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1.1.4本招标项目名称：见投标人须知前附表。</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46" w:name="_Toc397928551"/>
      <w:bookmarkStart w:id="47" w:name="_Toc387526285"/>
      <w:bookmarkStart w:id="48" w:name="_Toc387526377"/>
      <w:bookmarkStart w:id="49" w:name="_Toc508216881"/>
      <w:bookmarkStart w:id="50" w:name="_Toc387526181"/>
      <w:bookmarkStart w:id="51" w:name="_Toc11796"/>
      <w:r>
        <w:rPr>
          <w:rFonts w:hint="eastAsia" w:ascii="宋体" w:hAnsi="宋体" w:eastAsia="宋体" w:cs="宋体"/>
          <w:color w:val="auto"/>
          <w:sz w:val="21"/>
          <w:szCs w:val="21"/>
          <w:highlight w:val="none"/>
        </w:rPr>
        <w:t>1.2 资金来源和落实情况</w:t>
      </w:r>
      <w:bookmarkEnd w:id="46"/>
      <w:bookmarkEnd w:id="47"/>
      <w:bookmarkEnd w:id="48"/>
      <w:bookmarkEnd w:id="49"/>
      <w:bookmarkEnd w:id="50"/>
      <w:bookmarkEnd w:id="51"/>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1.2.1本招标项目的资金来源：见投标人须知前附表。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1.2.2本招标项目的出资比例：见投标人须知前附表。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1.2.3本招标项目的资金落实情况：见投标人须知前附表。</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52" w:name="_Toc387526286"/>
      <w:bookmarkStart w:id="53" w:name="_Toc508216882"/>
      <w:bookmarkStart w:id="54" w:name="_Toc397928552"/>
      <w:bookmarkStart w:id="55" w:name="_Toc387526182"/>
      <w:bookmarkStart w:id="56" w:name="_Toc387526378"/>
      <w:bookmarkStart w:id="57" w:name="_Toc853"/>
      <w:r>
        <w:rPr>
          <w:rFonts w:hint="eastAsia" w:ascii="宋体" w:hAnsi="宋体" w:eastAsia="宋体" w:cs="宋体"/>
          <w:color w:val="auto"/>
          <w:sz w:val="21"/>
          <w:szCs w:val="21"/>
          <w:highlight w:val="none"/>
        </w:rPr>
        <w:t>1.3 招标范围、合同履行期限和质量要求</w:t>
      </w:r>
      <w:bookmarkEnd w:id="52"/>
      <w:bookmarkEnd w:id="53"/>
      <w:bookmarkEnd w:id="54"/>
      <w:bookmarkEnd w:id="55"/>
      <w:bookmarkEnd w:id="56"/>
      <w:bookmarkEnd w:id="57"/>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1.3.1本次招标范围：见投标人须知前附表。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1.3.2本招标项目的合同履行期限：见投标人须知前附表。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1.3.3本招标项目的服务地点：见投标人须知前附表。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1.3.4本招标项目的质量要求及验收标准：见投标人须知前附表。</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58" w:name="_Toc387526379"/>
      <w:bookmarkStart w:id="59" w:name="_Toc13930"/>
      <w:bookmarkStart w:id="60" w:name="_Toc508216883"/>
      <w:bookmarkStart w:id="61" w:name="_Toc387526287"/>
      <w:bookmarkStart w:id="62" w:name="_Toc387526183"/>
      <w:bookmarkStart w:id="63" w:name="_Toc397928553"/>
      <w:r>
        <w:rPr>
          <w:rFonts w:hint="eastAsia" w:ascii="宋体" w:hAnsi="宋体" w:eastAsia="宋体" w:cs="宋体"/>
          <w:color w:val="auto"/>
          <w:sz w:val="21"/>
          <w:szCs w:val="21"/>
          <w:highlight w:val="none"/>
        </w:rPr>
        <w:t>1.4 投标人资格要求</w:t>
      </w:r>
      <w:bookmarkEnd w:id="58"/>
      <w:bookmarkEnd w:id="59"/>
      <w:bookmarkEnd w:id="60"/>
      <w:bookmarkEnd w:id="61"/>
      <w:bookmarkEnd w:id="62"/>
      <w:bookmarkEnd w:id="63"/>
    </w:p>
    <w:p>
      <w:pPr>
        <w:autoSpaceDE w:val="0"/>
        <w:autoSpaceDN w:val="0"/>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1.4.1 投标人应具备的资格要求见投标人须知前附表。</w:t>
      </w:r>
    </w:p>
    <w:p>
      <w:pPr>
        <w:autoSpaceDE w:val="0"/>
        <w:autoSpaceDN w:val="0"/>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1.4.2 投标人须知前附表规定不接受联合体投标。</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1.4.3 投标人不得存在下列情形之一： </w:t>
      </w:r>
    </w:p>
    <w:p>
      <w:pPr>
        <w:spacing w:line="460" w:lineRule="exact"/>
        <w:ind w:firstLine="420" w:firstLineChars="200"/>
        <w:jc w:val="left"/>
        <w:rPr>
          <w:rFonts w:ascii="宋体" w:hAnsi="宋体" w:cs="宋体"/>
          <w:color w:val="auto"/>
          <w:szCs w:val="21"/>
          <w:highlight w:val="none"/>
        </w:rPr>
      </w:pPr>
      <w:bookmarkStart w:id="64" w:name="_Toc1684"/>
      <w:bookmarkStart w:id="65" w:name="_Toc397928554"/>
      <w:bookmarkStart w:id="66" w:name="_Toc387526288"/>
      <w:bookmarkStart w:id="67" w:name="_Toc508216884"/>
      <w:bookmarkStart w:id="68" w:name="_Toc387526380"/>
      <w:bookmarkStart w:id="69" w:name="_Toc387526184"/>
      <w:r>
        <w:rPr>
          <w:rFonts w:hint="eastAsia" w:ascii="宋体" w:hAnsi="宋体" w:cs="宋体"/>
          <w:color w:val="auto"/>
          <w:szCs w:val="21"/>
          <w:highlight w:val="none"/>
        </w:rPr>
        <w:t xml:space="preserve">（1）为招标人的附属机构（单位）； </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（2）为本标段的代建人；</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（3）为本标段提供招标代理服务的；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（4）招标代理机构的单位负责人为同一个人的； </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（5）招标代理机构相互控股或参股的；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（6）与本标段的其他申请人的单位负责人为同一个人的；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（7）与本标段的其他申请人之间存在控股、管理关系或母公司、全资子公司关系的；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（8）法律法规规定的其他情形。</w:t>
      </w:r>
    </w:p>
    <w:p>
      <w:pPr>
        <w:pStyle w:val="5"/>
        <w:spacing w:before="0" w:after="0" w:line="460" w:lineRule="exact"/>
        <w:ind w:firstLine="420" w:firstLineChars="2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 费用承担</w:t>
      </w:r>
      <w:bookmarkEnd w:id="64"/>
      <w:bookmarkEnd w:id="65"/>
      <w:bookmarkEnd w:id="66"/>
      <w:bookmarkEnd w:id="67"/>
      <w:bookmarkEnd w:id="68"/>
      <w:bookmarkEnd w:id="69"/>
    </w:p>
    <w:p>
      <w:pPr>
        <w:autoSpaceDE w:val="0"/>
        <w:autoSpaceDN w:val="0"/>
        <w:spacing w:line="460" w:lineRule="exact"/>
        <w:ind w:firstLine="420" w:firstLineChars="200"/>
        <w:jc w:val="left"/>
        <w:rPr>
          <w:rFonts w:ascii="宋体" w:hAnsi="宋体" w:cs="宋体"/>
          <w:b/>
          <w:color w:val="auto"/>
          <w:szCs w:val="21"/>
          <w:highlight w:val="none"/>
        </w:rPr>
      </w:pPr>
      <w:r>
        <w:rPr>
          <w:rFonts w:hint="eastAsia" w:ascii="宋体" w:hAnsi="宋体" w:cs="宋体"/>
          <w:color w:val="auto"/>
          <w:kern w:val="0"/>
          <w:szCs w:val="21"/>
          <w:highlight w:val="none"/>
        </w:rPr>
        <w:t>投标人准备和参加投标活动发生的费用自理。</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70" w:name="_Toc5130"/>
      <w:bookmarkStart w:id="71" w:name="_Toc508216885"/>
      <w:bookmarkStart w:id="72" w:name="_Toc397928555"/>
      <w:bookmarkStart w:id="73" w:name="_Toc387526381"/>
      <w:bookmarkStart w:id="74" w:name="_Toc387526185"/>
      <w:bookmarkStart w:id="75" w:name="_Toc387526289"/>
      <w:r>
        <w:rPr>
          <w:rFonts w:hint="eastAsia" w:ascii="宋体" w:hAnsi="宋体" w:eastAsia="宋体" w:cs="宋体"/>
          <w:color w:val="auto"/>
          <w:sz w:val="21"/>
          <w:szCs w:val="21"/>
          <w:highlight w:val="none"/>
        </w:rPr>
        <w:t>1.6 保密</w:t>
      </w:r>
      <w:bookmarkEnd w:id="70"/>
      <w:bookmarkEnd w:id="71"/>
      <w:bookmarkEnd w:id="72"/>
      <w:bookmarkEnd w:id="73"/>
      <w:bookmarkEnd w:id="74"/>
      <w:bookmarkEnd w:id="75"/>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参与招标投标活动的各方应对招标文件和投标文件中的商业和技术等秘密保密，违者应对由此造成的后果承担法律责任。</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76" w:name="_Toc387526290"/>
      <w:bookmarkStart w:id="77" w:name="_Toc387526186"/>
      <w:bookmarkStart w:id="78" w:name="_Toc822"/>
      <w:bookmarkStart w:id="79" w:name="_Toc508216886"/>
      <w:bookmarkStart w:id="80" w:name="_Toc387526382"/>
      <w:bookmarkStart w:id="81" w:name="_Toc397928556"/>
      <w:r>
        <w:rPr>
          <w:rFonts w:hint="eastAsia" w:ascii="宋体" w:hAnsi="宋体" w:eastAsia="宋体" w:cs="宋体"/>
          <w:color w:val="auto"/>
          <w:sz w:val="21"/>
          <w:szCs w:val="21"/>
          <w:highlight w:val="none"/>
        </w:rPr>
        <w:t>1.7 语言文字</w:t>
      </w:r>
      <w:bookmarkEnd w:id="76"/>
      <w:bookmarkEnd w:id="77"/>
      <w:bookmarkEnd w:id="78"/>
      <w:bookmarkEnd w:id="79"/>
      <w:bookmarkEnd w:id="80"/>
      <w:bookmarkEnd w:id="81"/>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除专用术语外，与招标投标有关的语言均使用中文。必要时专用术语应附有中文注释。</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82" w:name="_Toc508216887"/>
      <w:bookmarkStart w:id="83" w:name="_Toc397928557"/>
      <w:bookmarkStart w:id="84" w:name="_Toc31413"/>
      <w:bookmarkStart w:id="85" w:name="_Toc387526187"/>
      <w:bookmarkStart w:id="86" w:name="_Toc387526291"/>
      <w:bookmarkStart w:id="87" w:name="_Toc387526383"/>
      <w:r>
        <w:rPr>
          <w:rFonts w:hint="eastAsia" w:ascii="宋体" w:hAnsi="宋体" w:eastAsia="宋体" w:cs="宋体"/>
          <w:color w:val="auto"/>
          <w:sz w:val="21"/>
          <w:szCs w:val="21"/>
          <w:highlight w:val="none"/>
        </w:rPr>
        <w:t>1.8 计量单位</w:t>
      </w:r>
      <w:bookmarkEnd w:id="82"/>
      <w:bookmarkEnd w:id="83"/>
      <w:bookmarkEnd w:id="84"/>
      <w:bookmarkEnd w:id="85"/>
      <w:bookmarkEnd w:id="86"/>
      <w:bookmarkEnd w:id="87"/>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所有计量均采用中华人民共和国法定计量单位。</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88" w:name="_Toc387526292"/>
      <w:bookmarkStart w:id="89" w:name="_Toc387526384"/>
      <w:bookmarkStart w:id="90" w:name="_Toc387526188"/>
      <w:bookmarkStart w:id="91" w:name="_Toc397928558"/>
      <w:bookmarkStart w:id="92" w:name="_Toc25122"/>
      <w:bookmarkStart w:id="93" w:name="_Toc508216888"/>
      <w:r>
        <w:rPr>
          <w:rFonts w:hint="eastAsia" w:ascii="宋体" w:hAnsi="宋体" w:eastAsia="宋体" w:cs="宋体"/>
          <w:color w:val="auto"/>
          <w:sz w:val="21"/>
          <w:szCs w:val="21"/>
          <w:highlight w:val="none"/>
        </w:rPr>
        <w:t>1.9 踏勘现场</w:t>
      </w:r>
      <w:bookmarkEnd w:id="88"/>
      <w:bookmarkEnd w:id="89"/>
      <w:bookmarkEnd w:id="90"/>
      <w:bookmarkEnd w:id="91"/>
      <w:bookmarkEnd w:id="92"/>
      <w:bookmarkEnd w:id="93"/>
    </w:p>
    <w:p>
      <w:pPr>
        <w:autoSpaceDE w:val="0"/>
        <w:autoSpaceDN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1.9.1招标人不组织投标人踏勘现场，投标人可以自行进行勘察，以获取编制投标文件和签署合同所需的所有资料。</w:t>
      </w:r>
    </w:p>
    <w:p>
      <w:pPr>
        <w:autoSpaceDE w:val="0"/>
        <w:autoSpaceDN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1.9.2 投标人踏勘现场发生的费用自理。</w:t>
      </w:r>
    </w:p>
    <w:p>
      <w:pPr>
        <w:autoSpaceDE w:val="0"/>
        <w:autoSpaceDN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1.9.3 除招标人的原因外，投标人自行负责在踏勘现场中所发生的人员伤亡和财产损失。</w:t>
      </w:r>
    </w:p>
    <w:p>
      <w:pPr>
        <w:autoSpaceDE w:val="0"/>
        <w:autoSpaceDN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1.9.4 招标人向投标人提供的有关资料和数据是招标人现有的能使投标人利用的资料。招标人对投标人由此而做出的推论、理解和结论概不负责。</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94" w:name="_Toc387526293"/>
      <w:bookmarkStart w:id="95" w:name="_Toc397928559"/>
      <w:bookmarkStart w:id="96" w:name="_Toc11088"/>
      <w:bookmarkStart w:id="97" w:name="_Toc387526189"/>
      <w:bookmarkStart w:id="98" w:name="_Toc387526385"/>
      <w:bookmarkStart w:id="99" w:name="_Toc508216889"/>
      <w:r>
        <w:rPr>
          <w:rFonts w:hint="eastAsia" w:ascii="宋体" w:hAnsi="宋体" w:eastAsia="宋体" w:cs="宋体"/>
          <w:color w:val="auto"/>
          <w:sz w:val="21"/>
          <w:szCs w:val="21"/>
          <w:highlight w:val="none"/>
        </w:rPr>
        <w:t>1.10 投标预备会</w:t>
      </w:r>
      <w:bookmarkEnd w:id="94"/>
      <w:bookmarkEnd w:id="95"/>
      <w:bookmarkEnd w:id="96"/>
      <w:bookmarkEnd w:id="97"/>
      <w:bookmarkEnd w:id="98"/>
      <w:bookmarkEnd w:id="99"/>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本项目不召开投标预备会。</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100" w:name="_Toc387526294"/>
      <w:bookmarkStart w:id="101" w:name="_Toc508216890"/>
      <w:bookmarkStart w:id="102" w:name="_Toc397928560"/>
      <w:bookmarkStart w:id="103" w:name="_Toc21970"/>
      <w:bookmarkStart w:id="104" w:name="_Toc387526386"/>
      <w:bookmarkStart w:id="105" w:name="_Toc387526190"/>
      <w:bookmarkStart w:id="106" w:name="_Toc366679673"/>
      <w:bookmarkStart w:id="107" w:name="_Toc363329371"/>
      <w:bookmarkStart w:id="108" w:name="_Toc367894799"/>
      <w:r>
        <w:rPr>
          <w:rFonts w:hint="eastAsia" w:ascii="宋体" w:hAnsi="宋体" w:eastAsia="宋体" w:cs="宋体"/>
          <w:color w:val="auto"/>
          <w:sz w:val="21"/>
          <w:szCs w:val="21"/>
          <w:highlight w:val="none"/>
        </w:rPr>
        <w:t>1.11 偏离</w:t>
      </w:r>
      <w:bookmarkEnd w:id="100"/>
      <w:bookmarkEnd w:id="101"/>
      <w:bookmarkEnd w:id="102"/>
      <w:bookmarkEnd w:id="103"/>
      <w:bookmarkEnd w:id="104"/>
      <w:bookmarkEnd w:id="105"/>
      <w:bookmarkEnd w:id="106"/>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投标人须知前附表允许投标文件偏离招标文件某些要求的，偏离应当符合招标文件规定的偏离范围和幅度。</w:t>
      </w:r>
    </w:p>
    <w:p>
      <w:pPr>
        <w:pStyle w:val="29"/>
        <w:spacing w:before="0" w:after="0" w:line="460" w:lineRule="exact"/>
        <w:ind w:firstLine="422" w:firstLineChars="200"/>
        <w:jc w:val="left"/>
        <w:rPr>
          <w:rFonts w:ascii="宋体" w:hAnsi="宋体"/>
          <w:color w:val="auto"/>
          <w:sz w:val="21"/>
          <w:szCs w:val="21"/>
          <w:highlight w:val="none"/>
        </w:rPr>
      </w:pPr>
      <w:bookmarkStart w:id="109" w:name="_Toc387526387"/>
      <w:bookmarkStart w:id="110" w:name="_Toc387526295"/>
      <w:bookmarkStart w:id="111" w:name="_Toc369077562"/>
      <w:bookmarkStart w:id="112" w:name="_Toc508216891"/>
      <w:bookmarkStart w:id="113" w:name="_Toc387526191"/>
      <w:bookmarkStart w:id="114" w:name="_Toc397928561"/>
      <w:bookmarkStart w:id="115" w:name="_Toc30422"/>
      <w:bookmarkStart w:id="116" w:name="_Toc368759376"/>
      <w:bookmarkStart w:id="117" w:name="_Toc368760428"/>
      <w:r>
        <w:rPr>
          <w:rFonts w:hint="eastAsia" w:ascii="宋体" w:hAnsi="宋体"/>
          <w:color w:val="auto"/>
          <w:sz w:val="21"/>
          <w:szCs w:val="21"/>
          <w:highlight w:val="none"/>
        </w:rPr>
        <w:t>2.招标文件</w:t>
      </w:r>
      <w:bookmarkEnd w:id="107"/>
      <w:bookmarkEnd w:id="108"/>
      <w:bookmarkEnd w:id="109"/>
      <w:bookmarkEnd w:id="110"/>
      <w:bookmarkEnd w:id="111"/>
      <w:bookmarkEnd w:id="112"/>
      <w:bookmarkEnd w:id="113"/>
      <w:bookmarkEnd w:id="114"/>
      <w:bookmarkEnd w:id="115"/>
      <w:bookmarkEnd w:id="116"/>
      <w:bookmarkEnd w:id="117"/>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118" w:name="_Toc397928562"/>
      <w:bookmarkStart w:id="119" w:name="_Toc387526192"/>
      <w:bookmarkStart w:id="120" w:name="_Toc508216892"/>
      <w:bookmarkStart w:id="121" w:name="_Toc23070"/>
      <w:bookmarkStart w:id="122" w:name="_Toc387526296"/>
      <w:bookmarkStart w:id="123" w:name="_Toc387526388"/>
      <w:r>
        <w:rPr>
          <w:rFonts w:hint="eastAsia" w:ascii="宋体" w:hAnsi="宋体" w:eastAsia="宋体" w:cs="宋体"/>
          <w:color w:val="auto"/>
          <w:sz w:val="21"/>
          <w:szCs w:val="21"/>
          <w:highlight w:val="none"/>
        </w:rPr>
        <w:t>2.1 招标文件组成</w:t>
      </w:r>
      <w:bookmarkEnd w:id="118"/>
      <w:bookmarkEnd w:id="119"/>
      <w:bookmarkEnd w:id="120"/>
      <w:bookmarkEnd w:id="121"/>
      <w:bookmarkEnd w:id="122"/>
      <w:bookmarkEnd w:id="123"/>
    </w:p>
    <w:p>
      <w:pPr>
        <w:shd w:val="clear" w:color="auto" w:fill="FFFFFF"/>
        <w:autoSpaceDE w:val="0"/>
        <w:autoSpaceDN w:val="0"/>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 本招标文件包括：</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（1）招标公告；</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（2）投标人须知；</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（3）评标办法；</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（4）合同条款及格式；</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（5）采购需求；</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（6）投标文件格式；</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（7）投标人须知前附表规定的其他材料。</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2.1.2根据本章第1.10款、第2.2款和第2.3款对招标文件所作的澄清、修改，构成招标文件的组成部分。当招标文件相互之间发生矛盾时，以后发出的文件为准。</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124" w:name="_Toc387526389"/>
      <w:bookmarkStart w:id="125" w:name="_Toc366679676"/>
      <w:bookmarkStart w:id="126" w:name="_Toc152042320"/>
      <w:bookmarkStart w:id="127" w:name="_Toc397928563"/>
      <w:bookmarkStart w:id="128" w:name="_Toc508216893"/>
      <w:bookmarkStart w:id="129" w:name="_Toc387526297"/>
      <w:bookmarkStart w:id="130" w:name="_Toc152045544"/>
      <w:bookmarkStart w:id="131" w:name="_Toc246996932"/>
      <w:bookmarkStart w:id="132" w:name="_Toc9593"/>
      <w:bookmarkStart w:id="133" w:name="_Toc179632562"/>
      <w:bookmarkStart w:id="134" w:name="_Toc247085703"/>
      <w:bookmarkStart w:id="135" w:name="_Toc246996189"/>
      <w:bookmarkStart w:id="136" w:name="_Toc144974512"/>
      <w:bookmarkStart w:id="137" w:name="_Toc387526193"/>
      <w:r>
        <w:rPr>
          <w:rFonts w:hint="eastAsia" w:ascii="宋体" w:hAnsi="宋体" w:eastAsia="宋体" w:cs="宋体"/>
          <w:color w:val="auto"/>
          <w:sz w:val="21"/>
          <w:szCs w:val="21"/>
          <w:highlight w:val="none"/>
        </w:rPr>
        <w:t>2.2 招标文件的澄清</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hint="eastAsia" w:ascii="宋体" w:hAnsi="宋体" w:eastAsia="宋体" w:cs="宋体"/>
          <w:color w:val="auto"/>
          <w:sz w:val="21"/>
          <w:szCs w:val="21"/>
          <w:highlight w:val="none"/>
        </w:rPr>
        <w:t xml:space="preserve"> </w:t>
      </w:r>
    </w:p>
    <w:p>
      <w:pPr>
        <w:spacing w:line="460" w:lineRule="exact"/>
        <w:ind w:firstLine="420" w:firstLineChars="200"/>
        <w:jc w:val="left"/>
        <w:rPr>
          <w:rFonts w:ascii="宋体" w:hAnsi="宋体" w:cs="宋体"/>
          <w:color w:val="auto"/>
          <w:szCs w:val="21"/>
          <w:highlight w:val="none"/>
        </w:rPr>
      </w:pPr>
      <w:bookmarkStart w:id="138" w:name="_Toc387526298"/>
      <w:bookmarkStart w:id="139" w:name="_Toc247085704"/>
      <w:bookmarkStart w:id="140" w:name="_Toc19263"/>
      <w:bookmarkStart w:id="141" w:name="_Toc397928564"/>
      <w:bookmarkStart w:id="142" w:name="_Toc387526194"/>
      <w:bookmarkStart w:id="143" w:name="_Toc179632563"/>
      <w:bookmarkStart w:id="144" w:name="_Toc246996190"/>
      <w:bookmarkStart w:id="145" w:name="_Toc366679677"/>
      <w:bookmarkStart w:id="146" w:name="_Toc246996933"/>
      <w:bookmarkStart w:id="147" w:name="_Toc387526390"/>
      <w:r>
        <w:rPr>
          <w:rFonts w:hint="eastAsia" w:ascii="宋体" w:hAnsi="宋体" w:cs="宋体"/>
          <w:color w:val="auto"/>
          <w:szCs w:val="21"/>
          <w:highlight w:val="non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7个工作日内对供应商依法提出的询问作出答复。</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2.2.2 招标文件的澄清将在投标人须知前附表规定的投标截止时间前以“补充答疑”的形式在大丰公共资源电子交易平台（http://ggzy.dafeng.gov.cn/dfweb/default.aspx）上公开发布，但不指明澄清问题的来源。如果澄清发出的时间距投标截止时间不足15天，且澄清内容影响投标文件编制的，相应延长投标截止时间。</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148" w:name="_Toc508216894"/>
      <w:r>
        <w:rPr>
          <w:rFonts w:hint="eastAsia" w:ascii="宋体" w:hAnsi="宋体" w:eastAsia="宋体" w:cs="宋体"/>
          <w:color w:val="auto"/>
          <w:sz w:val="21"/>
          <w:szCs w:val="21"/>
          <w:highlight w:val="none"/>
        </w:rPr>
        <w:t>2.3 招标文件的修改</w:t>
      </w:r>
      <w:bookmarkEnd w:id="138"/>
      <w:bookmarkEnd w:id="139"/>
      <w:bookmarkEnd w:id="140"/>
      <w:bookmarkEnd w:id="141"/>
      <w:bookmarkEnd w:id="142"/>
      <w:bookmarkEnd w:id="143"/>
      <w:bookmarkEnd w:id="144"/>
      <w:bookmarkEnd w:id="145"/>
      <w:bookmarkEnd w:id="146"/>
      <w:bookmarkEnd w:id="147"/>
      <w:bookmarkEnd w:id="148"/>
    </w:p>
    <w:p>
      <w:pPr>
        <w:spacing w:line="460" w:lineRule="exact"/>
        <w:ind w:firstLine="420" w:firstLineChars="200"/>
        <w:jc w:val="left"/>
        <w:rPr>
          <w:rFonts w:ascii="宋体" w:hAnsi="宋体" w:cs="宋体"/>
          <w:color w:val="auto"/>
          <w:szCs w:val="21"/>
          <w:highlight w:val="none"/>
        </w:rPr>
      </w:pPr>
      <w:bookmarkStart w:id="149" w:name="_Toc19481"/>
      <w:bookmarkStart w:id="150" w:name="_Toc397928565"/>
      <w:bookmarkStart w:id="151" w:name="_Toc368760429"/>
      <w:bookmarkStart w:id="152" w:name="_Toc368759377"/>
      <w:bookmarkStart w:id="153" w:name="_Toc387526299"/>
      <w:bookmarkStart w:id="154" w:name="_Toc387526391"/>
      <w:bookmarkStart w:id="155" w:name="_Toc367894800"/>
      <w:bookmarkStart w:id="156" w:name="_Toc363329372"/>
      <w:bookmarkStart w:id="157" w:name="_Toc387526195"/>
      <w:bookmarkStart w:id="158" w:name="_Toc369077563"/>
      <w:bookmarkStart w:id="159" w:name="_Toc119718089"/>
      <w:r>
        <w:rPr>
          <w:rFonts w:hint="eastAsia" w:ascii="宋体" w:hAnsi="宋体" w:cs="宋体"/>
          <w:color w:val="auto"/>
          <w:szCs w:val="21"/>
          <w:highlight w:val="none"/>
        </w:rPr>
        <w:t>2.3.1 在投标截止时间前，招标人可以以“补充答疑”的形式在大丰公共资源电子交易平台（http://ggzy.dafeng.gov.cn/dfweb/default.aspx）上修改招标文件。如果修改招标文件的时间距投标截止时间不足15天，且修改内容影响投标文件编制的，相应延长投标截止时间。</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2.4 投标人提出异议截止时间</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2.4.1 潜在投标人对招标文件有异议的，可以在知道或者应知其权益受到损害之日起七个工作日内，以书面形式向采购人提出质疑。</w:t>
      </w:r>
    </w:p>
    <w:p>
      <w:pPr>
        <w:pStyle w:val="29"/>
        <w:spacing w:before="0" w:after="0" w:line="460" w:lineRule="exact"/>
        <w:ind w:firstLine="422" w:firstLineChars="200"/>
        <w:jc w:val="left"/>
        <w:rPr>
          <w:rFonts w:ascii="宋体" w:hAnsi="宋体"/>
          <w:color w:val="auto"/>
          <w:sz w:val="21"/>
          <w:szCs w:val="21"/>
          <w:highlight w:val="none"/>
        </w:rPr>
      </w:pPr>
      <w:bookmarkStart w:id="160" w:name="_Toc508216895"/>
      <w:r>
        <w:rPr>
          <w:rFonts w:hint="eastAsia" w:ascii="宋体" w:hAnsi="宋体"/>
          <w:color w:val="auto"/>
          <w:sz w:val="21"/>
          <w:szCs w:val="21"/>
          <w:highlight w:val="none"/>
        </w:rPr>
        <w:t>3.投标文件</w:t>
      </w:r>
      <w:bookmarkEnd w:id="149"/>
      <w:bookmarkEnd w:id="150"/>
      <w:bookmarkEnd w:id="151"/>
      <w:bookmarkEnd w:id="152"/>
      <w:bookmarkEnd w:id="153"/>
      <w:bookmarkEnd w:id="154"/>
      <w:bookmarkEnd w:id="155"/>
      <w:bookmarkEnd w:id="156"/>
      <w:bookmarkEnd w:id="157"/>
      <w:bookmarkEnd w:id="158"/>
      <w:bookmarkEnd w:id="160"/>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161" w:name="_Toc5625"/>
      <w:bookmarkStart w:id="162" w:name="_Toc387526300"/>
      <w:bookmarkStart w:id="163" w:name="_Toc397928566"/>
      <w:bookmarkStart w:id="164" w:name="_Toc387526392"/>
      <w:bookmarkStart w:id="165" w:name="_Toc387526196"/>
      <w:bookmarkStart w:id="166" w:name="_Toc508216896"/>
      <w:r>
        <w:rPr>
          <w:rFonts w:hint="eastAsia" w:ascii="宋体" w:hAnsi="宋体" w:eastAsia="宋体" w:cs="宋体"/>
          <w:color w:val="auto"/>
          <w:sz w:val="21"/>
          <w:szCs w:val="21"/>
          <w:highlight w:val="none"/>
        </w:rPr>
        <w:t>3.1 投标文件</w:t>
      </w:r>
      <w:bookmarkEnd w:id="159"/>
      <w:r>
        <w:rPr>
          <w:rFonts w:hint="eastAsia" w:ascii="宋体" w:hAnsi="宋体" w:eastAsia="宋体" w:cs="宋体"/>
          <w:color w:val="auto"/>
          <w:sz w:val="21"/>
          <w:szCs w:val="21"/>
          <w:highlight w:val="none"/>
        </w:rPr>
        <w:t>的组成</w:t>
      </w:r>
      <w:bookmarkEnd w:id="161"/>
      <w:bookmarkEnd w:id="162"/>
      <w:bookmarkEnd w:id="163"/>
      <w:bookmarkEnd w:id="164"/>
      <w:bookmarkEnd w:id="165"/>
      <w:bookmarkEnd w:id="166"/>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3.1.1 投标文件组成见“投标人须知前附表”；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3.1.2 招标文件“第六章 投标文件格式”有规定格式要求的，投标人应按规定的格式填写并按要求提交相关的证明材料。</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167" w:name="_Toc387526393"/>
      <w:bookmarkStart w:id="168" w:name="_Toc508216897"/>
      <w:bookmarkStart w:id="169" w:name="_Toc397928567"/>
      <w:bookmarkStart w:id="170" w:name="_Toc387526197"/>
      <w:bookmarkStart w:id="171" w:name="_Toc387526301"/>
      <w:bookmarkStart w:id="172" w:name="_Toc10820"/>
      <w:r>
        <w:rPr>
          <w:rFonts w:hint="eastAsia" w:ascii="宋体" w:hAnsi="宋体" w:eastAsia="宋体" w:cs="宋体"/>
          <w:color w:val="auto"/>
          <w:sz w:val="21"/>
          <w:szCs w:val="21"/>
          <w:highlight w:val="none"/>
        </w:rPr>
        <w:t>3.2 投标报价</w:t>
      </w:r>
      <w:bookmarkEnd w:id="167"/>
      <w:bookmarkEnd w:id="168"/>
      <w:bookmarkEnd w:id="169"/>
      <w:bookmarkEnd w:id="170"/>
      <w:bookmarkEnd w:id="171"/>
      <w:bookmarkEnd w:id="172"/>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3.2.1投标报价应包含本招标文件中的全部内容所需的所有费用。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3.2.2投标人按投标人须知前附表的具体规定进行报价。</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3.2.3招标人设有最高投标限价的，投标人的投标报价不得超过最高投标限价，最高投标限价见投标人须知前附表。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3.2.4计价方式</w:t>
      </w:r>
      <w:bookmarkStart w:id="173" w:name="_Toc21008"/>
      <w:bookmarkStart w:id="174" w:name="_Toc387526394"/>
      <w:bookmarkStart w:id="175" w:name="_Toc387526302"/>
      <w:bookmarkStart w:id="176" w:name="_Toc397928568"/>
      <w:bookmarkStart w:id="177" w:name="_Toc387526198"/>
      <w:bookmarkStart w:id="178" w:name="_Toc508216898"/>
      <w:r>
        <w:rPr>
          <w:rFonts w:hint="eastAsia" w:ascii="宋体" w:hAnsi="宋体" w:cs="宋体"/>
          <w:color w:val="auto"/>
          <w:szCs w:val="21"/>
          <w:highlight w:val="none"/>
        </w:rPr>
        <w:t>见“投标人须知前附表”</w:t>
      </w:r>
    </w:p>
    <w:p>
      <w:pPr>
        <w:pStyle w:val="5"/>
        <w:spacing w:before="0" w:after="0" w:line="460" w:lineRule="exact"/>
        <w:ind w:firstLine="420" w:firstLineChars="2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 投标有效期</w:t>
      </w:r>
      <w:bookmarkEnd w:id="173"/>
      <w:bookmarkEnd w:id="174"/>
      <w:bookmarkEnd w:id="175"/>
      <w:bookmarkEnd w:id="176"/>
      <w:bookmarkEnd w:id="177"/>
      <w:bookmarkEnd w:id="178"/>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3.3.1 在投标人须知前附表第3.3.1条规定的投标有效期内，投标人不得要求撤销或修改其投标文件。</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3.3.2出现特殊情况需要延长投标有效期的，招标人应通知所有投标人延长投标有效期，但不得要求或被允许修改或撤销其投标文件；投标人拒绝延长的，其投标失效。 </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179" w:name="_Toc397928569"/>
      <w:bookmarkStart w:id="180" w:name="_Toc387526303"/>
      <w:bookmarkStart w:id="181" w:name="_Toc508216899"/>
      <w:bookmarkStart w:id="182" w:name="_Toc387526395"/>
      <w:bookmarkStart w:id="183" w:name="_Toc387526199"/>
      <w:bookmarkStart w:id="184" w:name="_Toc15701"/>
      <w:r>
        <w:rPr>
          <w:rFonts w:hint="eastAsia" w:ascii="宋体" w:hAnsi="宋体" w:eastAsia="宋体" w:cs="宋体"/>
          <w:color w:val="auto"/>
          <w:sz w:val="21"/>
          <w:szCs w:val="21"/>
          <w:highlight w:val="none"/>
        </w:rPr>
        <w:t>3.4投标保证金</w:t>
      </w:r>
      <w:bookmarkEnd w:id="179"/>
      <w:bookmarkEnd w:id="180"/>
      <w:bookmarkEnd w:id="181"/>
      <w:bookmarkEnd w:id="182"/>
      <w:bookmarkEnd w:id="183"/>
      <w:bookmarkEnd w:id="184"/>
    </w:p>
    <w:p>
      <w:pPr>
        <w:spacing w:line="460" w:lineRule="exact"/>
        <w:ind w:firstLine="420" w:firstLineChars="200"/>
        <w:jc w:val="left"/>
        <w:rPr>
          <w:rFonts w:ascii="宋体" w:hAnsi="宋体" w:cs="宋体"/>
          <w:color w:val="auto"/>
          <w:szCs w:val="21"/>
          <w:highlight w:val="none"/>
        </w:rPr>
      </w:pPr>
      <w:bookmarkStart w:id="185" w:name="_Toc339359765"/>
      <w:bookmarkStart w:id="186" w:name="_Toc324255909"/>
      <w:bookmarkStart w:id="187" w:name="_Toc269310939"/>
      <w:r>
        <w:rPr>
          <w:rFonts w:hint="eastAsia" w:ascii="宋体" w:hAnsi="宋体" w:cs="宋体"/>
          <w:color w:val="auto"/>
          <w:szCs w:val="21"/>
          <w:highlight w:val="none"/>
        </w:rPr>
        <w:t>本项目不需要缴纳投标保证金。</w:t>
      </w:r>
    </w:p>
    <w:p>
      <w:pPr>
        <w:pStyle w:val="5"/>
        <w:spacing w:before="0" w:after="0" w:line="460" w:lineRule="exact"/>
        <w:ind w:firstLine="420" w:firstLineChars="200"/>
        <w:jc w:val="left"/>
        <w:rPr>
          <w:rFonts w:ascii="宋体" w:hAnsi="宋体" w:eastAsia="宋体" w:cs="宋体"/>
          <w:bCs/>
          <w:color w:val="auto"/>
          <w:sz w:val="21"/>
          <w:szCs w:val="21"/>
          <w:highlight w:val="none"/>
        </w:rPr>
      </w:pPr>
      <w:bookmarkStart w:id="188" w:name="_Toc24952"/>
      <w:bookmarkStart w:id="189" w:name="_Toc508216900"/>
      <w:bookmarkStart w:id="190" w:name="_Toc397928570"/>
      <w:r>
        <w:rPr>
          <w:rFonts w:hint="eastAsia" w:ascii="宋体" w:hAnsi="宋体" w:eastAsia="宋体" w:cs="宋体"/>
          <w:bCs/>
          <w:color w:val="auto"/>
          <w:sz w:val="21"/>
          <w:szCs w:val="21"/>
          <w:highlight w:val="none"/>
        </w:rPr>
        <w:t>3.5 资格审查资料</w:t>
      </w:r>
      <w:bookmarkEnd w:id="188"/>
      <w:bookmarkEnd w:id="189"/>
      <w:bookmarkEnd w:id="190"/>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3.5.1 投标人投标文件中提供的以下资格审查资料必须为原件彩色扫描件（或电子证照），关键信息齐全、清晰可辨(钢印除外)。</w:t>
      </w:r>
    </w:p>
    <w:p>
      <w:pPr>
        <w:pStyle w:val="5"/>
        <w:spacing w:before="0" w:after="0" w:line="460" w:lineRule="exact"/>
        <w:ind w:firstLine="420" w:firstLineChars="200"/>
        <w:jc w:val="left"/>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（1）投标企业营业执照；</w:t>
      </w:r>
    </w:p>
    <w:p>
      <w:pPr>
        <w:pStyle w:val="5"/>
        <w:spacing w:before="0" w:after="0" w:line="460" w:lineRule="exact"/>
        <w:ind w:firstLine="420" w:firstLineChars="200"/>
        <w:jc w:val="left"/>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（2）投标企业资质证书；</w:t>
      </w:r>
    </w:p>
    <w:p>
      <w:pPr>
        <w:pStyle w:val="5"/>
        <w:spacing w:before="0" w:after="0" w:line="460" w:lineRule="exact"/>
        <w:ind w:firstLine="420" w:firstLineChars="200"/>
        <w:jc w:val="left"/>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（3）投标企业项目经理证书。</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特别提醒:</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1、因上述扫描件不清晰无法辨认、或提供的关键信息不全、更新不及时导致被采购人或评标委员会评委认定为无效投标的，其不利的后果由投标人自行承担。</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2、因资质换证就位或其他非主观原因显示上述证书过期的，主管部门对证书有效期延长有特殊规定的，投标时需提供相关说明，资格审查方予通过。</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3、若中标候选人上述有关证书有效性被质疑的，被质疑人出具发证机关证明或通过二维码或证书查询系统能够证明有效即可。</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采购人或评标委员会的审查或评审仅针对投标文件提交截止时间前投标人提交的投标文件（包含以链接形式提供的附件资料）进行审查或评审，投标人后续撤回、修改、补充、更新、作废诚信库信息，不影响按照投标文件提交截止时间前投标人提交的投标文件形成的审查或评审结果。投标人若需要更正投标资料信息，应在投标文件提交截止时间前撤回投标文件，重新勾选投标资料后上传。投标文件提交后，投标人不得对投标资料信息进行改动。</w:t>
      </w:r>
      <w:bookmarkStart w:id="191" w:name="_Toc387526304"/>
      <w:bookmarkStart w:id="192" w:name="_Toc397928571"/>
      <w:bookmarkStart w:id="193" w:name="_Toc508216901"/>
      <w:bookmarkStart w:id="194" w:name="_Toc22895"/>
      <w:bookmarkStart w:id="195" w:name="_Toc387526200"/>
      <w:bookmarkStart w:id="196" w:name="_Toc387526396"/>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3.6 投标文件的编制</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3.6.1 投标文件应按第六章“投标文件格式”进行编写，如有必要可自行增加，作为投标文件的组成部分。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3.6.2 电子投标文件应使用“新点电子交易平台-大丰政府采购系统”可接受的投标文件制作工具进行编制和加密，并在投标文件提交截止时间前上传至“新点电子交易平台-大丰政府采购系统”中。</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3.6.3 投标文件中涉及从企业诚信库中获取的材料见本章第3.1.1项，投标人应在相应章节中建立相应链接（点击后可自动进入企业诚信库查看相应原件彩色扫描件，并作为投标文件组成部分）。对已在投标文件中链接的企业诚信库材料进行更新的，投标文件须重新链接获取相应信息。</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有义务核查投标文件中相应链接，以及从企业诚信库中获取扫描件的有效性和真实性，如存在扫描件无效、不清晰、不完整或链接无效等情形的，投标人应及时更新企业诚信库相关材料，并重新链接获取相应信息。</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必须从诚信库获取的材料，须通过互联网可以查询，未按本项要求从企业诚信库中获取的，视为未提供，在评标时该材料不予认可。</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投标人须知前附表3.1.1条无需从诚信库勾选的材料，编制投标文件时直接提供扫描件上传至投标文件制作工具其他材料栏。</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3.6.4投标文件应当对招标文件有关合同履行期限、投标有效期、质量要求、技术标准和要求、招标范围等实质性内容作出响应。</w:t>
      </w:r>
    </w:p>
    <w:p>
      <w:pPr>
        <w:pStyle w:val="5"/>
        <w:spacing w:before="0" w:after="0" w:line="460" w:lineRule="exact"/>
        <w:ind w:firstLine="420" w:firstLineChars="2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3.7 备选投标方案</w:t>
      </w:r>
      <w:bookmarkEnd w:id="185"/>
      <w:bookmarkEnd w:id="186"/>
      <w:bookmarkEnd w:id="187"/>
      <w:bookmarkEnd w:id="191"/>
      <w:bookmarkEnd w:id="192"/>
      <w:bookmarkEnd w:id="193"/>
      <w:bookmarkEnd w:id="194"/>
      <w:bookmarkEnd w:id="195"/>
      <w:bookmarkEnd w:id="196"/>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bookmarkStart w:id="197" w:name="_Toc397928573"/>
      <w:bookmarkStart w:id="198" w:name="_Toc368760430"/>
      <w:bookmarkStart w:id="199" w:name="_Toc387526398"/>
      <w:bookmarkStart w:id="200" w:name="_Toc368759378"/>
      <w:bookmarkStart w:id="201" w:name="_Toc508216903"/>
      <w:bookmarkStart w:id="202" w:name="_Toc363329373"/>
      <w:bookmarkStart w:id="203" w:name="_Toc184635074"/>
      <w:bookmarkStart w:id="204" w:name="_Toc387526306"/>
      <w:bookmarkStart w:id="205" w:name="_Toc367894801"/>
      <w:bookmarkStart w:id="206" w:name="_Toc369077564"/>
      <w:bookmarkStart w:id="207" w:name="_Toc24421"/>
      <w:bookmarkStart w:id="208" w:name="_Toc387526202"/>
      <w:bookmarkStart w:id="209" w:name="_Toc363329374"/>
      <w:bookmarkStart w:id="210" w:name="_Toc184635075"/>
      <w:bookmarkStart w:id="211" w:name="_Toc368759379"/>
      <w:bookmarkStart w:id="212" w:name="_Toc367894802"/>
    </w:p>
    <w:p>
      <w:pPr>
        <w:spacing w:line="46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4.投标</w:t>
      </w:r>
      <w:bookmarkEnd w:id="197"/>
      <w:bookmarkEnd w:id="198"/>
      <w:bookmarkEnd w:id="199"/>
      <w:bookmarkEnd w:id="200"/>
      <w:bookmarkEnd w:id="201"/>
      <w:bookmarkEnd w:id="202"/>
      <w:bookmarkEnd w:id="203"/>
      <w:bookmarkEnd w:id="204"/>
      <w:bookmarkEnd w:id="205"/>
      <w:bookmarkEnd w:id="206"/>
      <w:bookmarkEnd w:id="207"/>
      <w:bookmarkEnd w:id="208"/>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 投标文件的加密和数字证书认证</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4.1.1 投标文件应使用数字证书认证并加密。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4.1.2 未按本章第4.1.1项要求加密和数字证书认证的投标文件，招标人拒收。</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 投标文件的提交</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4.2.1 投标人应在招标文件规定的投标文件提交截止时间前完成投标文件的提交。电子档投标文件的提交是指使用新点电子交易平台-大丰政府采购系统在投标文件提交截止时间前完成投标文件的上传。</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4.2.2 投标人提交投标文件的地点：见投标人须知前附表。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4.2.3 除招标文件另有规定外，投标人所提交的投标文件不予退还。</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4.2.4中标单位在中标结果公告后、领取中标通知书前必须提供与投标文件电子标书一致的纸质投标文件加盖投标人单位鲜红公章并装订成册（共五套：正本一套、副本四套）以供招标人、招标代理机构及公共资源交易中心存档。纸质投标文件应使用CA系统打印，且必须保证与评标时的电子标书完全一致。</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4.2.5有下列情形之一的投标文件拒收并退回：</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1）投标文件逾期提交的或者未在指定时间内完成投标文件解密的。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2）投标人CA锁无法解密投标文件的。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 投标文件的修改与撤回</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4.3.1 在投标人须知前附表规定的投标文件提交截止时间前，投标人可以多次修改或撤回已提交的投标文件，最终投标文件以投标文件提交截止时间前完成上传至新点电子交易平台-大丰政府采购系统最后一份投标文件为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4.3.2 修改的投标文件应按照本章第3.6条、第4.2条规定进行编制和提交。</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4.3.3投标文件提交截止时间之后，在投标有效期内，投标人不得修改或撤回投标文件。</w:t>
      </w:r>
    </w:p>
    <w:p>
      <w:pPr>
        <w:pStyle w:val="29"/>
        <w:spacing w:before="0" w:after="0" w:line="460" w:lineRule="exact"/>
        <w:ind w:firstLine="422" w:firstLineChars="200"/>
        <w:jc w:val="left"/>
        <w:rPr>
          <w:rFonts w:ascii="宋体" w:hAnsi="宋体"/>
          <w:color w:val="auto"/>
          <w:sz w:val="21"/>
          <w:szCs w:val="21"/>
          <w:highlight w:val="none"/>
        </w:rPr>
      </w:pPr>
      <w:bookmarkStart w:id="213" w:name="_Toc387526206"/>
      <w:bookmarkStart w:id="214" w:name="_Toc508216908"/>
      <w:bookmarkStart w:id="215" w:name="_Toc387526310"/>
      <w:bookmarkStart w:id="216" w:name="_Toc368760431"/>
      <w:bookmarkStart w:id="217" w:name="_Toc397928578"/>
      <w:bookmarkStart w:id="218" w:name="_Toc22329"/>
      <w:bookmarkStart w:id="219" w:name="_Toc369077565"/>
      <w:bookmarkStart w:id="220" w:name="_Toc387526402"/>
      <w:bookmarkStart w:id="221" w:name="_Toc179632584"/>
      <w:bookmarkStart w:id="222" w:name="_Toc144974534"/>
      <w:bookmarkStart w:id="223" w:name="_Toc246996953"/>
      <w:bookmarkStart w:id="224" w:name="_Toc247085724"/>
      <w:bookmarkStart w:id="225" w:name="_Toc366679697"/>
      <w:bookmarkStart w:id="226" w:name="_Toc246996210"/>
      <w:bookmarkStart w:id="227" w:name="_Toc152045566"/>
      <w:bookmarkStart w:id="228" w:name="_Toc152042342"/>
      <w:bookmarkStart w:id="229" w:name="_Toc368759381"/>
      <w:r>
        <w:rPr>
          <w:rFonts w:hint="eastAsia" w:ascii="宋体" w:hAnsi="宋体"/>
          <w:color w:val="auto"/>
          <w:sz w:val="21"/>
          <w:szCs w:val="21"/>
          <w:highlight w:val="none"/>
        </w:rPr>
        <w:t>5.开标</w:t>
      </w:r>
      <w:bookmarkEnd w:id="213"/>
      <w:bookmarkEnd w:id="214"/>
      <w:bookmarkEnd w:id="215"/>
      <w:bookmarkEnd w:id="216"/>
      <w:bookmarkEnd w:id="217"/>
      <w:bookmarkEnd w:id="218"/>
      <w:bookmarkEnd w:id="219"/>
      <w:bookmarkEnd w:id="220"/>
    </w:p>
    <w:p>
      <w:pPr>
        <w:spacing w:line="460" w:lineRule="exact"/>
        <w:ind w:firstLine="420" w:firstLineChars="200"/>
        <w:jc w:val="left"/>
        <w:rPr>
          <w:rFonts w:ascii="宋体" w:hAnsi="宋体" w:cs="宋体"/>
          <w:color w:val="auto"/>
          <w:szCs w:val="21"/>
          <w:highlight w:val="none"/>
        </w:rPr>
      </w:pPr>
      <w:bookmarkStart w:id="230" w:name="_Toc184635076"/>
      <w:bookmarkStart w:id="231" w:name="_Toc363329375"/>
      <w:bookmarkStart w:id="232" w:name="_Toc22517"/>
      <w:bookmarkStart w:id="233" w:name="_Toc368759380"/>
      <w:bookmarkStart w:id="234" w:name="_Toc368760432"/>
      <w:bookmarkStart w:id="235" w:name="_Toc387526405"/>
      <w:bookmarkStart w:id="236" w:name="_Toc387526313"/>
      <w:bookmarkStart w:id="237" w:name="_Toc397928581"/>
      <w:bookmarkStart w:id="238" w:name="_Toc387526209"/>
      <w:bookmarkStart w:id="239" w:name="_Toc367894803"/>
      <w:bookmarkStart w:id="240" w:name="_Toc369077566"/>
      <w:r>
        <w:rPr>
          <w:rFonts w:hint="eastAsia" w:ascii="宋体" w:hAnsi="宋体" w:cs="宋体"/>
          <w:color w:val="auto"/>
          <w:szCs w:val="21"/>
          <w:highlight w:val="none"/>
        </w:rPr>
        <w:t>5.1 开标时间、地点和投标人参会代表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5.1.1详见投标人须知前附表规定的时间、地点和投标人参会代表；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5.2 开标程序</w:t>
      </w:r>
    </w:p>
    <w:p>
      <w:pPr>
        <w:spacing w:line="46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5.2.1 投标文件解密</w:t>
      </w:r>
    </w:p>
    <w:p>
      <w:pPr>
        <w:spacing w:line="460" w:lineRule="exact"/>
        <w:ind w:firstLine="420" w:firstLineChars="200"/>
        <w:jc w:val="left"/>
        <w:rPr>
          <w:rFonts w:ascii="宋体" w:hAnsi="宋体" w:cs="宋体"/>
          <w:b/>
          <w:bCs/>
          <w:color w:val="auto"/>
          <w:szCs w:val="21"/>
          <w:highlight w:val="none"/>
        </w:rPr>
      </w:pPr>
      <w:r>
        <w:rPr>
          <w:rFonts w:hint="eastAsia" w:ascii="宋体" w:hAnsi="宋体" w:cs="宋体"/>
          <w:color w:val="auto"/>
          <w:szCs w:val="21"/>
          <w:highlight w:val="none"/>
        </w:rPr>
        <w:t>投标文件提交截止时间后，招标人通过开标大厅系统发出投标文件解密的指令，投标人解密时间限定在开标大厅系统发出投标文件解密指令后15分钟内完成。投标人未按时完成投标文件解密或解密未成功的，均被视为投标人放弃本次投标（无效投标）。</w:t>
      </w:r>
      <w:r>
        <w:rPr>
          <w:rFonts w:hint="eastAsia" w:ascii="宋体" w:hAnsi="宋体" w:cs="宋体"/>
          <w:bCs/>
          <w:color w:val="auto"/>
          <w:szCs w:val="21"/>
          <w:highlight w:val="none"/>
        </w:rPr>
        <w:t>因投标人自身设备故障或自身原因导致无法完成投标的，对其形成的不利后果及责任由投标人自行承担。</w:t>
      </w:r>
      <w:r>
        <w:rPr>
          <w:rFonts w:hint="eastAsia" w:ascii="宋体" w:hAnsi="宋体" w:cs="宋体"/>
          <w:color w:val="auto"/>
          <w:szCs w:val="21"/>
          <w:highlight w:val="none"/>
        </w:rPr>
        <w:t>解密完成后，投标人可自行决定是否继续参加开（唱）标会议，投标人未参加开标的，视同认可开标结果。</w:t>
      </w:r>
    </w:p>
    <w:p>
      <w:pPr>
        <w:spacing w:line="46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5.2.2开（唱）标</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1、宣布开标纪律；</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2、宣布招标人、招标代理机构、招投标监管部门、交易中心出席开标会的有关人员姓名；</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3、招标人（招标代理机构）导入投标文件；</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4、当众唱标，宣读投标人名称、标段名称、质量标准、服务期、报价、项目负责人及其他内容；</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5、投标人对开标有异议的，应当在开标现场提出，由招标人答复并制作记录，未提出异议的视为认同；</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6、开标会议结束。</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5.3 特殊情况处理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5.3.1因“网上开评标系统”故障，开标活动无法正常进行时，招标人可根据实际情况相应延迟解密时间或调整开标时间。“网上开评标系统”故障是指非投标人原因造成所有投标人电子投标文件均无法解密的情形。部分投标文件无法解密的，不适用该条款。</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5.3.2 因投标人原因造成投标文件在规定的时间内未完成解密的，该投标将被拒绝。</w:t>
      </w:r>
    </w:p>
    <w:p>
      <w:pPr>
        <w:spacing w:line="460" w:lineRule="exact"/>
        <w:ind w:firstLine="420" w:firstLineChars="200"/>
        <w:jc w:val="left"/>
        <w:rPr>
          <w:rFonts w:ascii="宋体" w:hAnsi="宋体" w:cs="宋体"/>
          <w:b/>
          <w:bCs/>
          <w:color w:val="auto"/>
          <w:szCs w:val="21"/>
          <w:highlight w:val="none"/>
        </w:rPr>
      </w:pPr>
      <w:r>
        <w:rPr>
          <w:rFonts w:hint="eastAsia" w:ascii="宋体" w:hAnsi="宋体" w:cs="宋体"/>
          <w:color w:val="auto"/>
          <w:szCs w:val="21"/>
          <w:highlight w:val="none"/>
        </w:rPr>
        <w:t>5.3.3 投标人对开标有异议的，应当在开标系统中当场提出，招标人当场予以答复，并制作记录。</w:t>
      </w:r>
    </w:p>
    <w:p>
      <w:pPr>
        <w:pStyle w:val="29"/>
        <w:spacing w:before="0" w:after="0" w:line="460" w:lineRule="exact"/>
        <w:ind w:firstLine="422" w:firstLineChars="200"/>
        <w:jc w:val="left"/>
        <w:rPr>
          <w:rFonts w:ascii="宋体" w:hAnsi="宋体"/>
          <w:color w:val="auto"/>
          <w:sz w:val="21"/>
          <w:szCs w:val="21"/>
          <w:highlight w:val="none"/>
        </w:rPr>
      </w:pPr>
      <w:r>
        <w:rPr>
          <w:rFonts w:hint="eastAsia" w:ascii="宋体" w:hAnsi="宋体"/>
          <w:color w:val="auto"/>
          <w:sz w:val="21"/>
          <w:szCs w:val="21"/>
          <w:highlight w:val="none"/>
        </w:rPr>
        <w:t>6.评标</w:t>
      </w:r>
      <w:bookmarkEnd w:id="230"/>
      <w:bookmarkEnd w:id="231"/>
      <w:bookmarkEnd w:id="232"/>
      <w:bookmarkEnd w:id="233"/>
      <w:bookmarkEnd w:id="234"/>
      <w:bookmarkEnd w:id="235"/>
      <w:bookmarkEnd w:id="236"/>
      <w:bookmarkEnd w:id="237"/>
      <w:bookmarkEnd w:id="238"/>
      <w:bookmarkEnd w:id="239"/>
      <w:bookmarkEnd w:id="240"/>
      <w:bookmarkStart w:id="241" w:name="_Toc9909"/>
      <w:bookmarkStart w:id="242" w:name="_Toc387526210"/>
      <w:bookmarkStart w:id="243" w:name="_Toc387526406"/>
      <w:bookmarkStart w:id="244" w:name="_Toc387526314"/>
      <w:bookmarkStart w:id="245" w:name="_Toc397928582"/>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246" w:name="_Toc508216911"/>
      <w:r>
        <w:rPr>
          <w:rFonts w:hint="eastAsia" w:ascii="宋体" w:hAnsi="宋体" w:eastAsia="宋体" w:cs="宋体"/>
          <w:color w:val="auto"/>
          <w:sz w:val="21"/>
          <w:szCs w:val="21"/>
          <w:highlight w:val="none"/>
        </w:rPr>
        <w:t>6.1 评标委员会</w:t>
      </w:r>
      <w:bookmarkEnd w:id="241"/>
      <w:bookmarkEnd w:id="242"/>
      <w:bookmarkEnd w:id="243"/>
      <w:bookmarkEnd w:id="244"/>
      <w:bookmarkEnd w:id="245"/>
      <w:bookmarkEnd w:id="246"/>
    </w:p>
    <w:p>
      <w:pPr>
        <w:spacing w:line="460" w:lineRule="exact"/>
        <w:ind w:firstLine="420" w:firstLineChars="200"/>
        <w:jc w:val="left"/>
        <w:rPr>
          <w:rFonts w:ascii="宋体" w:hAnsi="宋体" w:cs="宋体"/>
          <w:color w:val="auto"/>
          <w:szCs w:val="21"/>
          <w:highlight w:val="none"/>
        </w:rPr>
      </w:pPr>
      <w:bookmarkStart w:id="247" w:name="_Toc269310951"/>
      <w:bookmarkStart w:id="248" w:name="_Toc339359778"/>
      <w:bookmarkStart w:id="249" w:name="_Toc324255922"/>
      <w:r>
        <w:rPr>
          <w:rFonts w:hint="eastAsia" w:ascii="宋体" w:hAnsi="宋体" w:cs="宋体"/>
          <w:color w:val="auto"/>
          <w:szCs w:val="21"/>
          <w:highlight w:val="none"/>
        </w:rPr>
        <w:t>6.1.1 评标由招标人依法组建的评标委员会负责。评标委员会由招标人代表以及有关技术、经济等方面的专家组成。评标委员会成员人数以及技术、经济等方面专家的确定方式见投标人须知前附表。</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6.1.2 评标委员会成员有下列情形之一的，应当回避：</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（1）投标人或投标人主要负责人的近亲属；</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（2）项目主管部门或者行政监督部门的人员；</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（3）与投标人有经济利益关系；</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（4）曾因在招标、评标以及其他与招标投标有关活动中从事违法行为而受过行政处罚或刑事处罚的，且在处罚期内。</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250" w:name="_Toc387526407"/>
      <w:bookmarkStart w:id="251" w:name="_Toc387526211"/>
      <w:bookmarkStart w:id="252" w:name="_Toc508216912"/>
      <w:bookmarkStart w:id="253" w:name="_Toc397928583"/>
      <w:bookmarkStart w:id="254" w:name="_Toc12316"/>
      <w:bookmarkStart w:id="255" w:name="_Toc387526315"/>
      <w:r>
        <w:rPr>
          <w:rFonts w:hint="eastAsia" w:ascii="宋体" w:hAnsi="宋体" w:eastAsia="宋体" w:cs="宋体"/>
          <w:color w:val="auto"/>
          <w:sz w:val="21"/>
          <w:szCs w:val="21"/>
          <w:highlight w:val="none"/>
        </w:rPr>
        <w:t>6.2</w:t>
      </w:r>
      <w:bookmarkEnd w:id="247"/>
      <w:bookmarkEnd w:id="248"/>
      <w:bookmarkEnd w:id="249"/>
      <w:r>
        <w:rPr>
          <w:rFonts w:hint="eastAsia" w:ascii="宋体" w:hAnsi="宋体" w:eastAsia="宋体" w:cs="宋体"/>
          <w:color w:val="auto"/>
          <w:sz w:val="21"/>
          <w:szCs w:val="21"/>
          <w:highlight w:val="none"/>
        </w:rPr>
        <w:t xml:space="preserve"> 评标原则</w:t>
      </w:r>
      <w:bookmarkEnd w:id="250"/>
      <w:bookmarkEnd w:id="251"/>
      <w:bookmarkEnd w:id="252"/>
      <w:bookmarkEnd w:id="253"/>
      <w:bookmarkEnd w:id="254"/>
      <w:bookmarkEnd w:id="255"/>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评标活动遵循公平、公正、科学和择优的原则。</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256" w:name="_Toc246996952"/>
      <w:bookmarkStart w:id="257" w:name="_Toc6500"/>
      <w:bookmarkStart w:id="258" w:name="_Toc366679696"/>
      <w:bookmarkStart w:id="259" w:name="_Toc152045565"/>
      <w:bookmarkStart w:id="260" w:name="_Toc247085723"/>
      <w:bookmarkStart w:id="261" w:name="_Toc387526212"/>
      <w:bookmarkStart w:id="262" w:name="_Toc179632583"/>
      <w:bookmarkStart w:id="263" w:name="_Toc508216913"/>
      <w:bookmarkStart w:id="264" w:name="_Toc397928584"/>
      <w:bookmarkStart w:id="265" w:name="_Toc387526408"/>
      <w:bookmarkStart w:id="266" w:name="_Toc246996209"/>
      <w:bookmarkStart w:id="267" w:name="_Toc387526316"/>
      <w:bookmarkStart w:id="268" w:name="_Toc144974533"/>
      <w:bookmarkStart w:id="269" w:name="_Toc152042341"/>
      <w:r>
        <w:rPr>
          <w:rFonts w:hint="eastAsia" w:ascii="宋体" w:hAnsi="宋体" w:eastAsia="宋体" w:cs="宋体"/>
          <w:color w:val="auto"/>
          <w:sz w:val="21"/>
          <w:szCs w:val="21"/>
          <w:highlight w:val="none"/>
        </w:rPr>
        <w:t>6.3 评标</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评标委员会按照第三章“评标办法”规定的方法、评审因素、标准和程序对投标文件进行评审。第三章“评标办法”没有规定的方法、评审因素和标准，不作为评标依据。</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270" w:name="_Toc508216915"/>
      <w:r>
        <w:rPr>
          <w:rFonts w:hint="eastAsia" w:ascii="宋体" w:hAnsi="宋体" w:eastAsia="宋体" w:cs="宋体"/>
          <w:color w:val="auto"/>
          <w:sz w:val="21"/>
          <w:szCs w:val="21"/>
          <w:highlight w:val="none"/>
        </w:rPr>
        <w:t>6.4无效标书条款</w:t>
      </w:r>
      <w:bookmarkEnd w:id="270"/>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投标文件有下列情况之一的，属于重大偏差，视为未能对招标文件作出实质性响应，应当作为无效投标予以否决：</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（1）投标文件中的投标函未加盖投标人的公章；</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（2）投标文件中的投标函无企业法定代表人（或企业法定代表人委托代理人）印章（或签字）的；</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（3）如投标函由企业法定代表人委托代理人加盖印章（或签字）的，企业法定代表人委托代理人没有合法、有效的委托书（原件）的；</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（4）投标人资格条件不符合国家有关规定或招标文件要求的；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（5）投标文件技术规格中一般参数超出招标文件允许偏离的最大范围或最高项数的；</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（6）投标报价高于招标文件设定的最高投标限价的，或低于有效投标文件评标价的平均值95%以下且投标报价分项分解表中成本明显不合理的，分项报价成本与本项目实施概况明显不符合的；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（7）投标文件的组成不符合招标文件要求的；</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（8）投标人递交两份或多份内容不同的投标文件，或在一份投标文件中对同一招标服务报有两个或多个报价，且未声明哪一个为最终报价的，按招标文件规定提交备选投标方案的除外；</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（9）与招标文件提供的采购需求不相适应的；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（10）投标文件载明的招标项目完成期限超过招标文件规定的期限的，或期限达不到招标文件规定期限的要求；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（11）明显不符合技术规范、技术标准的要求的，技术服务方案明显未根据招标项目实际情况和采购需求编制，与项目实际情况严重不符的；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（12）投标文件载明的检验标准和方法等不符合招标文件要求的；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（13）投标文件提出的工程验收、计量、价款结算和付款方式不能满足招标文件要求或招标人不能接受；</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（14）不同投标人的投标文件出现了评标委员会认为不应当雷同的情况的； </w:t>
      </w:r>
    </w:p>
    <w:p>
      <w:pPr>
        <w:shd w:val="clear" w:color="auto" w:fill="FFFFFF"/>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（15）以他人的名义投标、串通投标、以行贿手段谋取中标或者以其他弄虚作假方式投标的；</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（16）投标人投标文件中提供的资格审查资料非有效原件彩色扫描件（或电子证照），关键信息不齐全、不清晰可辨(钢印除外)；</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（17）未按招标文件要求提供电子投标文件，或者电子投标文件未能解密或超时解密的。因招投标系统故障因素导致所有投标电子投标文件均不能解密的除外。</w:t>
      </w:r>
    </w:p>
    <w:p>
      <w:pPr>
        <w:spacing w:line="46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凡招标文件未明确的无效标条件，评标委员会不得作为判定无效标的依据，评标委员会也不得以不符合招标文件中规定的其他实质性要求作为判定无效标的依据。</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271" w:name="_Toc508216916"/>
      <w:r>
        <w:rPr>
          <w:rFonts w:hint="eastAsia" w:ascii="宋体" w:hAnsi="宋体" w:eastAsia="宋体" w:cs="宋体"/>
          <w:color w:val="auto"/>
          <w:sz w:val="21"/>
          <w:szCs w:val="21"/>
          <w:highlight w:val="none"/>
        </w:rPr>
        <w:t>6.5重新招标</w:t>
      </w:r>
      <w:bookmarkEnd w:id="271"/>
    </w:p>
    <w:p>
      <w:pPr>
        <w:spacing w:line="460" w:lineRule="exact"/>
        <w:ind w:firstLine="420" w:firstLineChars="200"/>
        <w:jc w:val="left"/>
        <w:rPr>
          <w:rFonts w:ascii="宋体" w:hAnsi="宋体" w:cs="宋体"/>
          <w:color w:val="auto"/>
          <w:szCs w:val="21"/>
          <w:highlight w:val="none"/>
        </w:rPr>
      </w:pPr>
      <w:bookmarkStart w:id="272" w:name="_Toc397928586"/>
      <w:bookmarkStart w:id="273" w:name="_Toc508216917"/>
      <w:bookmarkStart w:id="274" w:name="_Toc387526213"/>
      <w:bookmarkStart w:id="275" w:name="_Toc22985"/>
      <w:bookmarkStart w:id="276" w:name="_Toc387526317"/>
      <w:bookmarkStart w:id="277" w:name="_Toc387526409"/>
      <w:bookmarkStart w:id="278" w:name="_Toc369077567"/>
      <w:bookmarkStart w:id="279" w:name="_Toc368760433"/>
      <w:r>
        <w:rPr>
          <w:rFonts w:hint="eastAsia" w:ascii="宋体" w:hAnsi="宋体" w:cs="宋体"/>
          <w:color w:val="auto"/>
          <w:szCs w:val="21"/>
          <w:highlight w:val="none"/>
        </w:rPr>
        <w:t>投标截止后投标人不足3家或者通过资格审查、符合性审查的投标人不足3家的，除采购任务取消情形外，按照以下方式处理：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（1）招标文件存在不合理条款或者招标程序不符合规定的，采购人、采购代理机构改正后依法重新招标；    </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（2）招标文件没有不合理条款、招标程序符合规定，需要采用其他采购方式采购的，采购人应当依法报财政部门批准。</w:t>
      </w:r>
    </w:p>
    <w:p>
      <w:pPr>
        <w:pStyle w:val="29"/>
        <w:spacing w:before="0" w:after="0" w:line="460" w:lineRule="exact"/>
        <w:ind w:firstLine="422" w:firstLineChars="200"/>
        <w:jc w:val="left"/>
        <w:rPr>
          <w:rFonts w:ascii="宋体" w:hAnsi="宋体"/>
          <w:color w:val="auto"/>
          <w:sz w:val="21"/>
          <w:szCs w:val="21"/>
          <w:highlight w:val="none"/>
        </w:rPr>
      </w:pPr>
      <w:r>
        <w:rPr>
          <w:rFonts w:hint="eastAsia" w:ascii="宋体" w:hAnsi="宋体"/>
          <w:color w:val="auto"/>
          <w:sz w:val="21"/>
          <w:szCs w:val="21"/>
          <w:highlight w:val="none"/>
        </w:rPr>
        <w:t>7.评标结果</w:t>
      </w:r>
      <w:bookmarkEnd w:id="272"/>
      <w:bookmarkEnd w:id="273"/>
      <w:bookmarkEnd w:id="274"/>
      <w:bookmarkEnd w:id="275"/>
      <w:bookmarkEnd w:id="276"/>
      <w:bookmarkEnd w:id="277"/>
      <w:r>
        <w:rPr>
          <w:rFonts w:hint="eastAsia" w:ascii="宋体" w:hAnsi="宋体"/>
          <w:color w:val="auto"/>
          <w:sz w:val="21"/>
          <w:szCs w:val="21"/>
          <w:highlight w:val="none"/>
        </w:rPr>
        <w:t>公告</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7.1 采购代理机构应当在评标结束后2个工作日内将评标报告送采购人。采购人应当自收到评标报告之日起5个工作日内，在评标报告确定的中标候选人名单中按顺序确定中标人，中标人确定之日起2个工作日内在与招标公告相同的发布媒介上对评标结果进行公告。</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7.2 投标人或者其他利害关系人对评标结果有异议的，供应商认为评标结果使自己的权益受到损害的，可以在知道或者应知其权益受到损害之日起7个工作日内，以书面形式向招标人提出质疑（质疑人为联合体的，则联合体各方法定代表人均须签字并加盖单位公章）。招标人自收到异议之日起7个工作日内作出答复。</w:t>
      </w:r>
    </w:p>
    <w:p>
      <w:pPr>
        <w:pStyle w:val="29"/>
        <w:spacing w:before="0" w:after="0" w:line="460" w:lineRule="exact"/>
        <w:ind w:firstLine="422" w:firstLineChars="200"/>
        <w:jc w:val="left"/>
        <w:rPr>
          <w:rFonts w:ascii="宋体" w:hAnsi="宋体"/>
          <w:color w:val="auto"/>
          <w:sz w:val="21"/>
          <w:szCs w:val="21"/>
          <w:highlight w:val="none"/>
        </w:rPr>
      </w:pPr>
      <w:bookmarkStart w:id="280" w:name="_Toc397928587"/>
      <w:bookmarkStart w:id="281" w:name="_Toc387526318"/>
      <w:bookmarkStart w:id="282" w:name="_Toc387526410"/>
      <w:bookmarkStart w:id="283" w:name="_Toc15824"/>
      <w:bookmarkStart w:id="284" w:name="_Toc508216918"/>
      <w:bookmarkStart w:id="285" w:name="_Toc387526214"/>
      <w:r>
        <w:rPr>
          <w:rFonts w:hint="eastAsia" w:ascii="宋体" w:hAnsi="宋体"/>
          <w:color w:val="auto"/>
          <w:sz w:val="21"/>
          <w:szCs w:val="21"/>
          <w:highlight w:val="none"/>
        </w:rPr>
        <w:t>8.合同授予</w:t>
      </w:r>
      <w:bookmarkEnd w:id="221"/>
      <w:bookmarkEnd w:id="222"/>
      <w:bookmarkEnd w:id="223"/>
      <w:bookmarkEnd w:id="224"/>
      <w:bookmarkEnd w:id="225"/>
      <w:bookmarkEnd w:id="226"/>
      <w:bookmarkEnd w:id="227"/>
      <w:bookmarkEnd w:id="228"/>
      <w:bookmarkEnd w:id="229"/>
      <w:bookmarkEnd w:id="278"/>
      <w:bookmarkEnd w:id="279"/>
      <w:bookmarkEnd w:id="280"/>
      <w:bookmarkEnd w:id="281"/>
      <w:bookmarkEnd w:id="282"/>
      <w:bookmarkEnd w:id="283"/>
      <w:bookmarkEnd w:id="284"/>
      <w:bookmarkEnd w:id="285"/>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286" w:name="_Toc152045567"/>
      <w:bookmarkStart w:id="287" w:name="_Toc144974535"/>
      <w:bookmarkStart w:id="288" w:name="_Toc247085725"/>
      <w:bookmarkStart w:id="289" w:name="_Toc387526411"/>
      <w:bookmarkStart w:id="290" w:name="_Toc387526215"/>
      <w:bookmarkStart w:id="291" w:name="_Toc246996954"/>
      <w:bookmarkStart w:id="292" w:name="_Toc246996211"/>
      <w:bookmarkStart w:id="293" w:name="_Toc366679698"/>
      <w:bookmarkStart w:id="294" w:name="_Toc387526319"/>
      <w:bookmarkStart w:id="295" w:name="_Toc508216919"/>
      <w:bookmarkStart w:id="296" w:name="_Toc5192"/>
      <w:bookmarkStart w:id="297" w:name="_Toc179632585"/>
      <w:bookmarkStart w:id="298" w:name="_Toc397928588"/>
      <w:bookmarkStart w:id="299" w:name="_Toc152042343"/>
      <w:r>
        <w:rPr>
          <w:rFonts w:hint="eastAsia" w:ascii="宋体" w:hAnsi="宋体" w:eastAsia="宋体" w:cs="宋体"/>
          <w:color w:val="auto"/>
          <w:sz w:val="21"/>
          <w:szCs w:val="21"/>
          <w:highlight w:val="none"/>
        </w:rPr>
        <w:t>8.1 定标方式</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spacing w:line="460" w:lineRule="exact"/>
        <w:ind w:firstLine="420" w:firstLineChars="200"/>
        <w:jc w:val="left"/>
        <w:rPr>
          <w:rFonts w:ascii="宋体" w:hAnsi="宋体" w:cs="宋体"/>
          <w:color w:val="auto"/>
          <w:szCs w:val="21"/>
          <w:highlight w:val="none"/>
        </w:rPr>
      </w:pPr>
      <w:bookmarkStart w:id="300" w:name="_Toc387526216"/>
      <w:bookmarkStart w:id="301" w:name="_Toc387526412"/>
      <w:bookmarkStart w:id="302" w:name="_Toc29357"/>
      <w:bookmarkStart w:id="303" w:name="_Toc387526320"/>
      <w:r>
        <w:rPr>
          <w:rFonts w:hint="eastAsia" w:ascii="宋体" w:hAnsi="宋体" w:cs="宋体"/>
          <w:color w:val="auto"/>
          <w:szCs w:val="21"/>
          <w:highlight w:val="none"/>
        </w:rPr>
        <w:t>除投标人须知前附表规定评标委员会直接确定中标人外，招标人依据评标委员会推荐的中标候选人确定中标人。</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304" w:name="_Toc397928589"/>
      <w:bookmarkStart w:id="305" w:name="_Toc508216920"/>
      <w:r>
        <w:rPr>
          <w:rFonts w:hint="eastAsia" w:ascii="宋体" w:hAnsi="宋体" w:eastAsia="宋体" w:cs="宋体"/>
          <w:color w:val="auto"/>
          <w:sz w:val="21"/>
          <w:szCs w:val="21"/>
          <w:highlight w:val="none"/>
        </w:rPr>
        <w:t>8.2</w:t>
      </w:r>
      <w:bookmarkEnd w:id="300"/>
      <w:bookmarkEnd w:id="301"/>
      <w:bookmarkEnd w:id="302"/>
      <w:bookmarkEnd w:id="303"/>
      <w:bookmarkStart w:id="306" w:name="_Toc247085726"/>
      <w:bookmarkStart w:id="307" w:name="_Toc366679700"/>
      <w:bookmarkStart w:id="308" w:name="_Toc246996955"/>
      <w:bookmarkStart w:id="309" w:name="_Toc387526217"/>
      <w:bookmarkStart w:id="310" w:name="_Toc246996212"/>
      <w:bookmarkStart w:id="311" w:name="_Toc13765"/>
      <w:bookmarkStart w:id="312" w:name="_Toc387526413"/>
      <w:bookmarkStart w:id="313" w:name="_Toc387526321"/>
      <w:bookmarkStart w:id="314" w:name="_Toc179632586"/>
      <w:r>
        <w:rPr>
          <w:rFonts w:hint="eastAsia" w:ascii="宋体" w:hAnsi="宋体" w:eastAsia="宋体" w:cs="宋体"/>
          <w:color w:val="auto"/>
          <w:sz w:val="21"/>
          <w:szCs w:val="21"/>
          <w:highlight w:val="none"/>
        </w:rPr>
        <w:t>中标通知</w:t>
      </w:r>
      <w:bookmarkEnd w:id="304"/>
      <w:bookmarkEnd w:id="305"/>
      <w:bookmarkEnd w:id="306"/>
      <w:bookmarkEnd w:id="307"/>
      <w:bookmarkEnd w:id="308"/>
      <w:bookmarkEnd w:id="309"/>
      <w:bookmarkEnd w:id="310"/>
      <w:bookmarkEnd w:id="311"/>
      <w:bookmarkEnd w:id="312"/>
      <w:bookmarkEnd w:id="313"/>
      <w:bookmarkEnd w:id="314"/>
    </w:p>
    <w:p>
      <w:pPr>
        <w:spacing w:line="460" w:lineRule="exact"/>
        <w:ind w:firstLine="420" w:firstLineChars="200"/>
        <w:jc w:val="left"/>
        <w:rPr>
          <w:rFonts w:ascii="宋体" w:hAnsi="宋体" w:cs="宋体"/>
          <w:color w:val="auto"/>
          <w:szCs w:val="21"/>
          <w:highlight w:val="none"/>
        </w:rPr>
      </w:pPr>
      <w:bookmarkStart w:id="315" w:name="_Toc179632587"/>
      <w:bookmarkStart w:id="316" w:name="_Toc366679701"/>
      <w:bookmarkStart w:id="317" w:name="_Toc246996213"/>
      <w:bookmarkStart w:id="318" w:name="_Toc246996956"/>
      <w:bookmarkStart w:id="319" w:name="_Toc247085727"/>
      <w:r>
        <w:rPr>
          <w:rFonts w:hint="eastAsia" w:ascii="宋体" w:hAnsi="宋体" w:cs="宋体"/>
          <w:color w:val="auto"/>
          <w:szCs w:val="21"/>
          <w:highlight w:val="none"/>
        </w:rPr>
        <w:t>招标人在评标结果公示期结束后3日内向中标人发出中标通知书。</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320" w:name="_Toc387526322"/>
      <w:bookmarkStart w:id="321" w:name="_Toc26386"/>
      <w:bookmarkStart w:id="322" w:name="_Toc397928590"/>
      <w:bookmarkStart w:id="323" w:name="_Toc508216921"/>
      <w:bookmarkStart w:id="324" w:name="_Toc387526414"/>
      <w:bookmarkStart w:id="325" w:name="_Toc387526218"/>
      <w:r>
        <w:rPr>
          <w:rFonts w:hint="eastAsia" w:ascii="宋体" w:hAnsi="宋体" w:eastAsia="宋体" w:cs="宋体"/>
          <w:color w:val="auto"/>
          <w:sz w:val="21"/>
          <w:szCs w:val="21"/>
          <w:highlight w:val="none"/>
        </w:rPr>
        <w:t>8.3 履约保证金</w:t>
      </w:r>
      <w:bookmarkEnd w:id="315"/>
      <w:bookmarkEnd w:id="316"/>
      <w:bookmarkEnd w:id="317"/>
      <w:bookmarkEnd w:id="318"/>
      <w:bookmarkEnd w:id="319"/>
      <w:bookmarkEnd w:id="320"/>
      <w:bookmarkEnd w:id="321"/>
      <w:bookmarkEnd w:id="322"/>
      <w:bookmarkEnd w:id="323"/>
      <w:bookmarkEnd w:id="324"/>
      <w:bookmarkEnd w:id="325"/>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8.3.1在签订合同前，中标人应按投标人须知前附表规定的形式和招标文件“合同条款及格式”规定的或者事先经过招标人书面认可的履约保证金格式向招标人提交履约保证金。</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8.3.2中标人不能按本章第8.3.1项要求提交履约保证金的，视为放弃中标，给招标人造成的损失的，中标人还应当对损失予以赔偿。</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326" w:name="_Toc10565"/>
      <w:bookmarkStart w:id="327" w:name="_Toc247085728"/>
      <w:bookmarkStart w:id="328" w:name="_Toc246996214"/>
      <w:bookmarkStart w:id="329" w:name="_Toc366679702"/>
      <w:bookmarkStart w:id="330" w:name="_Toc179632588"/>
      <w:bookmarkStart w:id="331" w:name="_Toc387526323"/>
      <w:bookmarkStart w:id="332" w:name="_Toc246996957"/>
      <w:bookmarkStart w:id="333" w:name="_Toc387526219"/>
      <w:bookmarkStart w:id="334" w:name="_Toc397928591"/>
      <w:bookmarkStart w:id="335" w:name="_Toc387526415"/>
      <w:bookmarkStart w:id="336" w:name="_Toc508216922"/>
      <w:r>
        <w:rPr>
          <w:rFonts w:hint="eastAsia" w:ascii="宋体" w:hAnsi="宋体" w:eastAsia="宋体" w:cs="宋体"/>
          <w:color w:val="auto"/>
          <w:sz w:val="21"/>
          <w:szCs w:val="21"/>
          <w:highlight w:val="none"/>
        </w:rPr>
        <w:t>8.4 签订合同</w:t>
      </w:r>
      <w:bookmarkEnd w:id="326"/>
      <w:bookmarkEnd w:id="327"/>
      <w:bookmarkEnd w:id="328"/>
      <w:bookmarkEnd w:id="329"/>
      <w:bookmarkEnd w:id="330"/>
      <w:bookmarkEnd w:id="331"/>
      <w:bookmarkEnd w:id="332"/>
      <w:bookmarkEnd w:id="333"/>
      <w:bookmarkEnd w:id="334"/>
      <w:bookmarkEnd w:id="335"/>
      <w:bookmarkEnd w:id="336"/>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8.4.1招标人和中标人应当自中标通知书发出之日起15日内，根据招标文件和中标人的投标文件订立书面合同。中标人无正当理由拒签合同的，招标人取消其中标资格；给招标人造成的损失的，中标人还应当对损失予以赔偿。</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8.4.2 发出中标通知书后，招标人无正当理由拒签合同的，给中标人造成损失的，还应当赔偿损失。</w:t>
      </w:r>
    </w:p>
    <w:bookmarkEnd w:id="209"/>
    <w:bookmarkEnd w:id="210"/>
    <w:bookmarkEnd w:id="211"/>
    <w:bookmarkEnd w:id="212"/>
    <w:p>
      <w:pPr>
        <w:pStyle w:val="29"/>
        <w:spacing w:before="0" w:after="0" w:line="460" w:lineRule="exact"/>
        <w:ind w:firstLine="422" w:firstLineChars="200"/>
        <w:jc w:val="left"/>
        <w:rPr>
          <w:rFonts w:ascii="宋体" w:hAnsi="宋体"/>
          <w:color w:val="auto"/>
          <w:sz w:val="21"/>
          <w:szCs w:val="21"/>
          <w:highlight w:val="none"/>
        </w:rPr>
      </w:pPr>
      <w:bookmarkStart w:id="337" w:name="_Toc30717"/>
      <w:bookmarkStart w:id="338" w:name="_Toc363329380"/>
      <w:bookmarkStart w:id="339" w:name="_Toc387526416"/>
      <w:bookmarkStart w:id="340" w:name="_Toc387526324"/>
      <w:bookmarkStart w:id="341" w:name="_Toc367894807"/>
      <w:bookmarkStart w:id="342" w:name="_Toc322503149"/>
      <w:bookmarkStart w:id="343" w:name="_Toc369077569"/>
      <w:bookmarkStart w:id="344" w:name="_Toc397928592"/>
      <w:bookmarkStart w:id="345" w:name="_Toc508216923"/>
      <w:bookmarkStart w:id="346" w:name="_Toc368759383"/>
      <w:bookmarkStart w:id="347" w:name="_Toc387526220"/>
      <w:bookmarkStart w:id="348" w:name="_Toc368760435"/>
      <w:r>
        <w:rPr>
          <w:rFonts w:hint="eastAsia" w:ascii="宋体" w:hAnsi="宋体"/>
          <w:color w:val="auto"/>
          <w:sz w:val="21"/>
          <w:szCs w:val="21"/>
          <w:highlight w:val="none"/>
        </w:rPr>
        <w:t>9.纪律和监督</w:t>
      </w:r>
      <w:bookmarkEnd w:id="337"/>
      <w:bookmarkEnd w:id="338"/>
      <w:bookmarkEnd w:id="339"/>
      <w:bookmarkEnd w:id="340"/>
      <w:bookmarkEnd w:id="341"/>
      <w:bookmarkEnd w:id="342"/>
      <w:bookmarkEnd w:id="343"/>
      <w:bookmarkEnd w:id="344"/>
      <w:bookmarkEnd w:id="345"/>
      <w:bookmarkEnd w:id="346"/>
      <w:bookmarkEnd w:id="347"/>
      <w:bookmarkEnd w:id="348"/>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349" w:name="_Toc152042351"/>
      <w:bookmarkStart w:id="350" w:name="_Toc387526221"/>
      <w:bookmarkStart w:id="351" w:name="_Toc322503150"/>
      <w:bookmarkStart w:id="352" w:name="_Toc508216924"/>
      <w:bookmarkStart w:id="353" w:name="_Toc152045575"/>
      <w:bookmarkStart w:id="354" w:name="_Toc397928593"/>
      <w:bookmarkStart w:id="355" w:name="_Toc387526417"/>
      <w:bookmarkStart w:id="356" w:name="_Toc387526325"/>
      <w:bookmarkStart w:id="357" w:name="_Toc29855"/>
      <w:bookmarkStart w:id="358" w:name="_Toc269310963"/>
      <w:bookmarkStart w:id="359" w:name="_Toc144974543"/>
      <w:r>
        <w:rPr>
          <w:rFonts w:hint="eastAsia" w:ascii="宋体" w:hAnsi="宋体" w:eastAsia="宋体" w:cs="宋体"/>
          <w:color w:val="auto"/>
          <w:sz w:val="21"/>
          <w:szCs w:val="21"/>
          <w:highlight w:val="none"/>
        </w:rPr>
        <w:t>9.1 对招标人的纪律要求</w:t>
      </w:r>
      <w:bookmarkEnd w:id="349"/>
      <w:bookmarkEnd w:id="350"/>
      <w:bookmarkEnd w:id="351"/>
      <w:bookmarkEnd w:id="352"/>
      <w:bookmarkEnd w:id="353"/>
      <w:bookmarkEnd w:id="354"/>
      <w:bookmarkEnd w:id="355"/>
      <w:bookmarkEnd w:id="356"/>
      <w:bookmarkEnd w:id="357"/>
      <w:bookmarkEnd w:id="358"/>
      <w:bookmarkEnd w:id="359"/>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招标人不得泄露招标投标活动中应当保密的情况和资料，不得与投标人串通损害国家利益、社会公众利益或者他人合法权益。</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360" w:name="_Toc397928594"/>
      <w:bookmarkStart w:id="361" w:name="_Toc1420"/>
      <w:bookmarkStart w:id="362" w:name="_Toc387526418"/>
      <w:bookmarkStart w:id="363" w:name="_Toc322503151"/>
      <w:bookmarkStart w:id="364" w:name="_Toc152042352"/>
      <w:bookmarkStart w:id="365" w:name="_Toc144974544"/>
      <w:bookmarkStart w:id="366" w:name="_Toc269310964"/>
      <w:bookmarkStart w:id="367" w:name="_Toc387526326"/>
      <w:bookmarkStart w:id="368" w:name="_Toc152045576"/>
      <w:bookmarkStart w:id="369" w:name="_Toc387526222"/>
      <w:bookmarkStart w:id="370" w:name="_Toc508216925"/>
      <w:r>
        <w:rPr>
          <w:rFonts w:hint="eastAsia" w:ascii="宋体" w:hAnsi="宋体" w:eastAsia="宋体" w:cs="宋体"/>
          <w:color w:val="auto"/>
          <w:sz w:val="21"/>
          <w:szCs w:val="21"/>
          <w:highlight w:val="none"/>
        </w:rPr>
        <w:t>9.2 对投标人的纪律要求</w:t>
      </w:r>
      <w:bookmarkEnd w:id="360"/>
      <w:bookmarkEnd w:id="361"/>
      <w:bookmarkEnd w:id="362"/>
      <w:bookmarkEnd w:id="363"/>
      <w:bookmarkEnd w:id="364"/>
      <w:bookmarkEnd w:id="365"/>
      <w:bookmarkEnd w:id="366"/>
      <w:bookmarkEnd w:id="367"/>
      <w:bookmarkEnd w:id="368"/>
      <w:bookmarkEnd w:id="369"/>
      <w:bookmarkEnd w:id="370"/>
    </w:p>
    <w:p>
      <w:pPr>
        <w:spacing w:line="460" w:lineRule="exact"/>
        <w:ind w:firstLine="420" w:firstLineChars="200"/>
        <w:jc w:val="left"/>
        <w:rPr>
          <w:rFonts w:ascii="宋体" w:hAnsi="宋体" w:cs="宋体"/>
          <w:color w:val="auto"/>
          <w:szCs w:val="21"/>
          <w:highlight w:val="none"/>
        </w:rPr>
      </w:pPr>
      <w:bookmarkStart w:id="371" w:name="_Toc152045577"/>
      <w:bookmarkStart w:id="372" w:name="_Toc322503152"/>
      <w:bookmarkStart w:id="373" w:name="_Toc152042353"/>
      <w:bookmarkStart w:id="374" w:name="_Toc269310965"/>
      <w:bookmarkStart w:id="375" w:name="_Toc144974545"/>
      <w:r>
        <w:rPr>
          <w:rFonts w:hint="eastAsia" w:ascii="宋体" w:hAnsi="宋体" w:cs="宋体"/>
          <w:color w:val="auto"/>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376" w:name="_Toc387526419"/>
      <w:bookmarkStart w:id="377" w:name="_Toc397928595"/>
      <w:bookmarkStart w:id="378" w:name="_Toc508216926"/>
      <w:bookmarkStart w:id="379" w:name="_Toc387526327"/>
      <w:bookmarkStart w:id="380" w:name="_Toc387526223"/>
      <w:bookmarkStart w:id="381" w:name="_Toc16374"/>
      <w:r>
        <w:rPr>
          <w:rFonts w:hint="eastAsia" w:ascii="宋体" w:hAnsi="宋体" w:eastAsia="宋体" w:cs="宋体"/>
          <w:color w:val="auto"/>
          <w:sz w:val="21"/>
          <w:szCs w:val="21"/>
          <w:highlight w:val="none"/>
        </w:rPr>
        <w:t>9.3 对评标委员会成员的纪律要求</w:t>
      </w:r>
      <w:bookmarkEnd w:id="371"/>
      <w:bookmarkEnd w:id="372"/>
      <w:bookmarkEnd w:id="373"/>
      <w:bookmarkEnd w:id="374"/>
      <w:bookmarkEnd w:id="375"/>
      <w:bookmarkEnd w:id="376"/>
      <w:bookmarkEnd w:id="377"/>
      <w:bookmarkEnd w:id="378"/>
      <w:bookmarkEnd w:id="379"/>
      <w:bookmarkEnd w:id="380"/>
      <w:bookmarkEnd w:id="381"/>
    </w:p>
    <w:p>
      <w:pPr>
        <w:spacing w:line="460" w:lineRule="exact"/>
        <w:ind w:firstLine="420" w:firstLineChars="200"/>
        <w:jc w:val="left"/>
        <w:rPr>
          <w:rFonts w:ascii="宋体" w:hAnsi="宋体" w:cs="宋体"/>
          <w:color w:val="auto"/>
          <w:szCs w:val="21"/>
          <w:highlight w:val="none"/>
        </w:rPr>
      </w:pPr>
      <w:bookmarkStart w:id="382" w:name="_Toc179632596"/>
      <w:bookmarkStart w:id="383" w:name="_Toc246996222"/>
      <w:bookmarkStart w:id="384" w:name="_Toc152045578"/>
      <w:bookmarkStart w:id="385" w:name="_Toc366679707"/>
      <w:bookmarkStart w:id="386" w:name="_Toc246996965"/>
      <w:bookmarkStart w:id="387" w:name="_Toc247085736"/>
      <w:bookmarkStart w:id="388" w:name="_Toc152042354"/>
      <w:bookmarkStart w:id="389" w:name="_Toc144974546"/>
      <w:r>
        <w:rPr>
          <w:rFonts w:hint="eastAsia" w:ascii="宋体" w:hAnsi="宋体" w:cs="宋体"/>
          <w:color w:val="auto"/>
          <w:szCs w:val="21"/>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5"/>
        <w:spacing w:before="0" w:after="0" w:line="460" w:lineRule="exact"/>
        <w:ind w:firstLine="420" w:firstLineChars="200"/>
        <w:jc w:val="left"/>
        <w:rPr>
          <w:rFonts w:ascii="宋体" w:hAnsi="宋体" w:eastAsia="宋体" w:cs="宋体"/>
          <w:color w:val="auto"/>
          <w:sz w:val="21"/>
          <w:szCs w:val="21"/>
          <w:highlight w:val="none"/>
        </w:rPr>
      </w:pPr>
      <w:bookmarkStart w:id="390" w:name="_Toc1042"/>
      <w:bookmarkStart w:id="391" w:name="_Toc387526328"/>
      <w:bookmarkStart w:id="392" w:name="_Toc387526224"/>
      <w:bookmarkStart w:id="393" w:name="_Toc387526420"/>
      <w:bookmarkStart w:id="394" w:name="_Toc508216927"/>
      <w:bookmarkStart w:id="395" w:name="_Toc397928596"/>
      <w:r>
        <w:rPr>
          <w:rFonts w:hint="eastAsia" w:ascii="宋体" w:hAnsi="宋体" w:eastAsia="宋体" w:cs="宋体"/>
          <w:color w:val="auto"/>
          <w:sz w:val="21"/>
          <w:szCs w:val="21"/>
          <w:highlight w:val="none"/>
        </w:rPr>
        <w:t>9.4 对与评标活动有关的工作人员的纪律要求</w:t>
      </w:r>
      <w:bookmarkEnd w:id="382"/>
      <w:bookmarkEnd w:id="383"/>
      <w:bookmarkEnd w:id="384"/>
      <w:bookmarkEnd w:id="385"/>
      <w:bookmarkEnd w:id="386"/>
      <w:bookmarkEnd w:id="387"/>
      <w:bookmarkEnd w:id="388"/>
      <w:bookmarkEnd w:id="390"/>
      <w:bookmarkEnd w:id="391"/>
      <w:bookmarkEnd w:id="392"/>
      <w:bookmarkEnd w:id="393"/>
      <w:bookmarkEnd w:id="394"/>
      <w:bookmarkEnd w:id="395"/>
    </w:p>
    <w:p>
      <w:pPr>
        <w:spacing w:line="460" w:lineRule="exact"/>
        <w:ind w:firstLine="420" w:firstLineChars="200"/>
        <w:jc w:val="left"/>
        <w:rPr>
          <w:rFonts w:ascii="宋体" w:hAnsi="宋体" w:cs="宋体"/>
          <w:color w:val="auto"/>
          <w:szCs w:val="21"/>
          <w:highlight w:val="none"/>
        </w:rPr>
      </w:pPr>
      <w:bookmarkStart w:id="396" w:name="_Toc152042355"/>
      <w:bookmarkStart w:id="397" w:name="_Toc246996966"/>
      <w:bookmarkStart w:id="398" w:name="_Toc247085737"/>
      <w:bookmarkStart w:id="399" w:name="_Toc152042356"/>
      <w:bookmarkStart w:id="400" w:name="_Toc366679708"/>
      <w:bookmarkStart w:id="401" w:name="_Toc152045579"/>
      <w:bookmarkStart w:id="402" w:name="_Toc179632597"/>
      <w:bookmarkStart w:id="403" w:name="_Toc246996223"/>
      <w:r>
        <w:rPr>
          <w:rFonts w:hint="eastAsia" w:ascii="宋体" w:hAnsi="宋体" w:cs="宋体"/>
          <w:color w:val="auto"/>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96"/>
    </w:p>
    <w:bookmarkEnd w:id="389"/>
    <w:bookmarkEnd w:id="397"/>
    <w:bookmarkEnd w:id="398"/>
    <w:bookmarkEnd w:id="399"/>
    <w:bookmarkEnd w:id="400"/>
    <w:bookmarkEnd w:id="401"/>
    <w:bookmarkEnd w:id="402"/>
    <w:bookmarkEnd w:id="403"/>
    <w:p>
      <w:pPr>
        <w:spacing w:line="460" w:lineRule="exact"/>
        <w:ind w:firstLine="420" w:firstLineChars="200"/>
        <w:jc w:val="left"/>
        <w:rPr>
          <w:rFonts w:ascii="宋体" w:hAnsi="宋体" w:cs="宋体"/>
          <w:color w:val="auto"/>
          <w:szCs w:val="21"/>
          <w:highlight w:val="none"/>
        </w:rPr>
      </w:pPr>
      <w:bookmarkStart w:id="404" w:name="_Toc387526226"/>
      <w:bookmarkStart w:id="405" w:name="_Toc387526422"/>
      <w:bookmarkStart w:id="406" w:name="_Toc9600"/>
      <w:bookmarkStart w:id="407" w:name="_Toc387526330"/>
      <w:r>
        <w:rPr>
          <w:rFonts w:hint="eastAsia" w:ascii="宋体" w:hAnsi="宋体" w:cs="宋体"/>
          <w:color w:val="auto"/>
          <w:szCs w:val="21"/>
          <w:highlight w:val="none"/>
        </w:rPr>
        <w:t>9.5 质疑</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供应商认为采购文件、采购过程、中标或者成交结果使自己的权益采到损害的，可以在知道或者应知其权益受到损害之日起7个工作日内，以书面形式向采购人、采购代理机构在法定质疑期内一次性提出针对同一采购程序环节的质疑。供应商提出质疑应当符合财政部令第94号《政府采购质疑和投诉办法》相关规定。</w:t>
      </w:r>
      <w:bookmarkStart w:id="408" w:name="_Toc508216929"/>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9.6 投诉</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质疑供应商对采购人、采购代理机构的答复不满意的，或者采购人、采购代理机构未在规定时间内作出答复的，可以在答复期满后15个</w:t>
      </w:r>
      <w:r>
        <w:rPr>
          <w:rFonts w:hint="eastAsia" w:ascii="宋体" w:hAnsi="宋体" w:eastAsia="宋体" w:cs="宋体"/>
          <w:color w:val="auto"/>
          <w:szCs w:val="21"/>
          <w:highlight w:val="none"/>
        </w:rPr>
        <w:t>工作日内向</w:t>
      </w:r>
      <w:r>
        <w:rPr>
          <w:rFonts w:hint="eastAsia" w:ascii="宋体" w:hAnsi="宋体" w:eastAsia="宋体" w:cs="宋体"/>
          <w:color w:val="auto"/>
          <w:szCs w:val="21"/>
          <w:highlight w:val="none"/>
          <w:lang w:eastAsia="zh-CN"/>
        </w:rPr>
        <w:t>盐城市大丰区城市建设集团有限公司</w:t>
      </w:r>
      <w:r>
        <w:rPr>
          <w:rFonts w:hint="eastAsia" w:ascii="宋体" w:hAnsi="宋体" w:eastAsia="宋体" w:cs="宋体"/>
          <w:color w:val="auto"/>
          <w:szCs w:val="21"/>
          <w:highlight w:val="none"/>
        </w:rPr>
        <w:t>提起投</w:t>
      </w:r>
      <w:r>
        <w:rPr>
          <w:rFonts w:hint="eastAsia" w:ascii="宋体" w:hAnsi="宋体" w:cs="宋体"/>
          <w:color w:val="auto"/>
          <w:szCs w:val="21"/>
          <w:highlight w:val="none"/>
        </w:rPr>
        <w:t>诉。提起投诉应当符合财政部令第94号《政府采购质疑和投诉办法》相关规定。</w:t>
      </w:r>
    </w:p>
    <w:p>
      <w:pPr>
        <w:pStyle w:val="5"/>
        <w:spacing w:before="0" w:after="0" w:line="460" w:lineRule="exact"/>
        <w:ind w:firstLine="420" w:firstLineChars="2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9.7差别待遇或者歧视待遇现象</w:t>
      </w:r>
      <w:bookmarkEnd w:id="408"/>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采购人或者采购代理机构有下列情形之一的，属于以不合理的条件对供应商实行差别待遇或者歧视待遇：</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（一）就同一采购项目向供应商提供有差别的项目信息；</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（二）设定的资格、技术、商务条件与采购项目的具体特点和实际需要不相适应或者与合同履行无关；</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（三）采购需求中的技术、服务等要求指向特定供应商、特定产品；</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（四）以特定行政区域或者特定行业的业绩、奖项作为加分条件或者中标、成交条件；</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（五）对供应商采取不同的资格审查或者评审标准；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（六）限定或者指定特定的专利、商标、品牌或者供应商；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（七）非法限定供应商的所有制形式、组织形式或者所在地；</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（八）以其他不合理条件限制或者排斥潜在供应商。</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若有以上现象，评委将根据本招标文件相关条款执行。</w:t>
      </w:r>
    </w:p>
    <w:p>
      <w:pPr>
        <w:pStyle w:val="29"/>
        <w:spacing w:before="0" w:after="0" w:line="460" w:lineRule="exact"/>
        <w:ind w:firstLine="422" w:firstLineChars="200"/>
        <w:jc w:val="left"/>
        <w:rPr>
          <w:rFonts w:ascii="宋体" w:hAnsi="宋体"/>
          <w:color w:val="auto"/>
          <w:sz w:val="21"/>
          <w:szCs w:val="21"/>
          <w:highlight w:val="none"/>
        </w:rPr>
      </w:pPr>
      <w:bookmarkStart w:id="409" w:name="_Toc397928598"/>
      <w:bookmarkStart w:id="410" w:name="_Toc508216930"/>
      <w:r>
        <w:rPr>
          <w:rFonts w:hint="eastAsia" w:ascii="宋体" w:hAnsi="宋体"/>
          <w:color w:val="auto"/>
          <w:sz w:val="21"/>
          <w:szCs w:val="21"/>
          <w:highlight w:val="none"/>
        </w:rPr>
        <w:t>10.</w:t>
      </w:r>
      <w:bookmarkEnd w:id="404"/>
      <w:bookmarkEnd w:id="405"/>
      <w:bookmarkEnd w:id="406"/>
      <w:bookmarkEnd w:id="407"/>
      <w:bookmarkEnd w:id="409"/>
      <w:bookmarkEnd w:id="410"/>
      <w:r>
        <w:rPr>
          <w:rFonts w:hint="eastAsia" w:ascii="宋体" w:hAnsi="宋体"/>
          <w:color w:val="auto"/>
          <w:sz w:val="21"/>
          <w:szCs w:val="21"/>
          <w:highlight w:val="none"/>
        </w:rPr>
        <w:t>付款方式</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见投标人须知前附表。</w:t>
      </w:r>
    </w:p>
    <w:p>
      <w:pPr>
        <w:spacing w:line="46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11.解释权</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⑴凡是构成合同文件组成内容的不明确或不一致，以合同文件约定内容为准，且以专用合同条款约定的合同文件优先顺序解释；</w:t>
      </w:r>
    </w:p>
    <w:p>
      <w:pPr>
        <w:tabs>
          <w:tab w:val="left" w:pos="920"/>
        </w:tabs>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⑵凡不是构成合同文件组成内容的不明确或不一致，除招标文件中有特别规定外，仅适用于招标投标阶段的规定，按招标公告（投标邀请书）、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tabs>
          <w:tab w:val="left" w:pos="920"/>
        </w:tabs>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⑶按本款前述规定仍不能形成结论的，由招标人负责解释。</w:t>
      </w:r>
    </w:p>
    <w:p>
      <w:pPr>
        <w:tabs>
          <w:tab w:val="left" w:pos="920"/>
        </w:tabs>
        <w:spacing w:line="46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12.其他</w:t>
      </w:r>
    </w:p>
    <w:p>
      <w:pPr>
        <w:tabs>
          <w:tab w:val="left" w:pos="920"/>
        </w:tabs>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1、本招标文件时间均以中华人民共和国北京时间为准，所涉及金额的币种均为人民币。</w:t>
      </w:r>
    </w:p>
    <w:p>
      <w:pPr>
        <w:tabs>
          <w:tab w:val="left" w:pos="920"/>
        </w:tabs>
        <w:spacing w:line="4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2、凡参与本项目投标的投标人，视同已踏勘过项目现场和研究了本招标文件的所有内容，并无保留地接受招标文件的所有条款（含招标答疑、补充通知等）。</w:t>
      </w:r>
    </w:p>
    <w:p>
      <w:pPr>
        <w:tabs>
          <w:tab w:val="left" w:pos="920"/>
        </w:tabs>
        <w:spacing w:line="460" w:lineRule="exact"/>
        <w:ind w:firstLine="420" w:firstLineChars="200"/>
        <w:jc w:val="left"/>
        <w:rPr>
          <w:rFonts w:ascii="宋体" w:hAnsi="宋体" w:cs="宋体"/>
          <w:color w:val="auto"/>
          <w:szCs w:val="21"/>
          <w:highlight w:val="none"/>
        </w:rPr>
      </w:pPr>
      <w:bookmarkStart w:id="411" w:name="_Toc29139"/>
      <w:bookmarkStart w:id="412" w:name="_Toc397928599"/>
      <w:bookmarkStart w:id="413" w:name="_Toc508216932"/>
      <w:bookmarkStart w:id="414" w:name="_Toc508216933"/>
      <w:bookmarkStart w:id="415" w:name="_Toc397928601"/>
      <w:bookmarkStart w:id="416" w:name="_Toc12629"/>
      <w:bookmarkStart w:id="417" w:name="_Toc184635093"/>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、本招标文件未尽事宜，按国家和省法律法规、规章要求处理。</w:t>
      </w:r>
    </w:p>
    <w:p>
      <w:pPr>
        <w:tabs>
          <w:tab w:val="left" w:pos="920"/>
        </w:tabs>
        <w:spacing w:line="460" w:lineRule="exact"/>
        <w:ind w:firstLine="420" w:firstLineChars="200"/>
        <w:jc w:val="left"/>
        <w:rPr>
          <w:color w:val="auto"/>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、本招标文件的解释权归招标人所有。</w:t>
      </w:r>
    </w:p>
    <w:p>
      <w:pPr>
        <w:pStyle w:val="2"/>
        <w:spacing w:before="0" w:after="0" w:line="360" w:lineRule="auto"/>
        <w:rPr>
          <w:rFonts w:ascii="宋体" w:hAnsi="宋体"/>
          <w:color w:val="auto"/>
          <w:highlight w:val="none"/>
        </w:rPr>
      </w:pPr>
      <w:r>
        <w:rPr>
          <w:rFonts w:hint="eastAsia" w:ascii="宋体" w:hAnsi="宋体"/>
          <w:color w:val="auto"/>
          <w:highlight w:val="none"/>
        </w:rPr>
        <w:t>第三章  评标办法（综合评分法）</w:t>
      </w:r>
      <w:bookmarkEnd w:id="411"/>
      <w:bookmarkEnd w:id="412"/>
      <w:bookmarkEnd w:id="413"/>
    </w:p>
    <w:p>
      <w:pPr>
        <w:pStyle w:val="3"/>
        <w:spacing w:before="0" w:after="0" w:line="460" w:lineRule="exact"/>
        <w:ind w:firstLine="422" w:firstLineChars="2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开标时特别说明：</w:t>
      </w:r>
    </w:p>
    <w:p>
      <w:pPr>
        <w:pStyle w:val="3"/>
        <w:spacing w:before="0" w:after="0" w:line="460" w:lineRule="exact"/>
        <w:ind w:firstLine="422" w:firstLineChars="2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用全程电子化及不见面开评标的模式，开标当日，投标人无需到达开标现场，仅需在任意地点通过盐城大丰开标大厅系统http://js.etrading.cn/EpointBidOpening/bidopeninghallaction/hall/login及相应的配套软硬件设备，完成远程解密、文件传输、提疑澄清、开标唱标、结果公布等交互环节，具体内容和规定详见招标文件。</w:t>
      </w:r>
    </w:p>
    <w:p>
      <w:pPr>
        <w:pStyle w:val="3"/>
        <w:spacing w:before="0" w:after="0" w:line="460" w:lineRule="exact"/>
        <w:ind w:firstLine="422"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1.评标方法</w:t>
      </w:r>
    </w:p>
    <w:p>
      <w:pPr>
        <w:pStyle w:val="3"/>
        <w:spacing w:before="0" w:after="0" w:line="460" w:lineRule="exact"/>
        <w:ind w:firstLine="420" w:firstLineChars="200"/>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本次评标采用综合评分法。评标委员会对满足招标文件实质性要求的投标文件，按照本招标文件规定的评分标准进行打分，并按得分由高到低顺序推荐中标候选人。综合评分相等时，以投标报价低的优先；投标报价也相等的，由评标委员会抽签确定。最低报价及任何单项因素的最优均不是中标的必要条件。</w:t>
      </w:r>
    </w:p>
    <w:p>
      <w:pPr>
        <w:pStyle w:val="3"/>
        <w:spacing w:before="0" w:after="0" w:line="460" w:lineRule="exact"/>
        <w:ind w:firstLine="422"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2.评审标准</w:t>
      </w:r>
    </w:p>
    <w:p>
      <w:pPr>
        <w:spacing w:line="46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2.1 初步评审</w:t>
      </w:r>
    </w:p>
    <w:p>
      <w:pPr>
        <w:spacing w:line="48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2.1.1形式评审标准</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对投标文件的有效性、完整性进行评审。</w:t>
      </w:r>
    </w:p>
    <w:tbl>
      <w:tblPr>
        <w:tblStyle w:val="20"/>
        <w:tblW w:w="99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12"/>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51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评审因素</w:t>
            </w:r>
          </w:p>
        </w:tc>
        <w:tc>
          <w:tcPr>
            <w:tcW w:w="64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51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color w:val="auto"/>
                <w:szCs w:val="21"/>
                <w:highlight w:val="none"/>
              </w:rPr>
              <w:t>投标人名称</w:t>
            </w:r>
          </w:p>
        </w:tc>
        <w:tc>
          <w:tcPr>
            <w:tcW w:w="64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b/>
                <w:color w:val="auto"/>
                <w:szCs w:val="21"/>
                <w:highlight w:val="none"/>
              </w:rPr>
            </w:pPr>
            <w:r>
              <w:rPr>
                <w:rFonts w:hint="eastAsia" w:ascii="宋体" w:hAnsi="宋体" w:cs="宋体"/>
                <w:color w:val="auto"/>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35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投标承诺函</w:t>
            </w:r>
          </w:p>
        </w:tc>
        <w:tc>
          <w:tcPr>
            <w:tcW w:w="64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有法定代表人或其委托代理人签字(或盖章)并加盖投标单位公章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351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授权委托书</w:t>
            </w:r>
          </w:p>
        </w:tc>
        <w:tc>
          <w:tcPr>
            <w:tcW w:w="64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有法定代表人签字(或盖章)并加盖投标单位公章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35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报价唯一</w:t>
            </w:r>
          </w:p>
        </w:tc>
        <w:tc>
          <w:tcPr>
            <w:tcW w:w="64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只能有一个有效报价</w:t>
            </w:r>
          </w:p>
        </w:tc>
      </w:tr>
    </w:tbl>
    <w:p>
      <w:pPr>
        <w:spacing w:line="48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2.1.2资格审查（资格后审）</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评标委员会对通过上一阶段评审的投标人资格对照招标文件投标须知第3.5项的规定要求进行审查，只有通过资格审查的投标人方可进行下一阶段的评审。</w:t>
      </w:r>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58"/>
        <w:gridCol w:w="64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评审因素</w:t>
            </w:r>
          </w:p>
        </w:tc>
        <w:tc>
          <w:tcPr>
            <w:tcW w:w="649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5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营业执照</w:t>
            </w:r>
          </w:p>
        </w:tc>
        <w:tc>
          <w:tcPr>
            <w:tcW w:w="6494"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color w:val="auto"/>
                <w:szCs w:val="21"/>
                <w:highlight w:val="none"/>
              </w:rPr>
            </w:pPr>
            <w:r>
              <w:rPr>
                <w:rFonts w:hint="eastAsia" w:ascii="宋体" w:hAnsi="宋体" w:cs="宋体"/>
                <w:color w:val="auto"/>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5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资质证书</w:t>
            </w:r>
          </w:p>
        </w:tc>
        <w:tc>
          <w:tcPr>
            <w:tcW w:w="6494"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宋体" w:hAnsi="宋体" w:cs="宋体"/>
                <w:color w:val="auto"/>
                <w:szCs w:val="21"/>
                <w:highlight w:val="none"/>
              </w:rPr>
            </w:pPr>
            <w:r>
              <w:rPr>
                <w:rFonts w:hint="eastAsia" w:ascii="宋体" w:hAnsi="宋体" w:cs="宋体"/>
                <w:color w:val="auto"/>
                <w:szCs w:val="21"/>
                <w:highlight w:val="none"/>
              </w:rPr>
              <w:t>具有工程设计综合甲级资质或市政行业设计乙级及以上资质或市政行业（燃气工程、轨道交通工程除外）设计乙级及以上资质或市政行业（排水工程）专业设计乙级及以上资质。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345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项目负责人证书</w:t>
            </w:r>
          </w:p>
        </w:tc>
        <w:tc>
          <w:tcPr>
            <w:tcW w:w="6494"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宋体" w:hAnsi="宋体" w:cs="宋体"/>
                <w:color w:val="auto"/>
                <w:szCs w:val="21"/>
                <w:highlight w:val="none"/>
              </w:rPr>
            </w:pPr>
            <w:r>
              <w:rPr>
                <w:rFonts w:hint="eastAsia" w:ascii="宋体" w:hAnsi="宋体" w:cs="宋体"/>
                <w:color w:val="auto"/>
                <w:szCs w:val="21"/>
                <w:highlight w:val="none"/>
              </w:rPr>
              <w:t>项目负责人必须是投标人本单位正式职工，具有注册公用设备工程师（给水排水）职业资格。</w:t>
            </w:r>
          </w:p>
        </w:tc>
      </w:tr>
    </w:tbl>
    <w:p>
      <w:pPr>
        <w:spacing w:line="48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2.1.3 响应性审查</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对招标文件要求的合同履行期限、质量标准、投标有效期、投标报价等实质性要求的响应性进行评审。</w:t>
      </w:r>
    </w:p>
    <w:tbl>
      <w:tblPr>
        <w:tblStyle w:val="20"/>
        <w:tblW w:w="99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47"/>
        <w:gridCol w:w="64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评审因素</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color w:val="auto"/>
                <w:szCs w:val="21"/>
                <w:highlight w:val="none"/>
              </w:rPr>
              <w:t>合同履行期限</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b/>
                <w:color w:val="auto"/>
                <w:szCs w:val="21"/>
                <w:highlight w:val="none"/>
              </w:rPr>
            </w:pPr>
            <w:r>
              <w:rPr>
                <w:rFonts w:hint="eastAsia" w:ascii="宋体" w:hAnsi="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color w:val="auto"/>
                <w:szCs w:val="21"/>
                <w:highlight w:val="none"/>
              </w:rPr>
              <w:t>质量标准</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b/>
                <w:color w:val="auto"/>
                <w:szCs w:val="21"/>
                <w:highlight w:val="none"/>
              </w:rPr>
            </w:pPr>
            <w:r>
              <w:rPr>
                <w:rFonts w:hint="eastAsia" w:ascii="宋体" w:hAnsi="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color w:val="auto"/>
                <w:szCs w:val="21"/>
                <w:highlight w:val="none"/>
              </w:rPr>
              <w:t>投标有效期</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b/>
                <w:color w:val="auto"/>
                <w:szCs w:val="21"/>
                <w:highlight w:val="none"/>
              </w:rPr>
            </w:pPr>
            <w:r>
              <w:rPr>
                <w:rFonts w:hint="eastAsia" w:ascii="宋体" w:hAnsi="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4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color w:val="auto"/>
                <w:szCs w:val="21"/>
                <w:highlight w:val="none"/>
              </w:rPr>
            </w:pPr>
            <w:r>
              <w:rPr>
                <w:rFonts w:hint="eastAsia" w:ascii="宋体" w:hAnsi="宋体" w:cs="宋体"/>
                <w:color w:val="auto"/>
                <w:szCs w:val="21"/>
                <w:highlight w:val="none"/>
              </w:rPr>
              <w:t>投标价格</w:t>
            </w:r>
          </w:p>
        </w:tc>
        <w:tc>
          <w:tcPr>
            <w:tcW w:w="6403" w:type="dxa"/>
            <w:tcBorders>
              <w:top w:val="single" w:color="auto" w:sz="4" w:space="0"/>
              <w:left w:val="single" w:color="auto" w:sz="4" w:space="0"/>
              <w:bottom w:val="single" w:color="auto" w:sz="4" w:space="0"/>
              <w:right w:val="single" w:color="auto" w:sz="4" w:space="0"/>
            </w:tcBorders>
          </w:tcPr>
          <w:p>
            <w:pPr>
              <w:spacing w:line="480" w:lineRule="exact"/>
              <w:jc w:val="left"/>
              <w:rPr>
                <w:rFonts w:ascii="宋体" w:hAnsi="宋体" w:cs="宋体"/>
                <w:color w:val="auto"/>
                <w:szCs w:val="21"/>
                <w:highlight w:val="none"/>
              </w:rPr>
            </w:pPr>
            <w:r>
              <w:rPr>
                <w:rFonts w:hint="eastAsia" w:ascii="宋体" w:hAnsi="宋体" w:cs="宋体"/>
                <w:color w:val="auto"/>
                <w:szCs w:val="21"/>
                <w:highlight w:val="none"/>
              </w:rPr>
              <w:t>符合招标文件相关约定</w:t>
            </w:r>
          </w:p>
        </w:tc>
      </w:tr>
    </w:tbl>
    <w:p>
      <w:pPr>
        <w:pStyle w:val="5"/>
        <w:spacing w:before="0" w:after="0" w:line="460" w:lineRule="exact"/>
        <w:ind w:firstLine="422" w:firstLineChars="200"/>
        <w:rPr>
          <w:rFonts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2.2 详细评审（100分）</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495"/>
        <w:gridCol w:w="883"/>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80" w:type="dxa"/>
            <w:vAlign w:val="center"/>
          </w:tcPr>
          <w:p>
            <w:pPr>
              <w:rPr>
                <w:color w:val="auto"/>
                <w:highlight w:val="none"/>
                <w:lang w:val="zh-CN"/>
              </w:rPr>
            </w:pPr>
            <w:r>
              <w:rPr>
                <w:rFonts w:hint="eastAsia"/>
                <w:color w:val="auto"/>
                <w:highlight w:val="none"/>
                <w:lang w:val="zh-CN"/>
              </w:rPr>
              <w:t>序号</w:t>
            </w:r>
          </w:p>
        </w:tc>
        <w:tc>
          <w:tcPr>
            <w:tcW w:w="1495" w:type="dxa"/>
            <w:vAlign w:val="center"/>
          </w:tcPr>
          <w:p>
            <w:pPr>
              <w:rPr>
                <w:color w:val="auto"/>
                <w:highlight w:val="none"/>
                <w:lang w:val="zh-CN"/>
              </w:rPr>
            </w:pPr>
            <w:r>
              <w:rPr>
                <w:rFonts w:hint="eastAsia"/>
                <w:color w:val="auto"/>
                <w:highlight w:val="none"/>
                <w:lang w:val="zh-CN"/>
              </w:rPr>
              <w:t>评分因素</w:t>
            </w:r>
          </w:p>
        </w:tc>
        <w:tc>
          <w:tcPr>
            <w:tcW w:w="883" w:type="dxa"/>
            <w:vAlign w:val="center"/>
          </w:tcPr>
          <w:p>
            <w:pPr>
              <w:rPr>
                <w:color w:val="auto"/>
                <w:highlight w:val="none"/>
                <w:lang w:val="zh-CN"/>
              </w:rPr>
            </w:pPr>
            <w:r>
              <w:rPr>
                <w:rFonts w:hint="eastAsia"/>
                <w:color w:val="auto"/>
                <w:highlight w:val="none"/>
                <w:lang w:val="zh-CN"/>
              </w:rPr>
              <w:t>分值</w:t>
            </w:r>
          </w:p>
        </w:tc>
        <w:tc>
          <w:tcPr>
            <w:tcW w:w="6888" w:type="dxa"/>
            <w:vAlign w:val="center"/>
          </w:tcPr>
          <w:p>
            <w:pPr>
              <w:rPr>
                <w:color w:val="auto"/>
                <w:highlight w:val="none"/>
                <w:lang w:val="zh-CN"/>
              </w:rPr>
            </w:pPr>
            <w:r>
              <w:rPr>
                <w:rFonts w:hint="eastAsia"/>
                <w:color w:val="auto"/>
                <w:highlight w:val="none"/>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80" w:type="dxa"/>
            <w:vAlign w:val="center"/>
          </w:tcPr>
          <w:p>
            <w:pPr>
              <w:rPr>
                <w:color w:val="auto"/>
                <w:highlight w:val="none"/>
              </w:rPr>
            </w:pPr>
            <w:r>
              <w:rPr>
                <w:rFonts w:hint="eastAsia"/>
                <w:color w:val="auto"/>
                <w:highlight w:val="none"/>
              </w:rPr>
              <w:t>1</w:t>
            </w:r>
          </w:p>
        </w:tc>
        <w:tc>
          <w:tcPr>
            <w:tcW w:w="1495" w:type="dxa"/>
            <w:vAlign w:val="center"/>
          </w:tcPr>
          <w:p>
            <w:pPr>
              <w:rPr>
                <w:color w:val="auto"/>
                <w:highlight w:val="none"/>
              </w:rPr>
            </w:pPr>
            <w:r>
              <w:rPr>
                <w:rFonts w:hint="eastAsia"/>
                <w:color w:val="auto"/>
                <w:highlight w:val="none"/>
              </w:rPr>
              <w:t>报价部分</w:t>
            </w:r>
          </w:p>
        </w:tc>
        <w:tc>
          <w:tcPr>
            <w:tcW w:w="883" w:type="dxa"/>
            <w:vAlign w:val="center"/>
          </w:tcPr>
          <w:p>
            <w:pPr>
              <w:rPr>
                <w:color w:val="auto"/>
                <w:highlight w:val="none"/>
              </w:rPr>
            </w:pPr>
            <w:r>
              <w:rPr>
                <w:rFonts w:hint="eastAsia"/>
                <w:color w:val="auto"/>
                <w:highlight w:val="none"/>
              </w:rPr>
              <w:t>20</w:t>
            </w:r>
          </w:p>
        </w:tc>
        <w:tc>
          <w:tcPr>
            <w:tcW w:w="6888" w:type="dxa"/>
            <w:vAlign w:val="center"/>
          </w:tcPr>
          <w:p>
            <w:pPr>
              <w:rPr>
                <w:color w:val="auto"/>
                <w:highlight w:val="none"/>
              </w:rPr>
            </w:pPr>
            <w:r>
              <w:rPr>
                <w:rFonts w:hint="eastAsia"/>
                <w:color w:val="auto"/>
                <w:highlight w:val="none"/>
              </w:rPr>
              <w:t>投标报价等于评标基准价得满分20分，投标报价相对评标基准价每低1%扣0.1分，每高1%扣0.1分，不足1%的按插入法计算。</w:t>
            </w:r>
          </w:p>
          <w:p>
            <w:pPr>
              <w:rPr>
                <w:color w:val="auto"/>
                <w:highlight w:val="none"/>
              </w:rPr>
            </w:pPr>
            <w:r>
              <w:rPr>
                <w:rFonts w:hint="eastAsia"/>
                <w:color w:val="auto"/>
                <w:highlight w:val="none"/>
              </w:rPr>
              <w:t>评标基准价：若有效投标文件＜5 家时，以所有有效投标文件投标报价算术平均值为评标基准价；5≤若有效投标文件＜10家时，去掉有效投标文件投标报价中的一个最高价和一个最低价后取算术平均值为评标基准价；若有效投标文件≥10 家时，去掉有效投标文件投标报价中的二个最高价和二个最低价后取算术平均值为评标基准价。</w:t>
            </w:r>
          </w:p>
          <w:p>
            <w:pPr>
              <w:rPr>
                <w:color w:val="auto"/>
                <w:highlight w:val="none"/>
                <w:lang w:val="zh-CN"/>
              </w:rPr>
            </w:pPr>
            <w:r>
              <w:rPr>
                <w:rFonts w:hint="eastAsia"/>
                <w:color w:val="auto"/>
                <w:highlight w:val="none"/>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80" w:type="dxa"/>
            <w:vAlign w:val="center"/>
          </w:tcPr>
          <w:p>
            <w:pPr>
              <w:rPr>
                <w:color w:val="auto"/>
                <w:highlight w:val="none"/>
              </w:rPr>
            </w:pPr>
            <w:r>
              <w:rPr>
                <w:rFonts w:hint="eastAsia"/>
                <w:color w:val="auto"/>
                <w:highlight w:val="none"/>
              </w:rPr>
              <w:t>2</w:t>
            </w:r>
          </w:p>
        </w:tc>
        <w:tc>
          <w:tcPr>
            <w:tcW w:w="1495" w:type="dxa"/>
            <w:vAlign w:val="center"/>
          </w:tcPr>
          <w:p>
            <w:pPr>
              <w:rPr>
                <w:color w:val="auto"/>
                <w:highlight w:val="none"/>
              </w:rPr>
            </w:pPr>
            <w:r>
              <w:rPr>
                <w:rFonts w:hint="eastAsia"/>
                <w:color w:val="auto"/>
                <w:highlight w:val="none"/>
              </w:rPr>
              <w:t>技术方案</w:t>
            </w:r>
          </w:p>
        </w:tc>
        <w:tc>
          <w:tcPr>
            <w:tcW w:w="883" w:type="dxa"/>
            <w:vAlign w:val="center"/>
          </w:tcPr>
          <w:p>
            <w:pPr>
              <w:rPr>
                <w:rFonts w:eastAsia="宋体"/>
                <w:color w:val="auto"/>
                <w:highlight w:val="none"/>
              </w:rPr>
            </w:pPr>
            <w:r>
              <w:rPr>
                <w:rFonts w:hint="eastAsia"/>
                <w:color w:val="auto"/>
                <w:highlight w:val="none"/>
              </w:rPr>
              <w:t>53</w:t>
            </w:r>
          </w:p>
        </w:tc>
        <w:tc>
          <w:tcPr>
            <w:tcW w:w="6888" w:type="dxa"/>
            <w:vAlign w:val="center"/>
          </w:tcPr>
          <w:p>
            <w:pPr>
              <w:rPr>
                <w:color w:val="auto"/>
                <w:highlight w:val="none"/>
              </w:rPr>
            </w:pPr>
            <w:r>
              <w:rPr>
                <w:rFonts w:hint="eastAsia"/>
                <w:color w:val="auto"/>
                <w:highlight w:val="none"/>
              </w:rPr>
              <w:t>1、对项目背景、建设依据、工作原则、城市及各镇区现状及规划的诠释理解确切，各项服务内容了解，总体工作步骤切合项目实际（得8-5分）；项目背景、建设依据、工作原则、城市及各镇区现状及规划的诠释理解一般，各服务内容了解一般，总体工作步骤符合项目实际（得5-2分）；项目背景、建设依据、工作原则的诠释理解不够，城市及各镇区现状及规划描述不清楚，各项技术流程欠缺、服务内容了解不彻底，总体工作步骤不贴切实际（得3-1）；没有此项不得分。没有此项不得分。</w:t>
            </w:r>
          </w:p>
          <w:p>
            <w:pPr>
              <w:rPr>
                <w:color w:val="auto"/>
                <w:highlight w:val="none"/>
              </w:rPr>
            </w:pPr>
            <w:r>
              <w:rPr>
                <w:rFonts w:hint="eastAsia"/>
                <w:color w:val="auto"/>
                <w:highlight w:val="none"/>
              </w:rPr>
              <w:t>2、熟悉农村污水治理的相关政策，对农村污水治理现状、采用的处理工艺、治理率等了解全面、清晰（得12-8分）；农村污水治理的相关政策及治理模式了解内容较少，对农村污水治理现状、采用的处理工艺、治理率等不够清晰（得8-4分）；不了解农村污水治理的相关政策及治理模式，农村污水治理现状、采用的处理工艺、治理率等描述不切实际，总体描述不符合实际（得4-1分）；没有此项不得分。</w:t>
            </w:r>
          </w:p>
          <w:p>
            <w:pPr>
              <w:rPr>
                <w:color w:val="auto"/>
                <w:highlight w:val="none"/>
              </w:rPr>
            </w:pPr>
            <w:r>
              <w:rPr>
                <w:rFonts w:hint="eastAsia"/>
                <w:color w:val="auto"/>
                <w:highlight w:val="none"/>
              </w:rPr>
              <w:t>3、对本次实施范围农村污水治理模式、治理思路等技术方案合理，人员组织配备合理，满足项目质量及服务要求（得12-8分）；对本次实施范围农村污水治理模式、治理思路等技术方案相对合理，基本满足项目质量及服务要求（得8-4分）；对本次实施范围农村污水治理模式、治理思路及技术方案不合理，不能满足项目质量及服务要求际（得4-1分）；没有此项不得分。</w:t>
            </w:r>
          </w:p>
          <w:p>
            <w:pPr>
              <w:rPr>
                <w:color w:val="auto"/>
                <w:highlight w:val="none"/>
              </w:rPr>
            </w:pPr>
            <w:r>
              <w:rPr>
                <w:rFonts w:hint="eastAsia"/>
                <w:color w:val="auto"/>
                <w:highlight w:val="none"/>
              </w:rPr>
              <w:t>4、项目服务难点、重点等描述与分析全面、清晰、准确，以及对项目合理化建议、后续服务合理可行（得7-5分）。项目服务难点、重点等描述与分析一般，以及对项目合理化建议、后续服务一般（得5-3分）；项目服务难点、重点等描述与分析不清晰，以及对项目合理化建议、后续服务可行性不够（得3-1分）；没有此项不得分。</w:t>
            </w:r>
          </w:p>
          <w:p>
            <w:pPr>
              <w:rPr>
                <w:color w:val="auto"/>
                <w:highlight w:val="none"/>
              </w:rPr>
            </w:pPr>
            <w:r>
              <w:rPr>
                <w:rFonts w:hint="eastAsia"/>
                <w:color w:val="auto"/>
                <w:highlight w:val="none"/>
              </w:rPr>
              <w:t>5、项目质量保障措施的可行性、合理性，提供详细的各项质量保障措施方案。（得7-5分）；项目质量保障措施的可行性、合理性一般，各项质量保障措施方案一般（得5-3分）；项目质量保障措施的可行性、合理性不够详细，各项质量保障措施方案不合理（得3-1分）；没有此项不得分。</w:t>
            </w:r>
          </w:p>
          <w:p>
            <w:pPr>
              <w:rPr>
                <w:rFonts w:asciiTheme="minorEastAsia" w:hAnsiTheme="minorEastAsia"/>
                <w:color w:val="auto"/>
                <w:highlight w:val="none"/>
              </w:rPr>
            </w:pPr>
            <w:r>
              <w:rPr>
                <w:rFonts w:hint="eastAsia"/>
                <w:color w:val="auto"/>
                <w:highlight w:val="none"/>
              </w:rPr>
              <w:t>6、项目进度安排科学合理、组织协调措施健全，能满足需求的且详细完整、有较强的可操作性（得7-5分）；项目进度安排合理、组织协调措施一般，（得5-3分）；项目进度安排不够合理、组织协调措施可操作性差（得3-1分）；没有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80" w:type="dxa"/>
            <w:vAlign w:val="center"/>
          </w:tcPr>
          <w:p>
            <w:pPr>
              <w:rPr>
                <w:color w:val="auto"/>
                <w:highlight w:val="none"/>
              </w:rPr>
            </w:pPr>
            <w:r>
              <w:rPr>
                <w:rFonts w:hint="eastAsia"/>
                <w:color w:val="auto"/>
                <w:highlight w:val="none"/>
              </w:rPr>
              <w:t>3</w:t>
            </w:r>
          </w:p>
        </w:tc>
        <w:tc>
          <w:tcPr>
            <w:tcW w:w="1495" w:type="dxa"/>
            <w:vAlign w:val="center"/>
          </w:tcPr>
          <w:p>
            <w:pPr>
              <w:rPr>
                <w:color w:val="auto"/>
                <w:highlight w:val="none"/>
              </w:rPr>
            </w:pPr>
            <w:r>
              <w:rPr>
                <w:rFonts w:hint="eastAsia"/>
                <w:color w:val="auto"/>
                <w:highlight w:val="none"/>
              </w:rPr>
              <w:t>业绩</w:t>
            </w:r>
          </w:p>
        </w:tc>
        <w:tc>
          <w:tcPr>
            <w:tcW w:w="883" w:type="dxa"/>
            <w:vAlign w:val="center"/>
          </w:tcPr>
          <w:p>
            <w:pPr>
              <w:rPr>
                <w:rFonts w:eastAsia="宋体"/>
                <w:color w:val="auto"/>
                <w:highlight w:val="none"/>
              </w:rPr>
            </w:pPr>
            <w:r>
              <w:rPr>
                <w:rFonts w:hint="eastAsia"/>
                <w:color w:val="auto"/>
                <w:highlight w:val="none"/>
              </w:rPr>
              <w:t>6</w:t>
            </w:r>
          </w:p>
        </w:tc>
        <w:tc>
          <w:tcPr>
            <w:tcW w:w="6888" w:type="dxa"/>
            <w:vAlign w:val="center"/>
          </w:tcPr>
          <w:p>
            <w:pPr>
              <w:pStyle w:val="47"/>
              <w:jc w:val="both"/>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1、投标人自2021年1月以来（</w:t>
            </w:r>
            <w:r>
              <w:rPr>
                <w:rFonts w:ascii="宋体" w:hAnsi="宋体" w:eastAsia="宋体" w:cs="宋体"/>
                <w:color w:val="auto"/>
                <w:kern w:val="2"/>
                <w:sz w:val="21"/>
                <w:szCs w:val="21"/>
                <w:highlight w:val="none"/>
              </w:rPr>
              <w:t>时间以竣工验收证明为准</w:t>
            </w:r>
            <w:r>
              <w:rPr>
                <w:rFonts w:hint="eastAsia" w:ascii="宋体" w:hAnsi="宋体" w:eastAsia="宋体" w:cs="宋体"/>
                <w:color w:val="auto"/>
                <w:kern w:val="2"/>
                <w:sz w:val="21"/>
                <w:szCs w:val="21"/>
                <w:highlight w:val="none"/>
              </w:rPr>
              <w:t>）类似服务项目（类似项目指</w:t>
            </w:r>
            <w:r>
              <w:rPr>
                <w:rFonts w:ascii="宋体" w:hAnsi="宋体" w:eastAsia="宋体" w:cs="宋体"/>
                <w:color w:val="auto"/>
                <w:kern w:val="2"/>
                <w:sz w:val="21"/>
                <w:szCs w:val="21"/>
                <w:highlight w:val="none"/>
              </w:rPr>
              <w:t>农村污水处理设计项目</w:t>
            </w:r>
            <w:r>
              <w:rPr>
                <w:rFonts w:hint="eastAsia" w:ascii="宋体" w:hAnsi="宋体" w:eastAsia="宋体" w:cs="宋体"/>
                <w:color w:val="auto"/>
                <w:kern w:val="2"/>
                <w:sz w:val="21"/>
                <w:szCs w:val="21"/>
                <w:highlight w:val="none"/>
              </w:rPr>
              <w:t>），每提供一个得2分，本项最高得4分。</w:t>
            </w:r>
          </w:p>
          <w:p>
            <w:pPr>
              <w:pStyle w:val="47"/>
              <w:jc w:val="both"/>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w:t>
            </w:r>
            <w:r>
              <w:rPr>
                <w:rFonts w:ascii="宋体" w:hAnsi="宋体" w:eastAsia="宋体" w:cs="宋体"/>
                <w:color w:val="auto"/>
                <w:kern w:val="2"/>
                <w:sz w:val="21"/>
                <w:szCs w:val="21"/>
                <w:highlight w:val="none"/>
              </w:rPr>
              <w:t>项目负责人</w:t>
            </w:r>
            <w:r>
              <w:rPr>
                <w:rFonts w:hint="eastAsia" w:ascii="宋体" w:hAnsi="宋体" w:eastAsia="宋体" w:cs="宋体"/>
                <w:color w:val="auto"/>
                <w:kern w:val="2"/>
                <w:sz w:val="21"/>
                <w:szCs w:val="21"/>
                <w:highlight w:val="none"/>
              </w:rPr>
              <w:t>具有自2021年1月以来（</w:t>
            </w:r>
            <w:r>
              <w:rPr>
                <w:rFonts w:ascii="宋体" w:hAnsi="宋体" w:eastAsia="宋体" w:cs="宋体"/>
                <w:color w:val="auto"/>
                <w:kern w:val="2"/>
                <w:sz w:val="21"/>
                <w:szCs w:val="21"/>
                <w:highlight w:val="none"/>
              </w:rPr>
              <w:t>时间以竣工验收证明为准</w:t>
            </w:r>
            <w:r>
              <w:rPr>
                <w:rFonts w:hint="eastAsia" w:ascii="宋体" w:hAnsi="宋体" w:eastAsia="宋体" w:cs="宋体"/>
                <w:color w:val="auto"/>
                <w:kern w:val="2"/>
                <w:sz w:val="21"/>
                <w:szCs w:val="21"/>
                <w:highlight w:val="none"/>
              </w:rPr>
              <w:t>）类似服务项目（类似项目指</w:t>
            </w:r>
            <w:r>
              <w:rPr>
                <w:rFonts w:ascii="宋体" w:hAnsi="宋体" w:eastAsia="宋体" w:cs="宋体"/>
                <w:color w:val="auto"/>
                <w:kern w:val="2"/>
                <w:sz w:val="21"/>
                <w:szCs w:val="21"/>
                <w:highlight w:val="none"/>
              </w:rPr>
              <w:t>农村污水处理设计项目</w:t>
            </w:r>
            <w:r>
              <w:rPr>
                <w:rFonts w:hint="eastAsia" w:ascii="宋体" w:hAnsi="宋体" w:eastAsia="宋体" w:cs="宋体"/>
                <w:color w:val="auto"/>
                <w:kern w:val="2"/>
                <w:sz w:val="21"/>
                <w:szCs w:val="21"/>
                <w:highlight w:val="none"/>
              </w:rPr>
              <w:t>）的得2分，本项最高得2分。</w:t>
            </w:r>
          </w:p>
          <w:p>
            <w:pPr>
              <w:pStyle w:val="47"/>
              <w:jc w:val="both"/>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注：（1）、投标时需要提供</w:t>
            </w:r>
            <w:r>
              <w:rPr>
                <w:rFonts w:ascii="宋体" w:hAnsi="宋体" w:eastAsia="宋体" w:cs="宋体"/>
                <w:color w:val="auto"/>
                <w:kern w:val="2"/>
                <w:sz w:val="21"/>
                <w:szCs w:val="21"/>
                <w:highlight w:val="none"/>
              </w:rPr>
              <w:t>提供中标通知书、设计合同、竣工验收证明（竣工验收证明需经设计、监理、施工、建设单位四方盖公章，否则不予认可）扫描件</w:t>
            </w:r>
            <w:r>
              <w:rPr>
                <w:rFonts w:hint="eastAsia" w:ascii="宋体" w:hAnsi="宋体" w:eastAsia="宋体" w:cs="宋体"/>
                <w:color w:val="auto"/>
                <w:kern w:val="2"/>
                <w:sz w:val="21"/>
                <w:szCs w:val="21"/>
                <w:highlight w:val="none"/>
              </w:rPr>
              <w:t>，否则不子计分。</w:t>
            </w:r>
          </w:p>
          <w:p>
            <w:pPr>
              <w:pStyle w:val="47"/>
              <w:jc w:val="both"/>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（2）、企业业绩与项目负责人业绩不重复计算。</w:t>
            </w:r>
          </w:p>
          <w:p>
            <w:pPr>
              <w:pStyle w:val="47"/>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kern w:val="2"/>
                <w:sz w:val="21"/>
                <w:szCs w:val="21"/>
                <w:highlight w:val="none"/>
              </w:rPr>
              <w:t>（3）、项目负责人业绩需为在投标单位承接的项目业绩</w:t>
            </w:r>
            <w:r>
              <w:rPr>
                <w:rFonts w:hint="eastAsia" w:ascii="宋体" w:hAnsi="宋体" w:eastAsia="宋体" w:cs="宋体"/>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80" w:type="dxa"/>
            <w:vAlign w:val="center"/>
          </w:tcPr>
          <w:p>
            <w:pPr>
              <w:rPr>
                <w:color w:val="auto"/>
                <w:highlight w:val="none"/>
              </w:rPr>
            </w:pPr>
            <w:r>
              <w:rPr>
                <w:rFonts w:hint="eastAsia"/>
                <w:color w:val="auto"/>
                <w:highlight w:val="none"/>
              </w:rPr>
              <w:t>4</w:t>
            </w:r>
          </w:p>
        </w:tc>
        <w:tc>
          <w:tcPr>
            <w:tcW w:w="1495" w:type="dxa"/>
            <w:vAlign w:val="center"/>
          </w:tcPr>
          <w:p>
            <w:pPr>
              <w:rPr>
                <w:rFonts w:ascii="宋体" w:hAnsi="宋体" w:cs="宋体"/>
                <w:color w:val="auto"/>
                <w:highlight w:val="none"/>
              </w:rPr>
            </w:pPr>
            <w:r>
              <w:rPr>
                <w:rFonts w:hint="eastAsia"/>
                <w:color w:val="auto"/>
                <w:highlight w:val="none"/>
              </w:rPr>
              <w:t>人员配备</w:t>
            </w:r>
          </w:p>
        </w:tc>
        <w:tc>
          <w:tcPr>
            <w:tcW w:w="883" w:type="dxa"/>
            <w:vAlign w:val="center"/>
          </w:tcPr>
          <w:p>
            <w:pPr>
              <w:rPr>
                <w:rFonts w:eastAsia="宋体"/>
                <w:color w:val="auto"/>
                <w:highlight w:val="none"/>
              </w:rPr>
            </w:pPr>
            <w:r>
              <w:rPr>
                <w:rFonts w:hint="eastAsia"/>
                <w:color w:val="auto"/>
                <w:highlight w:val="none"/>
              </w:rPr>
              <w:t>14</w:t>
            </w:r>
          </w:p>
        </w:tc>
        <w:tc>
          <w:tcPr>
            <w:tcW w:w="6888" w:type="dxa"/>
            <w:vAlign w:val="center"/>
          </w:tcPr>
          <w:p>
            <w:pPr>
              <w:pStyle w:val="47"/>
              <w:numPr>
                <w:ilvl w:val="0"/>
                <w:numId w:val="2"/>
              </w:numPr>
              <w:jc w:val="both"/>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项目负责人具有给水排水专业类正高级职称的得2分；具有给水排水专业类高级职称的得1分，本项最高得2分。</w:t>
            </w:r>
          </w:p>
          <w:p>
            <w:pPr>
              <w:pStyle w:val="47"/>
              <w:jc w:val="both"/>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2、项目组成人员（项目负责人除外）中：</w:t>
            </w:r>
          </w:p>
          <w:p>
            <w:pPr>
              <w:pStyle w:val="47"/>
              <w:jc w:val="both"/>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技术负责人：同时具备注册公用设备工程师（给水排水）、注册咨询工程师、注册环保工程师，并具有给水排水专业类正高级职称的得2分；同时具备注册公用设备工程师（给水排水）、注册咨询工程师、注册环保工程师，并具有给水排水专业类高级职称的得1分，本项最高得2分。</w:t>
            </w:r>
          </w:p>
          <w:p>
            <w:pPr>
              <w:pStyle w:val="47"/>
              <w:jc w:val="both"/>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（2）给排水专业负责人：具备注册公用设备工程师（给水排水）且具有给水排水专业类正高级职称的得2分；具备注册公用设备工程师（给水排水）且具有给水排水专业类高级职称的得1分，本项最高得2分。</w:t>
            </w:r>
          </w:p>
          <w:p>
            <w:pPr>
              <w:pStyle w:val="47"/>
              <w:jc w:val="both"/>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（3）环境专业负责人：具备注册环保工程师且具有环境工程专业类正高级职称的得2分；具备注册环保工程师且具有环境工程专业类高级职称的得1分，本项最高得2分。</w:t>
            </w:r>
          </w:p>
          <w:p>
            <w:pPr>
              <w:pStyle w:val="47"/>
              <w:jc w:val="both"/>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（4）结构专业负责人：具备一级注册结构工程师且具有结构专业类正高级职称的得2分；具备一级注册结构工程师且具有结构专业类高级职称的得1分，本项最高得2分。</w:t>
            </w:r>
          </w:p>
          <w:p>
            <w:pPr>
              <w:pStyle w:val="47"/>
              <w:jc w:val="both"/>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（5）电气专业负责人：具备注册电气工程师（供配电）且具有电气专业类正高级职称的得2分，具备注册电气工程师（供配电）且具有电气专业类高级职称的得1分，本项最高得2分。</w:t>
            </w:r>
          </w:p>
          <w:p>
            <w:pPr>
              <w:pStyle w:val="47"/>
              <w:jc w:val="both"/>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（6）农污设备专业负责人：具备设备制造或机械制造专业类正高级职称的得2分；具备设备制造或机械制造专业类高级职称的得1分，本项最高得2分。</w:t>
            </w:r>
          </w:p>
          <w:p>
            <w:pPr>
              <w:rPr>
                <w:color w:val="auto"/>
                <w:highlight w:val="none"/>
              </w:rPr>
            </w:pPr>
            <w:r>
              <w:rPr>
                <w:rFonts w:hint="eastAsia"/>
                <w:color w:val="auto"/>
                <w:highlight w:val="none"/>
              </w:rPr>
              <w:t>注：</w:t>
            </w:r>
          </w:p>
          <w:p>
            <w:pPr>
              <w:rPr>
                <w:color w:val="auto"/>
                <w:highlight w:val="none"/>
                <w:lang w:val="en-GB"/>
              </w:rPr>
            </w:pPr>
            <w:r>
              <w:rPr>
                <w:rFonts w:hint="eastAsia"/>
                <w:color w:val="auto"/>
                <w:highlight w:val="none"/>
              </w:rPr>
              <w:t>(1)提供拟派人员证书扫描件</w:t>
            </w:r>
            <w:r>
              <w:rPr>
                <w:rFonts w:hint="eastAsia"/>
                <w:color w:val="auto"/>
                <w:highlight w:val="none"/>
                <w:lang w:val="en-GB"/>
              </w:rPr>
              <w:t>，</w:t>
            </w:r>
            <w:r>
              <w:rPr>
                <w:rFonts w:hint="eastAsia"/>
                <w:color w:val="auto"/>
                <w:highlight w:val="none"/>
              </w:rPr>
              <w:t>未提供不得分</w:t>
            </w:r>
            <w:r>
              <w:rPr>
                <w:rFonts w:hint="eastAsia"/>
                <w:color w:val="auto"/>
                <w:highlight w:val="none"/>
                <w:lang w:val="en-GB"/>
              </w:rPr>
              <w:t>。</w:t>
            </w:r>
          </w:p>
          <w:p>
            <w:pPr>
              <w:rPr>
                <w:color w:val="auto"/>
                <w:highlight w:val="none"/>
              </w:rPr>
            </w:pPr>
            <w:r>
              <w:rPr>
                <w:rFonts w:hint="eastAsia"/>
                <w:color w:val="auto"/>
                <w:highlight w:val="none"/>
              </w:rPr>
              <w:t>(2)须保证拟派人员均为本单位的正式职工，并确保从投标截止之日起（当月不算）向前半年任意两个月均已在本单位缴纳养老保险。投标人须提供养老保险的证明材料扫描件，注明缴费起止时间且加盖社保部门有效章印。也可提供印有社会保险管理中心参保缴费证明电子专用章的养老保险缴费清单和参保缴费证明查询途径。事业单位不需提供，但需提供人社部门出具的该单位及项目组人员事业性质证明。未提供或提供不全未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80" w:type="dxa"/>
            <w:vAlign w:val="center"/>
          </w:tcPr>
          <w:p>
            <w:pPr>
              <w:rPr>
                <w:color w:val="auto"/>
                <w:highlight w:val="none"/>
              </w:rPr>
            </w:pPr>
          </w:p>
        </w:tc>
        <w:tc>
          <w:tcPr>
            <w:tcW w:w="1495" w:type="dxa"/>
            <w:vAlign w:val="center"/>
          </w:tcPr>
          <w:p>
            <w:pPr>
              <w:rPr>
                <w:color w:val="auto"/>
                <w:highlight w:val="none"/>
              </w:rPr>
            </w:pPr>
            <w:r>
              <w:rPr>
                <w:rFonts w:hint="eastAsia"/>
                <w:color w:val="auto"/>
                <w:highlight w:val="none"/>
              </w:rPr>
              <w:t>企业综合实力</w:t>
            </w:r>
          </w:p>
        </w:tc>
        <w:tc>
          <w:tcPr>
            <w:tcW w:w="883" w:type="dxa"/>
            <w:vAlign w:val="center"/>
          </w:tcPr>
          <w:p>
            <w:pPr>
              <w:rPr>
                <w:color w:val="auto"/>
                <w:highlight w:val="none"/>
              </w:rPr>
            </w:pPr>
            <w:r>
              <w:rPr>
                <w:rFonts w:hint="eastAsia"/>
                <w:color w:val="auto"/>
                <w:highlight w:val="none"/>
              </w:rPr>
              <w:t>6</w:t>
            </w:r>
          </w:p>
        </w:tc>
        <w:tc>
          <w:tcPr>
            <w:tcW w:w="6888" w:type="dxa"/>
            <w:vAlign w:val="center"/>
          </w:tcPr>
          <w:p>
            <w:pPr>
              <w:rPr>
                <w:color w:val="auto"/>
                <w:highlight w:val="none"/>
              </w:rPr>
            </w:pPr>
            <w:r>
              <w:rPr>
                <w:rFonts w:hint="eastAsia"/>
                <w:color w:val="auto"/>
                <w:highlight w:val="none"/>
              </w:rPr>
              <w:t>1、投标人自2021年1月以来（</w:t>
            </w:r>
            <w:r>
              <w:rPr>
                <w:color w:val="auto"/>
                <w:highlight w:val="none"/>
              </w:rPr>
              <w:t>时间以竣工验收证明为准</w:t>
            </w:r>
            <w:r>
              <w:rPr>
                <w:rFonts w:hint="eastAsia"/>
                <w:color w:val="auto"/>
                <w:highlight w:val="none"/>
              </w:rPr>
              <w:t>），承担的农村污水处理项目获得过省级及以上设计奖项的得2分。</w:t>
            </w:r>
          </w:p>
          <w:p>
            <w:pPr>
              <w:rPr>
                <w:color w:val="auto"/>
                <w:highlight w:val="none"/>
              </w:rPr>
            </w:pPr>
            <w:r>
              <w:rPr>
                <w:rFonts w:hint="eastAsia"/>
                <w:color w:val="auto"/>
                <w:highlight w:val="none"/>
              </w:rPr>
              <w:t>2、投标人获得过“全国勘察设计行业创优型企业”的，得2分，本项最高得2分；</w:t>
            </w:r>
          </w:p>
          <w:p>
            <w:pPr>
              <w:rPr>
                <w:color w:val="auto"/>
                <w:highlight w:val="none"/>
              </w:rPr>
            </w:pPr>
            <w:r>
              <w:rPr>
                <w:rFonts w:hint="eastAsia"/>
                <w:color w:val="auto"/>
                <w:highlight w:val="none"/>
              </w:rPr>
              <w:t>3、项目负责人获得过省级及以上设计奖项的得2分。</w:t>
            </w:r>
          </w:p>
          <w:p>
            <w:pPr>
              <w:rPr>
                <w:color w:val="auto"/>
                <w:highlight w:val="none"/>
                <w:lang w:val="en-GB"/>
              </w:rPr>
            </w:pPr>
            <w:r>
              <w:rPr>
                <w:rFonts w:hint="eastAsia"/>
                <w:color w:val="auto"/>
                <w:highlight w:val="none"/>
                <w:lang w:val="en-GB"/>
              </w:rPr>
              <w:t>注：提供成果奖励、奖项、荣誉等相应证明材料</w:t>
            </w:r>
            <w:r>
              <w:rPr>
                <w:rFonts w:hint="eastAsia"/>
                <w:color w:val="auto"/>
                <w:highlight w:val="none"/>
              </w:rPr>
              <w:t>扫描件</w:t>
            </w:r>
            <w:r>
              <w:rPr>
                <w:rFonts w:hint="eastAsia"/>
                <w:color w:val="auto"/>
                <w:highlight w:val="none"/>
                <w:lang w:val="en-GB"/>
              </w:rPr>
              <w:t>，</w:t>
            </w:r>
            <w:r>
              <w:rPr>
                <w:rFonts w:hint="eastAsia"/>
                <w:color w:val="auto"/>
                <w:highlight w:val="none"/>
              </w:rPr>
              <w:t>未提供不得分</w:t>
            </w:r>
            <w:r>
              <w:rPr>
                <w:rFonts w:hint="eastAsia"/>
                <w:color w:val="auto"/>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80" w:type="dxa"/>
            <w:vAlign w:val="center"/>
          </w:tcPr>
          <w:p>
            <w:pPr>
              <w:rPr>
                <w:rFonts w:ascii="宋体" w:hAnsi="宋体" w:cs="宋体"/>
                <w:color w:val="auto"/>
                <w:highlight w:val="none"/>
              </w:rPr>
            </w:pPr>
            <w:r>
              <w:rPr>
                <w:rFonts w:hint="eastAsia"/>
                <w:color w:val="auto"/>
                <w:highlight w:val="none"/>
              </w:rPr>
              <w:t>5</w:t>
            </w:r>
          </w:p>
        </w:tc>
        <w:tc>
          <w:tcPr>
            <w:tcW w:w="1495" w:type="dxa"/>
            <w:vAlign w:val="center"/>
          </w:tcPr>
          <w:p>
            <w:pPr>
              <w:rPr>
                <w:rFonts w:ascii="宋体" w:hAnsi="宋体" w:cs="宋体"/>
                <w:color w:val="auto"/>
                <w:highlight w:val="none"/>
                <w:lang w:val="en-GB"/>
              </w:rPr>
            </w:pPr>
            <w:r>
              <w:rPr>
                <w:color w:val="auto"/>
                <w:highlight w:val="none"/>
              </w:rPr>
              <w:t>诚信投标</w:t>
            </w:r>
          </w:p>
        </w:tc>
        <w:tc>
          <w:tcPr>
            <w:tcW w:w="883" w:type="dxa"/>
            <w:vAlign w:val="center"/>
          </w:tcPr>
          <w:p>
            <w:pPr>
              <w:rPr>
                <w:rFonts w:ascii="宋体" w:hAnsi="宋体" w:cs="宋体"/>
                <w:color w:val="auto"/>
                <w:highlight w:val="none"/>
              </w:rPr>
            </w:pPr>
            <w:r>
              <w:rPr>
                <w:color w:val="auto"/>
                <w:highlight w:val="none"/>
              </w:rPr>
              <w:t>1</w:t>
            </w:r>
          </w:p>
        </w:tc>
        <w:tc>
          <w:tcPr>
            <w:tcW w:w="6888" w:type="dxa"/>
            <w:vAlign w:val="center"/>
          </w:tcPr>
          <w:p>
            <w:pPr>
              <w:rPr>
                <w:rFonts w:ascii="宋体" w:hAnsi="宋体" w:cs="宋体"/>
                <w:color w:val="auto"/>
                <w:highlight w:val="none"/>
              </w:rPr>
            </w:pPr>
            <w:r>
              <w:rPr>
                <w:color w:val="auto"/>
                <w:highlight w:val="none"/>
              </w:rPr>
              <w:t>投标人</w:t>
            </w:r>
            <w:r>
              <w:rPr>
                <w:rFonts w:hint="eastAsia"/>
                <w:color w:val="auto"/>
                <w:highlight w:val="none"/>
              </w:rPr>
              <w:t>提供盐城市大丰区政府招标采购供应商承诺书的，得1分</w:t>
            </w:r>
            <w:r>
              <w:rPr>
                <w:color w:val="auto"/>
                <w:highlight w:val="none"/>
              </w:rPr>
              <w:t>；没有提供的不得分。</w:t>
            </w:r>
          </w:p>
        </w:tc>
      </w:tr>
    </w:tbl>
    <w:p>
      <w:pPr>
        <w:pStyle w:val="5"/>
        <w:spacing w:before="0" w:after="0" w:line="460" w:lineRule="exact"/>
        <w:ind w:firstLine="420" w:firstLineChars="200"/>
        <w:rPr>
          <w:rFonts w:ascii="宋体" w:hAnsi="宋体" w:cs="宋体"/>
          <w:color w:val="auto"/>
          <w:szCs w:val="21"/>
          <w:highlight w:val="none"/>
        </w:rPr>
      </w:pPr>
      <w:r>
        <w:rPr>
          <w:rFonts w:hint="eastAsia" w:ascii="宋体" w:hAnsi="宋体" w:eastAsia="宋体"/>
          <w:color w:val="auto"/>
          <w:kern w:val="0"/>
          <w:sz w:val="21"/>
          <w:szCs w:val="21"/>
          <w:highlight w:val="none"/>
        </w:rPr>
        <w:t>评委应记名打分，打分未记名的或未按招标文件规定的评标办法打分的，一律按无效打分处理。取所有评委的有效分值进行计分、汇总；各项汇总时，每大项记分保留三位小数（第四位四舍五入）；总得分汇总时保留两位小数（第三位四舍五入）。</w:t>
      </w:r>
    </w:p>
    <w:p>
      <w:pPr>
        <w:spacing w:line="46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3.评标程序</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 评标准备</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3.1.1 评标委员会成员到达评标现场时应在签到表上签到（或通过门禁系统签到）以证明其出席。</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3.1.2 评标委员会成员首先推选一名评标委员会负责人，负责评标活动的组织领导工作。</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3.1.3 招标人或招标代理机构应向评标委员会提供评标所需的信息和数据。评标委员会负责人应组织评标委员会成员认真研究招标文件，未在招标文件中规定的标准和方法不得作为评标的依据。</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 初步评审</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3.2.1评标委员会依据本章第2.1 款规定的标准对投标文件进行初步评审。</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3.2.2投标文件不符合本章第2.1款评审标准的，属于重大偏差，视为未能对招标文件作出实质性响应，应当作为无效投标予以否决。</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3.2.3对照投标人须知6.4款，投标文件有上述情况之一，视为未能对招标文件作出实质性响应，凡招标文件未明确标明无效标条款的，评标委员会不得作为判定无效投标的依据。</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3.2.4 投标报价有算术错误的，评标委员会按以下原则对投标报价进行修正，修正的价格经投标人书面确认后具有约束力。</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(1）投标文件中的大写金额与小写金额不一致的，以大写金额为准；</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(2）总价金额与依据单价计算出的结果不一致的，以单价金额为准修正总价，但单价金额小数点有明显错误的除外。</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3.2.5只有通过初步评审的投标文件才能进入详细评审。</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 详细评审</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3.3.1 在详细评审发现符合“无效标书条款”的，应当作为无效投标予以否决，其投标报价亦不作为评标基准价A值的依据。</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3.3.2 评标委员会按本章第2.2款规定的量化因素和分值进行打分，并计算出综合评估得分。</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3.3.3 评分分值计算保留小数点后两位，小数点后第三位“四舍五入”。</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 投标文件的澄清和补正</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3.4.2 澄清、说明和补正不得改变投标文件的实质性内容（算术性错误修正的除外）。投标人的书面澄清、说明和补正属于投标文件的组成部分。</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3.4.3 评标委员会对投标人提交的澄清、说明或补正有疑问的，可以要求投标人进一步澄清、说明或补正。</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3.5 推荐中标候选人或直接确定中标人</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3.5.1 除投标人须知前附表授权直接确定中标人外，评标委员会在推荐中标候选人时，应遵照以下原则:</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评标委员会按照最终得分由高至低的次序排列，并根据投标人须知前附表规定的中标候选人数量，将排序在前的投标人推荐为中标候选人。</w:t>
      </w:r>
    </w:p>
    <w:p>
      <w:pP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3.6 提交评标报告 </w:t>
      </w:r>
    </w:p>
    <w:p>
      <w:pPr>
        <w:spacing w:line="460" w:lineRule="exact"/>
        <w:ind w:firstLine="420" w:firstLineChars="200"/>
        <w:rPr>
          <w:rFonts w:ascii="宋体" w:hAnsi="宋体" w:cs="宋体"/>
          <w:color w:val="auto"/>
          <w:sz w:val="24"/>
          <w:highlight w:val="none"/>
        </w:rPr>
      </w:pPr>
      <w:r>
        <w:rPr>
          <w:rFonts w:hint="eastAsia" w:ascii="宋体" w:hAnsi="宋体" w:cs="宋体"/>
          <w:color w:val="auto"/>
          <w:szCs w:val="21"/>
          <w:highlight w:val="none"/>
        </w:rPr>
        <w:t>评标委员会完成评标后，应当向招标人提交书面评标报告。评标报告应当由全体评标委员会成员签字，并于评标结束时抄送有关行政监督部门。</w:t>
      </w:r>
    </w:p>
    <w:bookmarkEnd w:id="414"/>
    <w:bookmarkEnd w:id="415"/>
    <w:bookmarkEnd w:id="416"/>
    <w:bookmarkEnd w:id="417"/>
    <w:p>
      <w:pPr>
        <w:pStyle w:val="2"/>
        <w:spacing w:before="0" w:after="0" w:line="360" w:lineRule="auto"/>
        <w:rPr>
          <w:rFonts w:ascii="宋体" w:hAnsi="宋体" w:cs="宋体"/>
          <w:color w:val="auto"/>
          <w:highlight w:val="none"/>
        </w:rPr>
      </w:pPr>
      <w:bookmarkStart w:id="418" w:name="_Toc1147"/>
      <w:bookmarkStart w:id="419" w:name="_Toc508216951"/>
      <w:r>
        <w:rPr>
          <w:rFonts w:hint="eastAsia" w:ascii="宋体" w:hAnsi="宋体" w:cs="宋体"/>
          <w:color w:val="auto"/>
          <w:highlight w:val="none"/>
        </w:rPr>
        <w:br w:type="page"/>
      </w:r>
      <w:r>
        <w:rPr>
          <w:rFonts w:hint="eastAsia" w:ascii="宋体" w:hAnsi="宋体" w:cs="宋体"/>
          <w:color w:val="auto"/>
          <w:highlight w:val="none"/>
        </w:rPr>
        <w:t>第四章  合同条款及格式</w:t>
      </w:r>
      <w:bookmarkEnd w:id="418"/>
      <w:bookmarkEnd w:id="419"/>
      <w:bookmarkStart w:id="420" w:name="_Toc397928630"/>
      <w:bookmarkStart w:id="421" w:name="_Toc508216954"/>
      <w:bookmarkStart w:id="422" w:name="_Toc7525"/>
    </w:p>
    <w:p>
      <w:pPr>
        <w:pStyle w:val="12"/>
        <w:adjustRightInd w:val="0"/>
        <w:snapToGrid w:val="0"/>
        <w:spacing w:line="500" w:lineRule="exact"/>
        <w:ind w:firstLine="3610" w:firstLineChars="999"/>
        <w:rPr>
          <w:rFonts w:hAnsi="宋体"/>
          <w:b/>
          <w:color w:val="auto"/>
          <w:kern w:val="44"/>
          <w:sz w:val="36"/>
          <w:szCs w:val="36"/>
          <w:highlight w:val="none"/>
        </w:rPr>
      </w:pPr>
      <w:bookmarkStart w:id="423" w:name="第二部分_通用合同条款"/>
      <w:bookmarkEnd w:id="423"/>
    </w:p>
    <w:p>
      <w:pPr>
        <w:pStyle w:val="12"/>
        <w:adjustRightInd w:val="0"/>
        <w:snapToGrid w:val="0"/>
        <w:spacing w:line="500" w:lineRule="exact"/>
        <w:ind w:firstLine="3610" w:firstLineChars="999"/>
        <w:rPr>
          <w:rFonts w:hAnsi="宋体"/>
          <w:b/>
          <w:color w:val="auto"/>
          <w:kern w:val="44"/>
          <w:sz w:val="30"/>
          <w:szCs w:val="30"/>
          <w:highlight w:val="none"/>
        </w:rPr>
      </w:pPr>
      <w:r>
        <w:rPr>
          <w:rFonts w:hint="eastAsia" w:hAnsi="宋体"/>
          <w:b/>
          <w:color w:val="auto"/>
          <w:kern w:val="44"/>
          <w:sz w:val="36"/>
          <w:szCs w:val="36"/>
          <w:highlight w:val="none"/>
        </w:rPr>
        <w:t>第一部分 协议</w:t>
      </w:r>
      <w:r>
        <w:rPr>
          <w:rFonts w:hint="eastAsia" w:hAnsi="宋体" w:cs="宋体"/>
          <w:b/>
          <w:bCs/>
          <w:color w:val="auto"/>
          <w:sz w:val="36"/>
          <w:szCs w:val="36"/>
          <w:highlight w:val="none"/>
        </w:rPr>
        <w:t>书</w:t>
      </w:r>
    </w:p>
    <w:p>
      <w:pPr>
        <w:pStyle w:val="12"/>
        <w:snapToGrid w:val="0"/>
        <w:spacing w:line="500" w:lineRule="exact"/>
        <w:jc w:val="left"/>
        <w:rPr>
          <w:rFonts w:hAnsi="宋体" w:cs="宋体"/>
          <w:color w:val="auto"/>
          <w:sz w:val="21"/>
          <w:szCs w:val="21"/>
          <w:highlight w:val="none"/>
          <w:u w:val="single"/>
        </w:rPr>
      </w:pPr>
      <w:r>
        <w:rPr>
          <w:rFonts w:hint="eastAsia" w:hAnsi="宋体" w:cs="宋体"/>
          <w:color w:val="auto"/>
          <w:sz w:val="21"/>
          <w:szCs w:val="21"/>
          <w:highlight w:val="none"/>
          <w:u w:val="single"/>
        </w:rPr>
        <w:t>甲方：盐城市大丰区城镇净水有限公司</w:t>
      </w:r>
    </w:p>
    <w:p>
      <w:pPr>
        <w:pStyle w:val="12"/>
        <w:snapToGrid w:val="0"/>
        <w:spacing w:line="500" w:lineRule="exact"/>
        <w:jc w:val="left"/>
        <w:rPr>
          <w:rFonts w:hAnsi="宋体" w:cs="宋体"/>
          <w:color w:val="auto"/>
          <w:sz w:val="21"/>
          <w:szCs w:val="21"/>
          <w:highlight w:val="none"/>
          <w:u w:val="single"/>
        </w:rPr>
      </w:pPr>
      <w:r>
        <w:rPr>
          <w:rFonts w:hint="eastAsia" w:hAnsi="宋体" w:cs="宋体"/>
          <w:color w:val="auto"/>
          <w:sz w:val="21"/>
          <w:szCs w:val="21"/>
          <w:highlight w:val="none"/>
          <w:u w:val="single"/>
        </w:rPr>
        <w:t>乙方：（中标方）</w:t>
      </w:r>
    </w:p>
    <w:p>
      <w:pPr>
        <w:pStyle w:val="12"/>
        <w:snapToGrid w:val="0"/>
        <w:spacing w:before="231" w:after="231" w:line="380" w:lineRule="exact"/>
        <w:ind w:firstLine="420" w:firstLineChars="200"/>
        <w:rPr>
          <w:rFonts w:hAnsi="宋体" w:cs="宋体"/>
          <w:bCs/>
          <w:color w:val="auto"/>
          <w:sz w:val="21"/>
          <w:szCs w:val="21"/>
          <w:highlight w:val="none"/>
          <w:lang w:val="zh-CN"/>
        </w:rPr>
      </w:pPr>
      <w:r>
        <w:rPr>
          <w:rFonts w:hint="eastAsia" w:hAnsi="宋体" w:cs="宋体"/>
          <w:bCs/>
          <w:color w:val="auto"/>
          <w:sz w:val="21"/>
          <w:szCs w:val="21"/>
          <w:highlight w:val="none"/>
          <w:lang w:val="zh-CN"/>
        </w:rPr>
        <w:t>根据招标文件及中标人的投标文件和中标通知书，甲乙双方就此次中标的</w:t>
      </w:r>
      <w:r>
        <w:rPr>
          <w:rFonts w:hint="eastAsia" w:hAnsi="宋体" w:cs="宋体"/>
          <w:bCs/>
          <w:color w:val="auto"/>
          <w:sz w:val="21"/>
          <w:szCs w:val="21"/>
          <w:highlight w:val="none"/>
          <w:u w:val="single"/>
        </w:rPr>
        <w:t xml:space="preserve"> 2024年大丰区农村生活污水治理排查、方案编制、设计项目</w:t>
      </w:r>
      <w:r>
        <w:rPr>
          <w:rFonts w:hint="eastAsia" w:hAnsi="宋体" w:cs="宋体"/>
          <w:bCs/>
          <w:color w:val="auto"/>
          <w:sz w:val="21"/>
          <w:szCs w:val="21"/>
          <w:highlight w:val="none"/>
          <w:lang w:val="zh-CN"/>
        </w:rPr>
        <w:t>事宜，签订本合同书。</w:t>
      </w:r>
    </w:p>
    <w:p>
      <w:pPr>
        <w:pStyle w:val="12"/>
        <w:numPr>
          <w:ilvl w:val="0"/>
          <w:numId w:val="3"/>
        </w:numPr>
        <w:tabs>
          <w:tab w:val="left" w:pos="6383"/>
        </w:tabs>
        <w:snapToGrid w:val="0"/>
        <w:spacing w:before="231" w:after="231" w:line="380" w:lineRule="exact"/>
        <w:rPr>
          <w:rFonts w:hAnsi="宋体" w:cs="宋体"/>
          <w:b/>
          <w:color w:val="auto"/>
          <w:sz w:val="21"/>
          <w:szCs w:val="21"/>
          <w:highlight w:val="none"/>
        </w:rPr>
      </w:pPr>
      <w:r>
        <w:rPr>
          <w:rFonts w:hint="eastAsia" w:hAnsi="宋体" w:cs="宋体"/>
          <w:b/>
          <w:color w:val="auto"/>
          <w:sz w:val="21"/>
          <w:szCs w:val="21"/>
          <w:highlight w:val="none"/>
        </w:rPr>
        <w:t>采购内容</w:t>
      </w:r>
    </w:p>
    <w:p>
      <w:pPr>
        <w:pStyle w:val="12"/>
        <w:tabs>
          <w:tab w:val="left" w:pos="6383"/>
        </w:tabs>
        <w:snapToGrid w:val="0"/>
        <w:spacing w:before="231" w:after="231" w:line="380" w:lineRule="exact"/>
        <w:ind w:firstLine="435"/>
        <w:rPr>
          <w:rFonts w:hAnsi="宋体" w:cs="宋体"/>
          <w:b/>
          <w:color w:val="auto"/>
          <w:sz w:val="21"/>
          <w:szCs w:val="21"/>
          <w:highlight w:val="none"/>
        </w:rPr>
      </w:pPr>
      <w:r>
        <w:rPr>
          <w:rFonts w:hint="eastAsia" w:hAnsi="宋体" w:cs="宋体"/>
          <w:b/>
          <w:color w:val="auto"/>
          <w:sz w:val="21"/>
          <w:szCs w:val="21"/>
          <w:highlight w:val="none"/>
        </w:rPr>
        <w:t>包括但不限于本工程实施范围对大丰区内</w:t>
      </w:r>
      <w:r>
        <w:rPr>
          <w:rFonts w:hAnsi="宋体" w:cs="宋体"/>
          <w:b/>
          <w:color w:val="auto"/>
          <w:sz w:val="21"/>
          <w:szCs w:val="21"/>
          <w:highlight w:val="none"/>
        </w:rPr>
        <w:t xml:space="preserve">2 </w:t>
      </w:r>
      <w:r>
        <w:rPr>
          <w:rFonts w:hint="eastAsia" w:hAnsi="宋体" w:cs="宋体"/>
          <w:b/>
          <w:color w:val="auto"/>
          <w:sz w:val="21"/>
          <w:szCs w:val="21"/>
          <w:highlight w:val="none"/>
        </w:rPr>
        <w:t>个街道（大中街道、丰华街道）、</w:t>
      </w:r>
      <w:r>
        <w:rPr>
          <w:rFonts w:hAnsi="宋体" w:cs="宋体"/>
          <w:b/>
          <w:color w:val="auto"/>
          <w:sz w:val="21"/>
          <w:szCs w:val="21"/>
          <w:highlight w:val="none"/>
        </w:rPr>
        <w:t xml:space="preserve">9 </w:t>
      </w:r>
      <w:r>
        <w:rPr>
          <w:rFonts w:hint="eastAsia" w:hAnsi="宋体" w:cs="宋体"/>
          <w:b/>
          <w:color w:val="auto"/>
          <w:sz w:val="21"/>
          <w:szCs w:val="21"/>
          <w:highlight w:val="none"/>
        </w:rPr>
        <w:t>个乡镇（万盈镇、白驹镇、小海镇、新丰镇、刘庄镇、三龙镇、草堰镇、大桥镇、草庙镇），涉及</w:t>
      </w:r>
      <w:r>
        <w:rPr>
          <w:rFonts w:hAnsi="宋体" w:cs="宋体"/>
          <w:b/>
          <w:color w:val="auto"/>
          <w:sz w:val="21"/>
          <w:szCs w:val="21"/>
          <w:highlight w:val="none"/>
        </w:rPr>
        <w:t xml:space="preserve">28 </w:t>
      </w:r>
      <w:r>
        <w:rPr>
          <w:rFonts w:hint="eastAsia" w:hAnsi="宋体" w:cs="宋体"/>
          <w:b/>
          <w:color w:val="auto"/>
          <w:sz w:val="21"/>
          <w:szCs w:val="21"/>
          <w:highlight w:val="none"/>
        </w:rPr>
        <w:t>个行政村，38个自然村的生活污水治理进行调研、排查，确定每个村的实施范围、户数、治理方式等内容，根据调研排查结果进行方案编制、初步设计、设计概算、施工图设计、施工期间的现场指导和配合服务、为完成工程竣工验收的配合服务等；</w:t>
      </w:r>
    </w:p>
    <w:p>
      <w:pPr>
        <w:pStyle w:val="12"/>
        <w:tabs>
          <w:tab w:val="left" w:pos="6383"/>
        </w:tabs>
        <w:snapToGrid w:val="0"/>
        <w:spacing w:before="231" w:after="231" w:line="380" w:lineRule="exact"/>
        <w:ind w:firstLine="435"/>
        <w:rPr>
          <w:rFonts w:hAnsi="宋体" w:cs="宋体"/>
          <w:bCs/>
          <w:color w:val="auto"/>
          <w:sz w:val="21"/>
          <w:szCs w:val="21"/>
          <w:highlight w:val="none"/>
        </w:rPr>
      </w:pPr>
      <w:r>
        <w:rPr>
          <w:rFonts w:hint="eastAsia" w:hAnsi="宋体" w:cs="宋体"/>
          <w:bCs/>
          <w:color w:val="auto"/>
          <w:sz w:val="21"/>
          <w:szCs w:val="21"/>
          <w:highlight w:val="none"/>
        </w:rPr>
        <w:t>（1）乙方必须制订详细的进度计划表，严格按照计划表开展服务工作。</w:t>
      </w:r>
    </w:p>
    <w:p>
      <w:pPr>
        <w:pStyle w:val="12"/>
        <w:tabs>
          <w:tab w:val="left" w:pos="6383"/>
        </w:tabs>
        <w:snapToGrid w:val="0"/>
        <w:spacing w:before="231" w:after="231" w:line="380" w:lineRule="exact"/>
        <w:ind w:firstLine="435"/>
        <w:rPr>
          <w:rFonts w:hAnsi="宋体" w:cs="宋体"/>
          <w:bCs/>
          <w:color w:val="auto"/>
          <w:sz w:val="21"/>
          <w:szCs w:val="21"/>
          <w:highlight w:val="none"/>
        </w:rPr>
      </w:pPr>
      <w:r>
        <w:rPr>
          <w:rFonts w:hint="eastAsia" w:hAnsi="宋体" w:cs="宋体"/>
          <w:bCs/>
          <w:color w:val="auto"/>
          <w:sz w:val="21"/>
          <w:szCs w:val="21"/>
          <w:highlight w:val="none"/>
        </w:rPr>
        <w:t>（2）乙方应组织专业的工作团队，并按照约定的工作任务和时间节点开展工作。工作团队要任命并保持一名经验丰富的项目负责人，负责与甲方之间的联系以及工作安排。本项目团队在工作期间应保持稳定和连续，原则上不能进行项目人员变动，如有变动、调整，需甲方同意，并报甲方备案。</w:t>
      </w:r>
    </w:p>
    <w:p>
      <w:pPr>
        <w:pStyle w:val="12"/>
        <w:tabs>
          <w:tab w:val="left" w:pos="6383"/>
        </w:tabs>
        <w:snapToGrid w:val="0"/>
        <w:spacing w:before="231" w:after="231" w:line="380" w:lineRule="exact"/>
        <w:ind w:firstLine="435"/>
        <w:rPr>
          <w:rFonts w:hAnsi="宋体" w:cs="宋体"/>
          <w:bCs/>
          <w:color w:val="auto"/>
          <w:sz w:val="21"/>
          <w:szCs w:val="21"/>
          <w:highlight w:val="none"/>
        </w:rPr>
      </w:pPr>
      <w:r>
        <w:rPr>
          <w:rFonts w:hint="eastAsia" w:hAnsi="宋体" w:cs="宋体"/>
          <w:bCs/>
          <w:color w:val="auto"/>
          <w:sz w:val="21"/>
          <w:szCs w:val="21"/>
          <w:highlight w:val="none"/>
        </w:rPr>
        <w:t>（3）乙方应承诺在项目完成时将本项目全部相关的文件、资料等文档汇集成册交付甲方，所有相关资料不得外泄。</w:t>
      </w:r>
    </w:p>
    <w:p>
      <w:pPr>
        <w:pStyle w:val="12"/>
        <w:tabs>
          <w:tab w:val="left" w:pos="6383"/>
        </w:tabs>
        <w:snapToGrid w:val="0"/>
        <w:spacing w:before="231" w:after="231" w:line="380" w:lineRule="exact"/>
        <w:rPr>
          <w:rFonts w:hAnsi="宋体" w:cs="宋体"/>
          <w:b/>
          <w:color w:val="auto"/>
          <w:sz w:val="21"/>
          <w:szCs w:val="21"/>
          <w:highlight w:val="none"/>
        </w:rPr>
      </w:pPr>
      <w:r>
        <w:rPr>
          <w:rFonts w:hint="eastAsia" w:hAnsi="宋体" w:cs="宋体"/>
          <w:b/>
          <w:color w:val="auto"/>
          <w:sz w:val="21"/>
          <w:szCs w:val="21"/>
          <w:highlight w:val="none"/>
        </w:rPr>
        <w:t>二、合同金额</w:t>
      </w:r>
    </w:p>
    <w:p>
      <w:pPr>
        <w:pStyle w:val="12"/>
        <w:snapToGrid w:val="0"/>
        <w:spacing w:before="231" w:after="231" w:line="380" w:lineRule="exact"/>
        <w:ind w:left="359" w:hanging="359" w:hangingChars="171"/>
        <w:rPr>
          <w:rFonts w:hAnsi="宋体" w:cs="宋体"/>
          <w:color w:val="auto"/>
          <w:sz w:val="21"/>
          <w:szCs w:val="21"/>
          <w:highlight w:val="none"/>
        </w:rPr>
      </w:pPr>
      <w:r>
        <w:rPr>
          <w:rFonts w:hint="eastAsia" w:hAnsi="宋体" w:cs="宋体"/>
          <w:color w:val="auto"/>
          <w:sz w:val="21"/>
          <w:szCs w:val="21"/>
          <w:highlight w:val="none"/>
        </w:rPr>
        <w:t xml:space="preserve">    本合同金额为（大写）：</w:t>
      </w:r>
      <w:r>
        <w:rPr>
          <w:rFonts w:hint="eastAsia" w:hAnsi="宋体" w:cs="宋体"/>
          <w:color w:val="auto"/>
          <w:sz w:val="21"/>
          <w:szCs w:val="21"/>
          <w:highlight w:val="none"/>
          <w:u w:val="single"/>
        </w:rPr>
        <w:t xml:space="preserve">         </w:t>
      </w:r>
      <w:r>
        <w:rPr>
          <w:rFonts w:hint="eastAsia" w:hAnsi="宋体" w:cs="宋体"/>
          <w:color w:val="auto"/>
          <w:kern w:val="0"/>
          <w:sz w:val="21"/>
          <w:szCs w:val="21"/>
          <w:highlight w:val="none"/>
          <w:u w:val="single"/>
        </w:rPr>
        <w:t>元整</w:t>
      </w:r>
      <w:r>
        <w:rPr>
          <w:rFonts w:hint="eastAsia" w:hAnsi="宋体" w:cs="宋体"/>
          <w:color w:val="auto"/>
          <w:sz w:val="21"/>
          <w:szCs w:val="21"/>
          <w:highlight w:val="none"/>
        </w:rPr>
        <w:t>（￥</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元）人民币（含税价，税率</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合同价款包括乙方为完成本项目服务可能发生的全部费用及利润和税金等。</w:t>
      </w:r>
    </w:p>
    <w:p>
      <w:pPr>
        <w:pStyle w:val="12"/>
        <w:snapToGrid w:val="0"/>
        <w:spacing w:before="231" w:after="231" w:line="380" w:lineRule="exact"/>
        <w:rPr>
          <w:rFonts w:hAnsi="宋体" w:cs="宋体"/>
          <w:b/>
          <w:color w:val="auto"/>
          <w:sz w:val="21"/>
          <w:szCs w:val="21"/>
          <w:highlight w:val="none"/>
        </w:rPr>
      </w:pPr>
      <w:r>
        <w:rPr>
          <w:rFonts w:hint="eastAsia" w:hAnsi="宋体" w:cs="宋体"/>
          <w:b/>
          <w:color w:val="auto"/>
          <w:sz w:val="21"/>
          <w:szCs w:val="21"/>
          <w:highlight w:val="none"/>
        </w:rPr>
        <w:t>三、技术资料</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1.乙方应按招标文件规定的时间向甲方提供使用服务的有关资料。</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2. 没有甲方事先书面同意，乙方不得将由甲方提供的有关合同或任何合同条文、计划或资料提供给与履行本合同无关的任何其他人。即使向履行本合同有关的人员提供，也应注意保密并限于履行合同的必需范围。</w:t>
      </w:r>
    </w:p>
    <w:p>
      <w:pPr>
        <w:pStyle w:val="12"/>
        <w:snapToGrid w:val="0"/>
        <w:spacing w:before="231" w:after="231" w:line="380" w:lineRule="exact"/>
        <w:ind w:left="360" w:hanging="361" w:hangingChars="171"/>
        <w:rPr>
          <w:rFonts w:hAnsi="宋体" w:cs="宋体"/>
          <w:b/>
          <w:color w:val="auto"/>
          <w:sz w:val="21"/>
          <w:szCs w:val="21"/>
          <w:highlight w:val="none"/>
        </w:rPr>
      </w:pPr>
      <w:r>
        <w:rPr>
          <w:rFonts w:hint="eastAsia" w:hAnsi="宋体" w:cs="宋体"/>
          <w:b/>
          <w:color w:val="auto"/>
          <w:sz w:val="21"/>
          <w:szCs w:val="21"/>
          <w:highlight w:val="none"/>
        </w:rPr>
        <w:t>四、知识产权</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color w:val="auto"/>
          <w:sz w:val="21"/>
          <w:szCs w:val="21"/>
          <w:highlight w:val="none"/>
        </w:rPr>
        <w:t>乙方应保证所提供的服务或其任何一部分均不会侵犯任何第三方的知识产权</w:t>
      </w:r>
      <w:r>
        <w:rPr>
          <w:rFonts w:hint="eastAsia" w:hAnsi="宋体" w:cs="宋体"/>
          <w:bCs/>
          <w:color w:val="auto"/>
          <w:sz w:val="21"/>
          <w:szCs w:val="21"/>
          <w:highlight w:val="none"/>
        </w:rPr>
        <w:t>。合同履行过程中产生的各类成果的知识产权归甲方所有。</w:t>
      </w:r>
    </w:p>
    <w:p>
      <w:pPr>
        <w:pStyle w:val="12"/>
        <w:snapToGrid w:val="0"/>
        <w:spacing w:before="231" w:after="231" w:line="380" w:lineRule="exact"/>
        <w:ind w:left="358" w:hanging="358" w:hangingChars="170"/>
        <w:rPr>
          <w:rFonts w:hAnsi="宋体" w:cs="宋体"/>
          <w:b/>
          <w:color w:val="auto"/>
          <w:sz w:val="21"/>
          <w:szCs w:val="21"/>
          <w:highlight w:val="none"/>
        </w:rPr>
      </w:pPr>
      <w:r>
        <w:rPr>
          <w:rFonts w:hint="eastAsia" w:hAnsi="宋体" w:cs="宋体"/>
          <w:b/>
          <w:color w:val="auto"/>
          <w:sz w:val="21"/>
          <w:szCs w:val="21"/>
          <w:highlight w:val="none"/>
        </w:rPr>
        <w:t>五、转包或分包</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1.本合同范围的服务，应由乙方直接提供，不得转让他人提供；</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2.除非得到甲方的书面同意，乙方不得将本合同范围的主要服务内容分包给他人提供；</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3.如有主要服务内容转让、分包的行为，甲方有权解除合同，并追究乙方的违约责任。</w:t>
      </w:r>
    </w:p>
    <w:p>
      <w:pPr>
        <w:pStyle w:val="12"/>
        <w:snapToGrid w:val="0"/>
        <w:spacing w:before="231" w:after="231" w:line="380" w:lineRule="exact"/>
        <w:rPr>
          <w:rFonts w:hAnsi="宋体" w:cs="宋体"/>
          <w:b/>
          <w:color w:val="auto"/>
          <w:sz w:val="21"/>
          <w:szCs w:val="21"/>
          <w:highlight w:val="none"/>
        </w:rPr>
      </w:pPr>
      <w:r>
        <w:rPr>
          <w:rFonts w:hint="eastAsia" w:hAnsi="宋体" w:cs="宋体"/>
          <w:b/>
          <w:color w:val="auto"/>
          <w:sz w:val="21"/>
          <w:szCs w:val="21"/>
          <w:highlight w:val="none"/>
        </w:rPr>
        <w:t>六、合同履行期限、供货地点、履约保证金</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1.合同履行期限：</w:t>
      </w:r>
      <w:r>
        <w:rPr>
          <w:rFonts w:hint="eastAsia" w:hAnsi="宋体" w:cs="宋体"/>
          <w:bCs/>
          <w:color w:val="auto"/>
          <w:sz w:val="21"/>
          <w:szCs w:val="21"/>
          <w:highlight w:val="none"/>
          <w:u w:val="single"/>
        </w:rPr>
        <w:t xml:space="preserve">   </w:t>
      </w:r>
      <w:r>
        <w:rPr>
          <w:rFonts w:hint="eastAsia" w:hAnsi="宋体" w:cs="宋体"/>
          <w:bCs/>
          <w:color w:val="auto"/>
          <w:sz w:val="21"/>
          <w:szCs w:val="21"/>
          <w:highlight w:val="none"/>
        </w:rPr>
        <w:t>日历天。</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2.服务地点：盐城市大丰区城镇净水有限公司</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3</w:t>
      </w:r>
      <w:r>
        <w:rPr>
          <w:rFonts w:hAnsi="宋体" w:cs="宋体"/>
          <w:bCs/>
          <w:color w:val="auto"/>
          <w:sz w:val="21"/>
          <w:szCs w:val="21"/>
          <w:highlight w:val="none"/>
        </w:rPr>
        <w:t>.</w:t>
      </w:r>
      <w:r>
        <w:rPr>
          <w:rFonts w:hint="eastAsia" w:hAnsi="宋体" w:cs="宋体"/>
          <w:bCs/>
          <w:color w:val="auto"/>
          <w:sz w:val="21"/>
          <w:szCs w:val="21"/>
          <w:highlight w:val="none"/>
        </w:rPr>
        <w:t>乙方交纳人民币</w:t>
      </w:r>
      <w:r>
        <w:rPr>
          <w:rFonts w:hint="eastAsia" w:hAnsi="宋体" w:cs="宋体"/>
          <w:bCs/>
          <w:color w:val="auto"/>
          <w:sz w:val="21"/>
          <w:szCs w:val="21"/>
          <w:highlight w:val="none"/>
          <w:u w:val="single"/>
        </w:rPr>
        <w:t xml:space="preserve"> </w:t>
      </w:r>
      <w:r>
        <w:rPr>
          <w:rFonts w:hAnsi="宋体" w:cs="宋体"/>
          <w:bCs/>
          <w:color w:val="auto"/>
          <w:sz w:val="21"/>
          <w:szCs w:val="21"/>
          <w:highlight w:val="none"/>
          <w:u w:val="single"/>
        </w:rPr>
        <w:t xml:space="preserve">         </w:t>
      </w:r>
      <w:r>
        <w:rPr>
          <w:rFonts w:hint="eastAsia" w:hAnsi="宋体" w:cs="宋体"/>
          <w:bCs/>
          <w:color w:val="auto"/>
          <w:sz w:val="21"/>
          <w:szCs w:val="21"/>
          <w:highlight w:val="none"/>
        </w:rPr>
        <w:t>元（小写：</w:t>
      </w:r>
      <w:r>
        <w:rPr>
          <w:rFonts w:hint="eastAsia" w:hAnsi="宋体" w:cs="宋体"/>
          <w:bCs/>
          <w:color w:val="auto"/>
          <w:sz w:val="21"/>
          <w:szCs w:val="21"/>
          <w:highlight w:val="none"/>
          <w:u w:val="single"/>
        </w:rPr>
        <w:t xml:space="preserve"> </w:t>
      </w:r>
      <w:r>
        <w:rPr>
          <w:rFonts w:hAnsi="宋体" w:cs="宋体"/>
          <w:bCs/>
          <w:color w:val="auto"/>
          <w:sz w:val="21"/>
          <w:szCs w:val="21"/>
          <w:highlight w:val="none"/>
          <w:u w:val="single"/>
        </w:rPr>
        <w:t xml:space="preserve">        </w:t>
      </w:r>
      <w:r>
        <w:rPr>
          <w:rFonts w:hint="eastAsia" w:hAnsi="宋体" w:cs="宋体"/>
          <w:bCs/>
          <w:color w:val="auto"/>
          <w:sz w:val="21"/>
          <w:szCs w:val="21"/>
          <w:highlight w:val="none"/>
        </w:rPr>
        <w:t>元）作为本合同的履约保证金，签订合同前缴纳，待本合同期满后，乙方向甲方提交退还履约保证金申请函，在乙方完成成果后并无违约情况下，甲方在 30 日内无息退还履约保证金。</w:t>
      </w:r>
    </w:p>
    <w:p>
      <w:pPr>
        <w:pStyle w:val="12"/>
        <w:snapToGrid w:val="0"/>
        <w:spacing w:before="231" w:after="231" w:line="380" w:lineRule="exact"/>
        <w:rPr>
          <w:rFonts w:hAnsi="宋体" w:cs="宋体"/>
          <w:b/>
          <w:color w:val="auto"/>
          <w:sz w:val="21"/>
          <w:szCs w:val="21"/>
          <w:highlight w:val="none"/>
        </w:rPr>
      </w:pPr>
      <w:r>
        <w:rPr>
          <w:rFonts w:hint="eastAsia" w:hAnsi="宋体" w:cs="宋体"/>
          <w:b/>
          <w:color w:val="auto"/>
          <w:sz w:val="21"/>
          <w:szCs w:val="21"/>
          <w:highlight w:val="none"/>
        </w:rPr>
        <w:t>七</w:t>
      </w:r>
      <w:r>
        <w:rPr>
          <w:rFonts w:hint="eastAsia" w:hAnsi="宋体" w:cs="宋体"/>
          <w:bCs/>
          <w:color w:val="auto"/>
          <w:sz w:val="21"/>
          <w:szCs w:val="21"/>
          <w:highlight w:val="none"/>
        </w:rPr>
        <w:t>、</w:t>
      </w:r>
      <w:r>
        <w:rPr>
          <w:rFonts w:hint="eastAsia" w:hAnsi="宋体" w:cs="宋体"/>
          <w:b/>
          <w:color w:val="auto"/>
          <w:sz w:val="21"/>
          <w:szCs w:val="21"/>
          <w:highlight w:val="none"/>
        </w:rPr>
        <w:t>付款支付：合同签订后付10%预付款，完成成果后且经发包人审核通过后付至合同价的70%；工程竣工验收合格后付至合同价款90%，工程经审计后结清余款，按以上进度付款无任何利息补偿。结算时，乙方须向甲方提供税务发票，对于满足合同约定支付条件的，甲方应当自收到发票后10个工作日内支付。（在签订合同时，供应商明确表示无需预付款或者主动要求降低预付款比例的，采购人可不适用上述规定。）</w:t>
      </w:r>
    </w:p>
    <w:p>
      <w:pPr>
        <w:pStyle w:val="12"/>
        <w:snapToGrid w:val="0"/>
        <w:spacing w:before="231" w:after="231" w:line="380" w:lineRule="exact"/>
        <w:rPr>
          <w:rFonts w:hAnsi="宋体" w:cs="宋体"/>
          <w:b/>
          <w:color w:val="auto"/>
          <w:sz w:val="21"/>
          <w:szCs w:val="21"/>
          <w:highlight w:val="none"/>
        </w:rPr>
      </w:pPr>
      <w:r>
        <w:rPr>
          <w:rFonts w:hint="eastAsia" w:hAnsi="宋体" w:cs="宋体"/>
          <w:b/>
          <w:color w:val="auto"/>
          <w:sz w:val="21"/>
          <w:szCs w:val="21"/>
          <w:highlight w:val="none"/>
        </w:rPr>
        <w:t>八、税费</w:t>
      </w:r>
    </w:p>
    <w:p>
      <w:pPr>
        <w:snapToGrid w:val="0"/>
        <w:spacing w:before="158" w:beforeLines="50" w:after="158" w:afterLines="50"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本合同执行中相关的税费按照国家相关规定执行</w:t>
      </w:r>
      <w:r>
        <w:rPr>
          <w:rFonts w:hint="eastAsia" w:ascii="宋体" w:hAnsi="宋体" w:cs="宋体"/>
          <w:color w:val="auto"/>
          <w:szCs w:val="21"/>
          <w:highlight w:val="none"/>
          <w:lang w:val="en-US" w:eastAsia="zh-CN"/>
        </w:rPr>
        <w:t>,</w:t>
      </w:r>
      <w:r>
        <w:rPr>
          <w:rFonts w:hint="eastAsia"/>
          <w:lang w:eastAsia="zh-CN"/>
        </w:rPr>
        <w:t>税费由乙方承担</w:t>
      </w:r>
      <w:r>
        <w:rPr>
          <w:rFonts w:hint="eastAsia" w:ascii="宋体" w:hAnsi="宋体" w:cs="宋体"/>
          <w:color w:val="auto"/>
          <w:szCs w:val="21"/>
          <w:highlight w:val="none"/>
        </w:rPr>
        <w:t>。</w:t>
      </w:r>
    </w:p>
    <w:p>
      <w:pPr>
        <w:pStyle w:val="12"/>
        <w:snapToGrid w:val="0"/>
        <w:spacing w:before="231" w:after="231" w:line="380" w:lineRule="exact"/>
        <w:rPr>
          <w:rFonts w:hAnsi="宋体" w:cs="宋体"/>
          <w:b/>
          <w:color w:val="auto"/>
          <w:sz w:val="21"/>
          <w:szCs w:val="21"/>
          <w:highlight w:val="none"/>
        </w:rPr>
      </w:pPr>
      <w:r>
        <w:rPr>
          <w:rFonts w:hint="eastAsia" w:hAnsi="宋体" w:cs="宋体"/>
          <w:b/>
          <w:color w:val="auto"/>
          <w:sz w:val="21"/>
          <w:szCs w:val="21"/>
          <w:highlight w:val="none"/>
        </w:rPr>
        <w:t>九、成果报告</w:t>
      </w:r>
    </w:p>
    <w:p>
      <w:pPr>
        <w:pStyle w:val="12"/>
        <w:snapToGrid w:val="0"/>
        <w:spacing w:before="231" w:after="231"/>
        <w:ind w:firstLine="420" w:firstLineChars="200"/>
        <w:rPr>
          <w:rFonts w:hAnsi="宋体" w:cs="宋体"/>
          <w:color w:val="auto"/>
          <w:sz w:val="21"/>
          <w:szCs w:val="21"/>
          <w:highlight w:val="none"/>
        </w:rPr>
      </w:pPr>
      <w:r>
        <w:rPr>
          <w:rFonts w:hint="eastAsia" w:hAnsi="宋体" w:cs="宋体"/>
          <w:color w:val="auto"/>
          <w:sz w:val="21"/>
          <w:szCs w:val="21"/>
          <w:highlight w:val="none"/>
        </w:rPr>
        <w:t>按采购需求提交相关服务成果。</w:t>
      </w:r>
    </w:p>
    <w:p>
      <w:pPr>
        <w:pStyle w:val="12"/>
        <w:snapToGrid w:val="0"/>
        <w:spacing w:before="231" w:after="231" w:line="380" w:lineRule="exact"/>
        <w:rPr>
          <w:rFonts w:hAnsi="宋体" w:cs="宋体"/>
          <w:b/>
          <w:color w:val="auto"/>
          <w:sz w:val="21"/>
          <w:szCs w:val="21"/>
          <w:highlight w:val="none"/>
        </w:rPr>
      </w:pPr>
      <w:r>
        <w:rPr>
          <w:rFonts w:hint="eastAsia" w:hAnsi="宋体" w:cs="宋体"/>
          <w:b/>
          <w:color w:val="auto"/>
          <w:sz w:val="21"/>
          <w:szCs w:val="21"/>
          <w:highlight w:val="none"/>
        </w:rPr>
        <w:t>十、违约责任</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1. 甲方无正当理由拒收成果的，甲方向乙方偿付拒收服务成果总值的万分之五违约金。</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2. 甲方无故逾期验收和办理服务款项支付手续的,甲方应按逾期付款总额每日万分之一向乙方支付违约金。</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3. 乙方逾期的，乙方应按每日1000元向甲方支付违约金，由甲方从待付服务款项中扣除。乙方因逾期或因其他违约行为导致甲方解除合同的，乙方应向甲方支付合同总值5%的违约金，如造成甲方损失超过违约金的，超出部分由乙方</w:t>
      </w:r>
      <w:r>
        <w:rPr>
          <w:rFonts w:hint="eastAsia" w:hAnsi="宋体" w:cs="宋体"/>
          <w:bCs/>
          <w:color w:val="auto"/>
          <w:sz w:val="21"/>
          <w:szCs w:val="21"/>
          <w:highlight w:val="none"/>
          <w:lang w:eastAsia="zh-CN"/>
        </w:rPr>
        <w:t>另外</w:t>
      </w:r>
      <w:r>
        <w:rPr>
          <w:rFonts w:hint="eastAsia" w:hAnsi="宋体" w:cs="宋体"/>
          <w:bCs/>
          <w:color w:val="auto"/>
          <w:sz w:val="21"/>
          <w:szCs w:val="21"/>
          <w:highlight w:val="none"/>
        </w:rPr>
        <w:t>继续承担赔偿责任</w:t>
      </w:r>
      <w:r>
        <w:rPr>
          <w:rFonts w:hint="eastAsia" w:hAnsi="宋体" w:cs="宋体"/>
          <w:bCs/>
          <w:color w:val="auto"/>
          <w:sz w:val="21"/>
          <w:szCs w:val="21"/>
          <w:highlight w:val="none"/>
          <w:lang w:eastAsia="zh-CN"/>
        </w:rPr>
        <w:t>（包括但不限于甲方维权产生的所在费用，如律师费等相关费用）</w:t>
      </w:r>
      <w:r>
        <w:rPr>
          <w:rFonts w:hint="eastAsia" w:hAnsi="宋体" w:cs="宋体"/>
          <w:bCs/>
          <w:color w:val="auto"/>
          <w:sz w:val="21"/>
          <w:szCs w:val="21"/>
          <w:highlight w:val="none"/>
        </w:rPr>
        <w:t xml:space="preserve">。 </w:t>
      </w:r>
    </w:p>
    <w:p>
      <w:pPr>
        <w:pStyle w:val="12"/>
        <w:snapToGrid w:val="0"/>
        <w:spacing w:before="231" w:after="231" w:line="380" w:lineRule="exact"/>
        <w:rPr>
          <w:rFonts w:hAnsi="宋体" w:cs="宋体"/>
          <w:b/>
          <w:color w:val="auto"/>
          <w:sz w:val="21"/>
          <w:szCs w:val="21"/>
          <w:highlight w:val="none"/>
        </w:rPr>
      </w:pPr>
      <w:r>
        <w:rPr>
          <w:rFonts w:hint="eastAsia" w:hAnsi="宋体" w:cs="宋体"/>
          <w:b/>
          <w:color w:val="auto"/>
          <w:sz w:val="21"/>
          <w:szCs w:val="21"/>
          <w:highlight w:val="none"/>
        </w:rPr>
        <w:t>十一、不可抗力事件处理</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1. 在合同有效期内，任何一方因不可抗力事件导致不能履行合同，则合同履行期可延长，其延长期与不可抗力影响期相同。</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2. 不可抗力事件发生后，应立即通知对方，并寄送有关权威机构出具的证明。</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3. 不可抗力事件延续</w:t>
      </w:r>
      <w:r>
        <w:rPr>
          <w:rFonts w:hint="eastAsia" w:hAnsi="宋体" w:cs="宋体"/>
          <w:bCs/>
          <w:color w:val="auto"/>
          <w:sz w:val="21"/>
          <w:szCs w:val="21"/>
          <w:highlight w:val="none"/>
          <w:lang w:val="en-US" w:eastAsia="zh-CN"/>
        </w:rPr>
        <w:t>90</w:t>
      </w:r>
      <w:r>
        <w:rPr>
          <w:rFonts w:hint="eastAsia" w:hAnsi="宋体" w:cs="宋体"/>
          <w:bCs/>
          <w:color w:val="auto"/>
          <w:sz w:val="21"/>
          <w:szCs w:val="21"/>
          <w:highlight w:val="none"/>
        </w:rPr>
        <w:t>天以上，双方应通过友好协商，确定是否继续履行合同。</w:t>
      </w:r>
    </w:p>
    <w:p>
      <w:pPr>
        <w:pStyle w:val="12"/>
        <w:snapToGrid w:val="0"/>
        <w:spacing w:before="231" w:after="231" w:line="380" w:lineRule="exact"/>
        <w:rPr>
          <w:rFonts w:hAnsi="宋体" w:cs="宋体"/>
          <w:b/>
          <w:color w:val="auto"/>
          <w:sz w:val="21"/>
          <w:szCs w:val="21"/>
          <w:highlight w:val="none"/>
        </w:rPr>
      </w:pPr>
      <w:r>
        <w:rPr>
          <w:rFonts w:hint="eastAsia" w:hAnsi="宋体" w:cs="宋体"/>
          <w:b/>
          <w:color w:val="auto"/>
          <w:sz w:val="21"/>
          <w:szCs w:val="21"/>
          <w:highlight w:val="none"/>
        </w:rPr>
        <w:t>十二、诉讼</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 xml:space="preserve"> 双方在执行合同中所发生的一切争议，应通过协商解决。如协商不成，可向甲方所在地法院起诉。</w:t>
      </w:r>
    </w:p>
    <w:p>
      <w:pPr>
        <w:pStyle w:val="12"/>
        <w:snapToGrid w:val="0"/>
        <w:spacing w:before="231" w:after="231" w:line="380" w:lineRule="exact"/>
        <w:rPr>
          <w:rFonts w:hAnsi="宋体" w:cs="宋体"/>
          <w:b/>
          <w:color w:val="auto"/>
          <w:sz w:val="21"/>
          <w:szCs w:val="21"/>
          <w:highlight w:val="none"/>
        </w:rPr>
      </w:pPr>
      <w:r>
        <w:rPr>
          <w:rFonts w:hint="eastAsia" w:hAnsi="宋体" w:cs="宋体"/>
          <w:b/>
          <w:color w:val="auto"/>
          <w:sz w:val="21"/>
          <w:szCs w:val="21"/>
          <w:highlight w:val="none"/>
        </w:rPr>
        <w:t>十三、合同生效及其它</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1. 合同经双方法定代表人或授权代表签字并加盖单位公章后生效。</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2.合同执行中涉及采购资金和采购内容修改或补充的，须经有关部门审批，并签书面补充协议报政府采购监督管理部门备案，方可作为主合同不可分割的一部分。</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3.本合同未尽事宜，遵照《民法典》有关条文执行。</w:t>
      </w:r>
    </w:p>
    <w:p>
      <w:pPr>
        <w:pStyle w:val="12"/>
        <w:snapToGrid w:val="0"/>
        <w:spacing w:before="231" w:after="231" w:line="380" w:lineRule="exact"/>
        <w:ind w:firstLine="420" w:firstLineChars="200"/>
        <w:rPr>
          <w:rFonts w:hAnsi="宋体" w:cs="宋体"/>
          <w:bCs/>
          <w:color w:val="auto"/>
          <w:sz w:val="21"/>
          <w:szCs w:val="21"/>
          <w:highlight w:val="none"/>
        </w:rPr>
      </w:pPr>
      <w:r>
        <w:rPr>
          <w:rFonts w:hint="eastAsia" w:hAnsi="宋体" w:cs="宋体"/>
          <w:bCs/>
          <w:color w:val="auto"/>
          <w:sz w:val="21"/>
          <w:szCs w:val="21"/>
          <w:highlight w:val="none"/>
        </w:rPr>
        <w:t>4.本合同一式四份，具有同等法律效力，甲乙双方各执贰份。</w:t>
      </w:r>
    </w:p>
    <w:p>
      <w:pPr>
        <w:pStyle w:val="12"/>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 xml:space="preserve">甲方：盐城市大丰区城镇净水有限公司  </w:t>
      </w:r>
      <w:r>
        <w:rPr>
          <w:rFonts w:hAnsi="宋体" w:cs="宋体"/>
          <w:color w:val="auto"/>
          <w:sz w:val="21"/>
          <w:szCs w:val="21"/>
          <w:highlight w:val="none"/>
        </w:rPr>
        <w:t xml:space="preserve">      </w:t>
      </w:r>
      <w:r>
        <w:rPr>
          <w:rFonts w:hint="eastAsia" w:hAnsi="宋体" w:cs="宋体"/>
          <w:color w:val="auto"/>
          <w:sz w:val="21"/>
          <w:szCs w:val="21"/>
          <w:highlight w:val="none"/>
        </w:rPr>
        <w:t xml:space="preserve">      乙方：  </w:t>
      </w:r>
    </w:p>
    <w:p>
      <w:pPr>
        <w:pStyle w:val="12"/>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法定代表人:                    法定代表人： </w:t>
      </w:r>
    </w:p>
    <w:p>
      <w:pPr>
        <w:pStyle w:val="12"/>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或授权代理人：                   或授权代理人： </w:t>
      </w:r>
    </w:p>
    <w:p>
      <w:pPr>
        <w:pStyle w:val="12"/>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开户银行：                  </w:t>
      </w:r>
      <w:r>
        <w:rPr>
          <w:rFonts w:hAnsi="宋体" w:cs="宋体"/>
          <w:color w:val="auto"/>
          <w:sz w:val="21"/>
          <w:szCs w:val="21"/>
          <w:highlight w:val="none"/>
        </w:rPr>
        <w:t xml:space="preserve"> </w:t>
      </w:r>
      <w:r>
        <w:rPr>
          <w:rFonts w:hint="eastAsia" w:hAnsi="宋体" w:cs="宋体"/>
          <w:color w:val="auto"/>
          <w:sz w:val="21"/>
          <w:szCs w:val="21"/>
          <w:highlight w:val="none"/>
        </w:rPr>
        <w:t xml:space="preserve">  开户银行： </w:t>
      </w:r>
    </w:p>
    <w:p>
      <w:pPr>
        <w:pStyle w:val="12"/>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账号：                    </w:t>
      </w:r>
      <w:r>
        <w:rPr>
          <w:rFonts w:hAnsi="宋体" w:cs="宋体"/>
          <w:color w:val="auto"/>
          <w:sz w:val="21"/>
          <w:szCs w:val="21"/>
          <w:highlight w:val="none"/>
        </w:rPr>
        <w:t xml:space="preserve"> </w:t>
      </w:r>
      <w:r>
        <w:rPr>
          <w:rFonts w:hint="eastAsia" w:hAnsi="宋体" w:cs="宋体"/>
          <w:color w:val="auto"/>
          <w:sz w:val="21"/>
          <w:szCs w:val="21"/>
          <w:highlight w:val="none"/>
        </w:rPr>
        <w:t xml:space="preserve">  账号： </w:t>
      </w:r>
    </w:p>
    <w:p>
      <w:pPr>
        <w:pStyle w:val="12"/>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联 系 人：                     联 系 人： </w:t>
      </w:r>
    </w:p>
    <w:p>
      <w:pPr>
        <w:pStyle w:val="12"/>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 xml:space="preserve">时间： </w:t>
      </w:r>
      <w:r>
        <w:rPr>
          <w:rFonts w:hAnsi="宋体" w:cs="宋体"/>
          <w:color w:val="auto"/>
          <w:sz w:val="21"/>
          <w:szCs w:val="21"/>
          <w:highlight w:val="none"/>
        </w:rPr>
        <w:t xml:space="preserve"> </w:t>
      </w:r>
      <w:r>
        <w:rPr>
          <w:rFonts w:hint="eastAsia" w:hAnsi="宋体" w:cs="宋体"/>
          <w:color w:val="auto"/>
          <w:sz w:val="21"/>
          <w:szCs w:val="21"/>
          <w:highlight w:val="none"/>
        </w:rPr>
        <w:t>年  月</w:t>
      </w:r>
      <w:r>
        <w:rPr>
          <w:rFonts w:hAnsi="宋体" w:cs="宋体"/>
          <w:color w:val="auto"/>
          <w:sz w:val="21"/>
          <w:szCs w:val="21"/>
          <w:highlight w:val="none"/>
        </w:rPr>
        <w:t xml:space="preserve">  </w:t>
      </w:r>
      <w:r>
        <w:rPr>
          <w:rFonts w:hint="eastAsia" w:hAnsi="宋体" w:cs="宋体"/>
          <w:color w:val="auto"/>
          <w:sz w:val="21"/>
          <w:szCs w:val="21"/>
          <w:highlight w:val="none"/>
        </w:rPr>
        <w:t xml:space="preserve"> 日             </w:t>
      </w:r>
      <w:r>
        <w:rPr>
          <w:rFonts w:hAnsi="宋体" w:cs="宋体"/>
          <w:color w:val="auto"/>
          <w:sz w:val="21"/>
          <w:szCs w:val="21"/>
          <w:highlight w:val="none"/>
        </w:rPr>
        <w:t xml:space="preserve"> </w:t>
      </w:r>
      <w:r>
        <w:rPr>
          <w:rFonts w:hint="eastAsia" w:hAnsi="宋体" w:cs="宋体"/>
          <w:color w:val="auto"/>
          <w:sz w:val="21"/>
          <w:szCs w:val="21"/>
          <w:highlight w:val="none"/>
        </w:rPr>
        <w:t xml:space="preserve">  时间：  年  月  日 </w:t>
      </w:r>
    </w:p>
    <w:p>
      <w:pPr>
        <w:pStyle w:val="12"/>
        <w:adjustRightInd w:val="0"/>
        <w:snapToGrid w:val="0"/>
        <w:spacing w:line="500" w:lineRule="exact"/>
        <w:ind w:firstLine="560" w:firstLineChars="200"/>
        <w:rPr>
          <w:rFonts w:hAnsi="宋体" w:cs="宋体"/>
          <w:color w:val="auto"/>
          <w:sz w:val="21"/>
          <w:szCs w:val="21"/>
          <w:highlight w:val="none"/>
        </w:rPr>
      </w:pPr>
      <w:r>
        <w:rPr>
          <w:rFonts w:hAnsi="宋体"/>
          <w:color w:val="auto"/>
          <w:highlight w:val="none"/>
        </w:rPr>
        <w:br w:type="page"/>
      </w:r>
    </w:p>
    <w:p>
      <w:pPr>
        <w:jc w:val="center"/>
        <w:rPr>
          <w:rFonts w:ascii="宋体" w:hAnsi="宋体" w:cs="宋体"/>
          <w:b/>
          <w:color w:val="auto"/>
          <w:szCs w:val="21"/>
          <w:highlight w:val="none"/>
        </w:rPr>
      </w:pPr>
      <w:r>
        <w:rPr>
          <w:rFonts w:hint="eastAsia" w:ascii="宋体" w:hAnsi="宋体" w:cs="宋体"/>
          <w:b/>
          <w:color w:val="auto"/>
          <w:szCs w:val="21"/>
          <w:highlight w:val="none"/>
        </w:rPr>
        <w:t>廉政合同</w:t>
      </w:r>
    </w:p>
    <w:p>
      <w:pPr>
        <w:jc w:val="center"/>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根据有关工程建设、廉政建设的规定，为做好项目实施过程中的党风廉政建设，保证工程项目的高效优质，保证建设资金的安全和有效使用以及投资效益，</w:t>
      </w:r>
      <w:r>
        <w:rPr>
          <w:rFonts w:hint="eastAsia" w:ascii="宋体" w:hAnsi="宋体" w:cs="宋体"/>
          <w:color w:val="auto"/>
          <w:szCs w:val="21"/>
          <w:highlight w:val="none"/>
          <w:u w:val="single"/>
        </w:rPr>
        <w:t>招标人名称</w:t>
      </w:r>
      <w:r>
        <w:rPr>
          <w:rFonts w:hint="eastAsia" w:ascii="宋体" w:hAnsi="宋体" w:cs="宋体"/>
          <w:color w:val="auto"/>
          <w:szCs w:val="21"/>
          <w:highlight w:val="none"/>
        </w:rPr>
        <w:t>（以下简称“委托人”）与</w:t>
      </w:r>
      <w:r>
        <w:rPr>
          <w:rFonts w:hint="eastAsia" w:ascii="宋体" w:hAnsi="宋体" w:cs="宋体"/>
          <w:color w:val="auto"/>
          <w:szCs w:val="21"/>
          <w:highlight w:val="none"/>
          <w:u w:val="single"/>
        </w:rPr>
        <w:t>中标人名称</w:t>
      </w:r>
      <w:r>
        <w:rPr>
          <w:rFonts w:hint="eastAsia" w:ascii="宋体" w:hAnsi="宋体" w:cs="宋体"/>
          <w:color w:val="auto"/>
          <w:szCs w:val="21"/>
          <w:highlight w:val="none"/>
        </w:rPr>
        <w:t>（以下简称“受托人”）特订立如下合同。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1．委托人和受托人双方的权利和义务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（1）严格遵守党的政策规定和国家有关法律法规及建设部的有关规定。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（2）严格执行</w:t>
      </w:r>
      <w:r>
        <w:rPr>
          <w:rFonts w:hint="eastAsia" w:ascii="宋体" w:hAnsi="宋体" w:cs="宋体"/>
          <w:color w:val="auto"/>
          <w:szCs w:val="21"/>
          <w:highlight w:val="none"/>
          <w:u w:val="single"/>
        </w:rPr>
        <w:t xml:space="preserve">     （项目名称）      </w:t>
      </w:r>
      <w:r>
        <w:rPr>
          <w:rFonts w:hint="eastAsia" w:ascii="宋体" w:hAnsi="宋体" w:cs="宋体"/>
          <w:color w:val="auto"/>
          <w:szCs w:val="21"/>
          <w:highlight w:val="none"/>
        </w:rPr>
        <w:t>合同文件，自觉按合同办事。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（3）双方的业务活动坚持公开、公正、诚信、透明的原则（法律认定的商业秘密和合同文件另有规定除外），不得损害国家和集体利益，不得违反工程建设管理规章制度。</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（4）建立健全廉政制度，开展廉政教育，设立廉政告示牌，公布举报电话，监督并认真查处违法违纪行为。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（5）发现对方在业务活动中有违反廉政规定的行为，有及时提醒对方纠正的权利和义务。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（6）发现对方严重违反本合同义务条款的行为，有向其上级有关部门举报、建议给予处理并要求告知处理结果的权利。</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2．委托人的义务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（1）委托人及其工作人员不得索要或接受承包人的礼金、有价证券和贵重物品，不得让受托人报销任何应由委托人或委托人工作人员个人支付的费用等。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（2）委托人工作人员不得参加委托人安排的超标准宴请和娱乐活动；不得接受委托人提供的通讯工具、交通工具和高档办公用品等。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（3）委托人及其工作人员不利要求或者接受受托人为其住房装修、婚丧嫁娶活动、配偶子女的工作安排以及出国出境、旅游等提供方便等。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（4）委托人工作人员及其配偶、子女不得从事与委托人工作有关的材料设备供应、工程分包、劳务等经济活动等。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（5）委托人及其工作人员不得以任何理由向受托人推荐分包单位或推销材料，不得要求受托人购买合同规定外的材料和设备。</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（6）委托人工作人员要秉公办事，不准营私舞弊，不准利用职权从事各种个人有偿中介活动。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（7）因委托人原因造成停、窝工时，委托人向乙方支付相应费用，标准按实际进场人员计算，每人100元/每天，服务期限顺延。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3．受托人的义务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（1）受托人不得以任何理由向委托人及其工作人员行贿或馈赠礼金、有价证券、贵重礼品。</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（2）受托人不得以任何名义为委托人及其工作人员报销应由委托人单位或个人支付的任何费用。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（3）受托人不得以任何理由安排委托人工作人员参加超标准宴请及娱乐活动。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（4）受托人不得为委托人单位和个人购置或提供通讯工具、交通工具和高档办公用品等。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4．违约责任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（1）委托人及其工作人员违反本合同第1、2条，按管理权限，依据有关规定给予党纪、政纪或组织处理；涉嫌犯罪的，移交司法机关追究刑事责任；给受托人单位造成经济损失的，应予以赔偿。</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受托人及其工作人员违反本合同第1、3条，按管理权限，依据有关规定给予党纪、政纪或组织处理；给委托人单位造成经济损失的，应予以赔偿；情节严重的，委托人建议相关部门给予承包人一至三年内不得进入建设市场的处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 本合同由双方代表签字，加盖双方公章或合同专用章，待上级主管部门要求申报项目，按中标顺序滚动，乙方获得服务资格后生效，至该工程项目竣工验收后失效。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6．本合同作为</w:t>
      </w:r>
      <w:r>
        <w:rPr>
          <w:rFonts w:hint="eastAsia" w:ascii="宋体" w:hAnsi="宋体" w:cs="宋体"/>
          <w:color w:val="auto"/>
          <w:szCs w:val="21"/>
          <w:highlight w:val="none"/>
          <w:u w:val="single"/>
        </w:rPr>
        <w:t xml:space="preserve">   （项目名称）    </w:t>
      </w:r>
      <w:r>
        <w:rPr>
          <w:rFonts w:hint="eastAsia" w:ascii="宋体" w:hAnsi="宋体" w:cs="宋体"/>
          <w:color w:val="auto"/>
          <w:szCs w:val="21"/>
          <w:highlight w:val="none"/>
        </w:rPr>
        <w:t>合同的附件，与合同具有同等的法律效力，经合同双方签署后立即生效。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7．本合同一式</w:t>
      </w:r>
      <w:r>
        <w:rPr>
          <w:rFonts w:hint="eastAsia" w:ascii="宋体" w:hAnsi="宋体" w:cs="宋体"/>
          <w:color w:val="auto"/>
          <w:szCs w:val="21"/>
          <w:highlight w:val="none"/>
          <w:u w:val="single"/>
        </w:rPr>
        <w:t>肆</w:t>
      </w:r>
      <w:r>
        <w:rPr>
          <w:rFonts w:hint="eastAsia" w:ascii="宋体" w:hAnsi="宋体" w:cs="宋体"/>
          <w:color w:val="auto"/>
          <w:szCs w:val="21"/>
          <w:highlight w:val="none"/>
        </w:rPr>
        <w:t>份，由发包人和承包人各执</w:t>
      </w:r>
      <w:r>
        <w:rPr>
          <w:rFonts w:hint="eastAsia" w:ascii="宋体" w:hAnsi="宋体" w:cs="宋体"/>
          <w:color w:val="auto"/>
          <w:szCs w:val="21"/>
          <w:highlight w:val="none"/>
          <w:u w:val="single"/>
        </w:rPr>
        <w:t>贰</w:t>
      </w:r>
      <w:r>
        <w:rPr>
          <w:rFonts w:hint="eastAsia" w:ascii="宋体" w:hAnsi="宋体" w:cs="宋体"/>
          <w:color w:val="auto"/>
          <w:szCs w:val="21"/>
          <w:highlight w:val="none"/>
        </w:rPr>
        <w:t>份</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 xml:space="preserve">发包人：（盖单位章）              承包人：（盖单位章） </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法定代表人：（签字或盖章）        法定代表人：（签字或盖章）</w:t>
      </w:r>
    </w:p>
    <w:p>
      <w:pPr>
        <w:spacing w:line="360" w:lineRule="auto"/>
        <w:rPr>
          <w:rFonts w:ascii="宋体" w:hAnsi="宋体" w:cs="宋体"/>
          <w:color w:val="auto"/>
          <w:szCs w:val="21"/>
          <w:highlight w:val="none"/>
        </w:rPr>
      </w:pPr>
    </w:p>
    <w:p>
      <w:pPr>
        <w:spacing w:line="360" w:lineRule="auto"/>
        <w:ind w:firstLine="840"/>
        <w:rPr>
          <w:rFonts w:ascii="宋体" w:hAnsi="宋体" w:cs="宋体"/>
          <w:color w:val="auto"/>
          <w:szCs w:val="21"/>
          <w:highlight w:val="none"/>
        </w:rPr>
      </w:pPr>
    </w:p>
    <w:p>
      <w:pPr>
        <w:pStyle w:val="12"/>
        <w:adjustRightInd w:val="0"/>
        <w:snapToGrid w:val="0"/>
        <w:spacing w:line="500" w:lineRule="exact"/>
        <w:ind w:firstLine="420" w:firstLineChars="200"/>
        <w:rPr>
          <w:rFonts w:hAnsi="宋体" w:cs="宋体"/>
          <w:color w:val="auto"/>
          <w:sz w:val="21"/>
          <w:szCs w:val="21"/>
          <w:highlight w:val="none"/>
        </w:rPr>
      </w:pPr>
      <w:r>
        <w:rPr>
          <w:rFonts w:hint="eastAsia" w:hAnsi="宋体" w:cs="宋体"/>
          <w:color w:val="auto"/>
          <w:sz w:val="21"/>
          <w:szCs w:val="21"/>
          <w:highlight w:val="none"/>
        </w:rPr>
        <w:t>合同订立时间：   年 月 日 </w:t>
      </w:r>
    </w:p>
    <w:p>
      <w:pPr>
        <w:rPr>
          <w:rFonts w:ascii="宋体" w:hAnsi="宋体" w:cs="宋体"/>
          <w:color w:val="auto"/>
          <w:szCs w:val="21"/>
          <w:highlight w:val="none"/>
        </w:rPr>
      </w:pPr>
    </w:p>
    <w:p>
      <w:pPr>
        <w:pStyle w:val="2"/>
        <w:spacing w:before="0" w:after="0" w:line="360" w:lineRule="auto"/>
        <w:rPr>
          <w:rFonts w:ascii="宋体" w:hAnsi="宋体" w:cs="宋体"/>
          <w:color w:val="auto"/>
          <w:highlight w:val="none"/>
        </w:rPr>
      </w:pPr>
      <w:r>
        <w:rPr>
          <w:rFonts w:hint="eastAsia" w:ascii="宋体" w:hAnsi="宋体" w:cs="宋体"/>
          <w:color w:val="auto"/>
          <w:sz w:val="21"/>
          <w:szCs w:val="21"/>
          <w:highlight w:val="none"/>
        </w:rPr>
        <w:br w:type="page"/>
      </w:r>
      <w:bookmarkStart w:id="424" w:name="_Toc5948"/>
      <w:r>
        <w:rPr>
          <w:rFonts w:hint="eastAsia" w:ascii="宋体" w:hAnsi="宋体" w:cs="宋体"/>
          <w:color w:val="auto"/>
          <w:highlight w:val="none"/>
        </w:rPr>
        <w:t>第五章  采购需求</w:t>
      </w:r>
      <w:bookmarkEnd w:id="424"/>
    </w:p>
    <w:p>
      <w:pPr>
        <w:rPr>
          <w:rFonts w:hint="eastAsia"/>
          <w:color w:val="auto"/>
          <w:highlight w:val="none"/>
        </w:rPr>
      </w:pPr>
      <w:bookmarkStart w:id="425" w:name="_Toc6908"/>
    </w:p>
    <w:p>
      <w:pPr>
        <w:pStyle w:val="3"/>
        <w:wordWrap w:val="0"/>
        <w:spacing w:line="240" w:lineRule="auto"/>
        <w:rPr>
          <w:rFonts w:ascii="Times New Roman" w:hAnsi="Times New Roman"/>
          <w:b w:val="0"/>
          <w:color w:val="auto"/>
          <w:sz w:val="28"/>
          <w:szCs w:val="28"/>
          <w:highlight w:val="none"/>
        </w:rPr>
      </w:pPr>
      <w:bookmarkStart w:id="426" w:name="_Toc34837962"/>
      <w:bookmarkStart w:id="427" w:name="_Toc23047"/>
      <w:bookmarkStart w:id="428" w:name="_Toc482188637"/>
      <w:r>
        <w:rPr>
          <w:rFonts w:hint="eastAsia" w:ascii="Times New Roman" w:hAnsi="Times New Roman"/>
          <w:b w:val="0"/>
          <w:color w:val="auto"/>
          <w:sz w:val="28"/>
          <w:szCs w:val="28"/>
          <w:highlight w:val="none"/>
        </w:rPr>
        <w:t>一、</w:t>
      </w:r>
      <w:bookmarkEnd w:id="426"/>
      <w:bookmarkEnd w:id="427"/>
      <w:bookmarkEnd w:id="428"/>
      <w:r>
        <w:rPr>
          <w:rFonts w:hint="eastAsia" w:ascii="Times New Roman" w:hAnsi="Times New Roman"/>
          <w:b w:val="0"/>
          <w:color w:val="auto"/>
          <w:sz w:val="28"/>
          <w:szCs w:val="28"/>
          <w:highlight w:val="none"/>
        </w:rPr>
        <w:t>设计依据</w:t>
      </w:r>
    </w:p>
    <w:p>
      <w:pPr>
        <w:wordWrap w:val="0"/>
        <w:spacing w:line="360" w:lineRule="auto"/>
        <w:ind w:firstLine="420" w:firstLineChars="200"/>
        <w:rPr>
          <w:color w:val="auto"/>
          <w:highlight w:val="none"/>
        </w:rPr>
      </w:pPr>
      <w:bookmarkStart w:id="429" w:name="_Toc34837963"/>
      <w:bookmarkStart w:id="430" w:name="_Toc482188638"/>
      <w:bookmarkStart w:id="431" w:name="_Toc24455"/>
      <w:r>
        <w:rPr>
          <w:rFonts w:hint="eastAsia"/>
          <w:color w:val="auto"/>
          <w:highlight w:val="none"/>
        </w:rPr>
        <w:t>1、《盐城市大丰区村庄生活污水治理专项规划》（</w:t>
      </w:r>
      <w:r>
        <w:rPr>
          <w:color w:val="auto"/>
          <w:highlight w:val="none"/>
        </w:rPr>
        <w:t>2018-2020</w:t>
      </w:r>
      <w:r>
        <w:rPr>
          <w:rFonts w:hint="eastAsia"/>
          <w:color w:val="auto"/>
          <w:highlight w:val="none"/>
        </w:rPr>
        <w:t>）</w:t>
      </w:r>
    </w:p>
    <w:p>
      <w:pPr>
        <w:wordWrap w:val="0"/>
        <w:spacing w:line="360" w:lineRule="auto"/>
        <w:ind w:firstLine="420" w:firstLineChars="200"/>
        <w:rPr>
          <w:color w:val="auto"/>
          <w:highlight w:val="none"/>
        </w:rPr>
      </w:pPr>
      <w:r>
        <w:rPr>
          <w:rFonts w:hint="eastAsia"/>
          <w:color w:val="auto"/>
          <w:highlight w:val="none"/>
        </w:rPr>
        <w:t>2、《大丰年鉴》</w:t>
      </w:r>
    </w:p>
    <w:p>
      <w:pPr>
        <w:wordWrap w:val="0"/>
        <w:spacing w:line="360" w:lineRule="auto"/>
        <w:ind w:firstLine="420" w:firstLineChars="200"/>
        <w:rPr>
          <w:color w:val="auto"/>
          <w:highlight w:val="none"/>
        </w:rPr>
      </w:pPr>
      <w:r>
        <w:rPr>
          <w:rFonts w:hint="eastAsia"/>
          <w:color w:val="auto"/>
          <w:highlight w:val="none"/>
        </w:rPr>
        <w:t>3、大丰各乡镇总体规划、污水专项规划</w:t>
      </w:r>
    </w:p>
    <w:p>
      <w:pPr>
        <w:wordWrap w:val="0"/>
        <w:spacing w:line="360" w:lineRule="auto"/>
        <w:ind w:firstLine="420" w:firstLineChars="200"/>
        <w:rPr>
          <w:color w:val="auto"/>
          <w:highlight w:val="none"/>
        </w:rPr>
      </w:pPr>
      <w:r>
        <w:rPr>
          <w:rFonts w:hint="eastAsia"/>
          <w:color w:val="auto"/>
          <w:highlight w:val="none"/>
        </w:rPr>
        <w:t>4、《大丰区城镇污水处理厂网一体化调查项目调查分析报告》</w:t>
      </w:r>
    </w:p>
    <w:p>
      <w:pPr>
        <w:wordWrap w:val="0"/>
        <w:spacing w:line="360" w:lineRule="auto"/>
        <w:ind w:firstLine="420" w:firstLineChars="200"/>
        <w:rPr>
          <w:color w:val="auto"/>
          <w:highlight w:val="none"/>
        </w:rPr>
      </w:pPr>
      <w:r>
        <w:rPr>
          <w:rFonts w:hint="eastAsia"/>
          <w:color w:val="auto"/>
          <w:highlight w:val="none"/>
        </w:rPr>
        <w:t>5、《大丰区建制镇污水处理设施全运行实施方案》</w:t>
      </w:r>
      <w:r>
        <w:rPr>
          <w:color w:val="auto"/>
          <w:highlight w:val="none"/>
        </w:rPr>
        <w:t xml:space="preserve">2020 </w:t>
      </w:r>
      <w:r>
        <w:rPr>
          <w:rFonts w:hint="eastAsia"/>
          <w:color w:val="auto"/>
          <w:highlight w:val="none"/>
        </w:rPr>
        <w:t>年</w:t>
      </w:r>
      <w:r>
        <w:rPr>
          <w:color w:val="auto"/>
          <w:highlight w:val="none"/>
        </w:rPr>
        <w:t xml:space="preserve">5 </w:t>
      </w:r>
      <w:r>
        <w:rPr>
          <w:rFonts w:hint="eastAsia"/>
          <w:color w:val="auto"/>
          <w:highlight w:val="none"/>
        </w:rPr>
        <w:t>月</w:t>
      </w:r>
    </w:p>
    <w:p>
      <w:pPr>
        <w:wordWrap w:val="0"/>
        <w:spacing w:line="360" w:lineRule="auto"/>
        <w:ind w:firstLine="420" w:firstLineChars="200"/>
        <w:rPr>
          <w:color w:val="auto"/>
          <w:highlight w:val="none"/>
        </w:rPr>
      </w:pPr>
      <w:r>
        <w:rPr>
          <w:rFonts w:hint="eastAsia"/>
          <w:color w:val="auto"/>
          <w:highlight w:val="none"/>
        </w:rPr>
        <w:t>6、农村人居环境整治示范村污水设施建设统计表</w:t>
      </w:r>
    </w:p>
    <w:p>
      <w:pPr>
        <w:wordWrap w:val="0"/>
        <w:spacing w:line="360" w:lineRule="auto"/>
        <w:ind w:firstLine="420" w:firstLineChars="200"/>
        <w:rPr>
          <w:rFonts w:hint="eastAsia"/>
          <w:color w:val="auto"/>
          <w:highlight w:val="none"/>
        </w:rPr>
      </w:pPr>
      <w:r>
        <w:rPr>
          <w:rFonts w:hint="eastAsia"/>
          <w:color w:val="auto"/>
          <w:highlight w:val="none"/>
        </w:rPr>
        <w:t>7、其它相关文件</w:t>
      </w:r>
    </w:p>
    <w:p>
      <w:pPr>
        <w:pStyle w:val="3"/>
        <w:wordWrap w:val="0"/>
        <w:spacing w:line="240" w:lineRule="auto"/>
        <w:rPr>
          <w:rFonts w:ascii="Times New Roman" w:hAnsi="Times New Roman"/>
          <w:b w:val="0"/>
          <w:color w:val="auto"/>
          <w:sz w:val="28"/>
          <w:szCs w:val="28"/>
          <w:highlight w:val="none"/>
        </w:rPr>
      </w:pPr>
      <w:r>
        <w:rPr>
          <w:rFonts w:ascii="Times New Roman" w:hAnsi="Times New Roman"/>
          <w:b w:val="0"/>
          <w:color w:val="auto"/>
          <w:sz w:val="28"/>
          <w:szCs w:val="28"/>
          <w:highlight w:val="none"/>
        </w:rPr>
        <w:t>二、</w:t>
      </w:r>
      <w:r>
        <w:rPr>
          <w:rFonts w:hint="eastAsia" w:ascii="Times New Roman" w:hAnsi="Times New Roman"/>
          <w:b w:val="0"/>
          <w:color w:val="auto"/>
          <w:sz w:val="28"/>
          <w:szCs w:val="28"/>
          <w:highlight w:val="none"/>
        </w:rPr>
        <w:t>设计要求</w:t>
      </w:r>
    </w:p>
    <w:p>
      <w:pPr>
        <w:wordWrap w:val="0"/>
        <w:spacing w:line="360" w:lineRule="auto"/>
        <w:ind w:firstLine="420" w:firstLineChars="200"/>
        <w:rPr>
          <w:color w:val="auto"/>
          <w:highlight w:val="none"/>
        </w:rPr>
      </w:pPr>
      <w:r>
        <w:rPr>
          <w:rFonts w:hint="eastAsia"/>
          <w:color w:val="auto"/>
          <w:highlight w:val="none"/>
        </w:rPr>
        <w:t>1、设计原则</w:t>
      </w:r>
    </w:p>
    <w:p>
      <w:pPr>
        <w:wordWrap w:val="0"/>
        <w:spacing w:line="360" w:lineRule="auto"/>
        <w:ind w:firstLine="420" w:firstLineChars="200"/>
        <w:rPr>
          <w:color w:val="auto"/>
          <w:highlight w:val="none"/>
        </w:rPr>
      </w:pPr>
      <w:r>
        <w:rPr>
          <w:color w:val="auto"/>
          <w:highlight w:val="none"/>
        </w:rPr>
        <w:t>1</w:t>
      </w:r>
      <w:r>
        <w:rPr>
          <w:rFonts w:hint="eastAsia"/>
          <w:color w:val="auto"/>
          <w:highlight w:val="none"/>
        </w:rPr>
        <w:t>）执行国家关于环境保护的政策，符合国家现行的有关法规、规范及标</w:t>
      </w:r>
    </w:p>
    <w:p>
      <w:pPr>
        <w:wordWrap w:val="0"/>
        <w:spacing w:line="360" w:lineRule="auto"/>
        <w:ind w:firstLine="420" w:firstLineChars="200"/>
        <w:rPr>
          <w:color w:val="auto"/>
          <w:highlight w:val="none"/>
        </w:rPr>
      </w:pPr>
      <w:r>
        <w:rPr>
          <w:rFonts w:hint="eastAsia"/>
          <w:color w:val="auto"/>
          <w:highlight w:val="none"/>
        </w:rPr>
        <w:t>准。同时注重与当地的工程条件、习惯做法相结合。</w:t>
      </w:r>
    </w:p>
    <w:p>
      <w:pPr>
        <w:wordWrap w:val="0"/>
        <w:spacing w:line="360" w:lineRule="auto"/>
        <w:ind w:firstLine="420" w:firstLineChars="200"/>
        <w:rPr>
          <w:color w:val="auto"/>
          <w:highlight w:val="none"/>
        </w:rPr>
      </w:pPr>
      <w:r>
        <w:rPr>
          <w:color w:val="auto"/>
          <w:highlight w:val="none"/>
        </w:rPr>
        <w:t>2</w:t>
      </w:r>
      <w:r>
        <w:rPr>
          <w:rFonts w:hint="eastAsia"/>
          <w:color w:val="auto"/>
          <w:highlight w:val="none"/>
        </w:rPr>
        <w:t>）坚持“问题导向、问题突出；精准治理、全面覆盖；系统谋划、远近结</w:t>
      </w:r>
    </w:p>
    <w:p>
      <w:pPr>
        <w:wordWrap w:val="0"/>
        <w:spacing w:line="360" w:lineRule="auto"/>
        <w:ind w:firstLine="420" w:firstLineChars="200"/>
        <w:rPr>
          <w:color w:val="auto"/>
          <w:highlight w:val="none"/>
        </w:rPr>
      </w:pPr>
      <w:r>
        <w:rPr>
          <w:rFonts w:hint="eastAsia"/>
          <w:color w:val="auto"/>
          <w:highlight w:val="none"/>
        </w:rPr>
        <w:t>合”的技术路线，加快补齐污水收集和处理设施短板，快速提升农村污水收集</w:t>
      </w:r>
    </w:p>
    <w:p>
      <w:pPr>
        <w:wordWrap w:val="0"/>
        <w:spacing w:line="360" w:lineRule="auto"/>
        <w:ind w:firstLine="420" w:firstLineChars="200"/>
        <w:rPr>
          <w:color w:val="auto"/>
          <w:highlight w:val="none"/>
        </w:rPr>
      </w:pPr>
      <w:r>
        <w:rPr>
          <w:rFonts w:hint="eastAsia"/>
          <w:color w:val="auto"/>
          <w:highlight w:val="none"/>
        </w:rPr>
        <w:t>处理效能，尽快实现建成区污水管网全覆盖、全收集和全处理。</w:t>
      </w:r>
    </w:p>
    <w:p>
      <w:pPr>
        <w:wordWrap w:val="0"/>
        <w:spacing w:line="360" w:lineRule="auto"/>
        <w:ind w:firstLine="420" w:firstLineChars="200"/>
        <w:rPr>
          <w:color w:val="auto"/>
          <w:highlight w:val="none"/>
        </w:rPr>
      </w:pPr>
      <w:r>
        <w:rPr>
          <w:color w:val="auto"/>
          <w:highlight w:val="none"/>
        </w:rPr>
        <w:t>3</w:t>
      </w:r>
      <w:r>
        <w:rPr>
          <w:rFonts w:hint="eastAsia"/>
          <w:color w:val="auto"/>
          <w:highlight w:val="none"/>
        </w:rPr>
        <w:t>）通过技术经济论证，优化设计方案，合理选择布置形式，做到工程布</w:t>
      </w:r>
    </w:p>
    <w:p>
      <w:pPr>
        <w:wordWrap w:val="0"/>
        <w:spacing w:line="360" w:lineRule="auto"/>
        <w:ind w:firstLine="420" w:firstLineChars="200"/>
        <w:rPr>
          <w:color w:val="auto"/>
          <w:highlight w:val="none"/>
        </w:rPr>
      </w:pPr>
      <w:r>
        <w:rPr>
          <w:rFonts w:hint="eastAsia"/>
          <w:color w:val="auto"/>
          <w:highlight w:val="none"/>
        </w:rPr>
        <w:t>局合理，规模恰当，可实施性强，同时满足工程设计目标</w:t>
      </w:r>
    </w:p>
    <w:p>
      <w:pPr>
        <w:wordWrap w:val="0"/>
        <w:spacing w:line="360" w:lineRule="auto"/>
        <w:ind w:firstLine="420" w:firstLineChars="200"/>
        <w:rPr>
          <w:color w:val="auto"/>
          <w:highlight w:val="none"/>
        </w:rPr>
      </w:pPr>
      <w:r>
        <w:rPr>
          <w:rFonts w:hint="eastAsia"/>
          <w:color w:val="auto"/>
          <w:highlight w:val="none"/>
        </w:rPr>
        <w:t>2、总体要求</w:t>
      </w:r>
    </w:p>
    <w:p>
      <w:pPr>
        <w:wordWrap w:val="0"/>
        <w:spacing w:line="360" w:lineRule="auto"/>
        <w:ind w:firstLine="420" w:firstLineChars="200"/>
        <w:rPr>
          <w:rFonts w:hint="eastAsia"/>
          <w:color w:val="auto"/>
          <w:highlight w:val="none"/>
        </w:rPr>
      </w:pPr>
      <w:r>
        <w:rPr>
          <w:rFonts w:hint="eastAsia"/>
          <w:color w:val="auto"/>
          <w:highlight w:val="none"/>
        </w:rPr>
        <w:t>根据《关于学习运用“千万工程”经验全面加强农村环境治理工作的通知》（盐农水治办</w:t>
      </w:r>
      <w:r>
        <w:rPr>
          <w:color w:val="auto"/>
          <w:highlight w:val="none"/>
        </w:rPr>
        <w:t xml:space="preserve">[2023]10 </w:t>
      </w:r>
      <w:r>
        <w:rPr>
          <w:rFonts w:hint="eastAsia"/>
          <w:color w:val="auto"/>
          <w:highlight w:val="none"/>
        </w:rPr>
        <w:t>号）和《关于下达</w:t>
      </w:r>
      <w:r>
        <w:rPr>
          <w:color w:val="auto"/>
          <w:highlight w:val="none"/>
        </w:rPr>
        <w:t xml:space="preserve">2024 </w:t>
      </w:r>
      <w:r>
        <w:rPr>
          <w:rFonts w:hint="eastAsia"/>
          <w:color w:val="auto"/>
          <w:highlight w:val="none"/>
        </w:rPr>
        <w:t>年民生实事项目的通知》（大政发</w:t>
      </w:r>
      <w:r>
        <w:rPr>
          <w:color w:val="auto"/>
          <w:highlight w:val="none"/>
        </w:rPr>
        <w:t xml:space="preserve">[2024]1 </w:t>
      </w:r>
      <w:r>
        <w:rPr>
          <w:rFonts w:hint="eastAsia"/>
          <w:color w:val="auto"/>
          <w:highlight w:val="none"/>
        </w:rPr>
        <w:t>号），到</w:t>
      </w:r>
      <w:r>
        <w:rPr>
          <w:color w:val="auto"/>
          <w:highlight w:val="none"/>
        </w:rPr>
        <w:t xml:space="preserve">2024 </w:t>
      </w:r>
      <w:r>
        <w:rPr>
          <w:rFonts w:hint="eastAsia"/>
          <w:color w:val="auto"/>
          <w:highlight w:val="none"/>
        </w:rPr>
        <w:t>年底，盐城市农村生活污水治理率达</w:t>
      </w:r>
      <w:r>
        <w:rPr>
          <w:color w:val="auto"/>
          <w:highlight w:val="none"/>
        </w:rPr>
        <w:t>55%</w:t>
      </w:r>
      <w:r>
        <w:rPr>
          <w:rFonts w:hint="eastAsia"/>
          <w:color w:val="auto"/>
          <w:highlight w:val="none"/>
        </w:rPr>
        <w:t>以上，管控率达</w:t>
      </w:r>
      <w:r>
        <w:rPr>
          <w:color w:val="auto"/>
          <w:highlight w:val="none"/>
        </w:rPr>
        <w:t>15%</w:t>
      </w:r>
      <w:r>
        <w:rPr>
          <w:rFonts w:hint="eastAsia"/>
          <w:color w:val="auto"/>
          <w:highlight w:val="none"/>
        </w:rPr>
        <w:t>以上，全市“治理</w:t>
      </w:r>
      <w:r>
        <w:rPr>
          <w:color w:val="auto"/>
          <w:highlight w:val="none"/>
        </w:rPr>
        <w:t>+</w:t>
      </w:r>
      <w:r>
        <w:rPr>
          <w:rFonts w:hint="eastAsia"/>
          <w:color w:val="auto"/>
          <w:highlight w:val="none"/>
        </w:rPr>
        <w:t>管控率”达</w:t>
      </w:r>
      <w:r>
        <w:rPr>
          <w:color w:val="auto"/>
          <w:highlight w:val="none"/>
        </w:rPr>
        <w:t>70%</w:t>
      </w:r>
      <w:r>
        <w:rPr>
          <w:rFonts w:hint="eastAsia"/>
          <w:color w:val="auto"/>
          <w:highlight w:val="none"/>
        </w:rPr>
        <w:t>。同时为响应相关文件要求，切实提升大丰区农村污水处理设施的保障能力和服务水平，对围绕提升农村人居环境、现状农村污水治理存在的问题开展</w:t>
      </w:r>
      <w:r>
        <w:rPr>
          <w:color w:val="auto"/>
          <w:highlight w:val="none"/>
        </w:rPr>
        <w:t xml:space="preserve">2024 </w:t>
      </w:r>
      <w:r>
        <w:rPr>
          <w:rFonts w:hint="eastAsia"/>
          <w:color w:val="auto"/>
          <w:highlight w:val="none"/>
        </w:rPr>
        <w:t>年大丰区农村生活污水设施建设工程，力求在全面调研的基础上，结合村庄生活污水治理工作实践，对本项目涉及的新增自然村提出明确的污水收集治理方案。</w:t>
      </w:r>
    </w:p>
    <w:p>
      <w:pPr>
        <w:wordWrap w:val="0"/>
        <w:spacing w:line="360" w:lineRule="auto"/>
        <w:ind w:firstLine="420" w:firstLineChars="200"/>
        <w:rPr>
          <w:color w:val="auto"/>
          <w:highlight w:val="none"/>
        </w:rPr>
      </w:pPr>
      <w:r>
        <w:rPr>
          <w:rFonts w:hint="eastAsia"/>
          <w:color w:val="auto"/>
          <w:highlight w:val="none"/>
        </w:rPr>
        <w:t>根据项目建设进度计划，本工程设计范围主要为村庄生活污水治理工程，涉及</w:t>
      </w:r>
      <w:r>
        <w:rPr>
          <w:color w:val="auto"/>
          <w:highlight w:val="none"/>
        </w:rPr>
        <w:t xml:space="preserve">38 </w:t>
      </w:r>
      <w:r>
        <w:rPr>
          <w:rFonts w:hint="eastAsia"/>
          <w:color w:val="auto"/>
          <w:highlight w:val="none"/>
        </w:rPr>
        <w:t>个自然村，分布在大丰区内</w:t>
      </w:r>
      <w:r>
        <w:rPr>
          <w:color w:val="auto"/>
          <w:highlight w:val="none"/>
        </w:rPr>
        <w:t xml:space="preserve">2 </w:t>
      </w:r>
      <w:r>
        <w:rPr>
          <w:rFonts w:hint="eastAsia"/>
          <w:color w:val="auto"/>
          <w:highlight w:val="none"/>
        </w:rPr>
        <w:t>个街道（大中街道、丰华街道）、</w:t>
      </w:r>
      <w:r>
        <w:rPr>
          <w:color w:val="auto"/>
          <w:highlight w:val="none"/>
        </w:rPr>
        <w:t xml:space="preserve">9 </w:t>
      </w:r>
      <w:r>
        <w:rPr>
          <w:rFonts w:hint="eastAsia"/>
          <w:color w:val="auto"/>
          <w:highlight w:val="none"/>
        </w:rPr>
        <w:t>个乡镇（万盈镇、白驹镇、小海镇、新丰镇、刘庄镇、三龙镇、草堰镇、大桥镇、草庙镇），涉及</w:t>
      </w:r>
      <w:r>
        <w:rPr>
          <w:color w:val="auto"/>
          <w:highlight w:val="none"/>
        </w:rPr>
        <w:t xml:space="preserve">28 </w:t>
      </w:r>
      <w:r>
        <w:rPr>
          <w:rFonts w:hint="eastAsia"/>
          <w:color w:val="auto"/>
          <w:highlight w:val="none"/>
        </w:rPr>
        <w:t>个行政村。</w:t>
      </w:r>
    </w:p>
    <w:p>
      <w:pPr>
        <w:pStyle w:val="12"/>
        <w:tabs>
          <w:tab w:val="left" w:pos="6383"/>
        </w:tabs>
        <w:snapToGrid w:val="0"/>
        <w:spacing w:before="231" w:after="231" w:line="380" w:lineRule="exact"/>
        <w:ind w:firstLine="435"/>
        <w:rPr>
          <w:rFonts w:ascii="Times New Roman" w:hAnsi="Times New Roman"/>
          <w:color w:val="auto"/>
          <w:sz w:val="21"/>
          <w:szCs w:val="24"/>
          <w:highlight w:val="none"/>
        </w:rPr>
      </w:pPr>
      <w:r>
        <w:rPr>
          <w:rFonts w:hint="eastAsia" w:ascii="Times New Roman" w:hAnsi="Times New Roman"/>
          <w:color w:val="auto"/>
          <w:sz w:val="21"/>
          <w:szCs w:val="24"/>
          <w:highlight w:val="none"/>
        </w:rPr>
        <w:t>服务内容包括但不限于本工程实施范围对大丰区内</w:t>
      </w:r>
      <w:r>
        <w:rPr>
          <w:rFonts w:ascii="Times New Roman" w:hAnsi="Times New Roman"/>
          <w:color w:val="auto"/>
          <w:sz w:val="21"/>
          <w:szCs w:val="24"/>
          <w:highlight w:val="none"/>
        </w:rPr>
        <w:t xml:space="preserve">2 </w:t>
      </w:r>
      <w:r>
        <w:rPr>
          <w:rFonts w:hint="eastAsia" w:ascii="Times New Roman" w:hAnsi="Times New Roman"/>
          <w:color w:val="auto"/>
          <w:sz w:val="21"/>
          <w:szCs w:val="24"/>
          <w:highlight w:val="none"/>
        </w:rPr>
        <w:t>个街道（大中街道、丰华街道）、</w:t>
      </w:r>
      <w:r>
        <w:rPr>
          <w:rFonts w:ascii="Times New Roman" w:hAnsi="Times New Roman"/>
          <w:color w:val="auto"/>
          <w:sz w:val="21"/>
          <w:szCs w:val="24"/>
          <w:highlight w:val="none"/>
        </w:rPr>
        <w:t xml:space="preserve">9 </w:t>
      </w:r>
      <w:r>
        <w:rPr>
          <w:rFonts w:hint="eastAsia" w:ascii="Times New Roman" w:hAnsi="Times New Roman"/>
          <w:color w:val="auto"/>
          <w:sz w:val="21"/>
          <w:szCs w:val="24"/>
          <w:highlight w:val="none"/>
        </w:rPr>
        <w:t>个乡镇（万盈镇、白驹镇、小海镇、新丰镇、刘庄镇、三龙镇、草堰镇、大桥镇、草庙镇），涉及</w:t>
      </w:r>
      <w:r>
        <w:rPr>
          <w:rFonts w:ascii="Times New Roman" w:hAnsi="Times New Roman"/>
          <w:color w:val="auto"/>
          <w:sz w:val="21"/>
          <w:szCs w:val="24"/>
          <w:highlight w:val="none"/>
        </w:rPr>
        <w:t xml:space="preserve">28 </w:t>
      </w:r>
      <w:r>
        <w:rPr>
          <w:rFonts w:hint="eastAsia" w:ascii="Times New Roman" w:hAnsi="Times New Roman"/>
          <w:color w:val="auto"/>
          <w:sz w:val="21"/>
          <w:szCs w:val="24"/>
          <w:highlight w:val="none"/>
        </w:rPr>
        <w:t>个行政村，38个自然村的生活污水治理进行调研、排查，确定每个村的实施范围、户数、治理方式等内容，根据调研排查结果进行方案编制、初步设计、设计概算、施工图设计、施工期间的现场指导和配合服务、为完成工程竣工验收的配合服务等；</w:t>
      </w:r>
    </w:p>
    <w:p>
      <w:pPr>
        <w:wordWrap w:val="0"/>
        <w:spacing w:line="360" w:lineRule="auto"/>
        <w:ind w:firstLine="420" w:firstLineChars="200"/>
        <w:rPr>
          <w:color w:val="auto"/>
          <w:highlight w:val="none"/>
        </w:rPr>
      </w:pPr>
      <w:r>
        <w:rPr>
          <w:rFonts w:hint="eastAsia"/>
          <w:color w:val="auto"/>
          <w:highlight w:val="none"/>
        </w:rPr>
        <w:t>设计的施工图纸中采用管材、设备采用材质、型号需报建设单位审核。</w:t>
      </w:r>
    </w:p>
    <w:p>
      <w:pPr>
        <w:wordWrap w:val="0"/>
        <w:spacing w:line="360" w:lineRule="auto"/>
        <w:ind w:firstLine="420" w:firstLineChars="200"/>
        <w:rPr>
          <w:color w:val="auto"/>
          <w:highlight w:val="none"/>
        </w:rPr>
      </w:pPr>
      <w:r>
        <w:rPr>
          <w:rFonts w:hint="eastAsia"/>
          <w:color w:val="auto"/>
          <w:highlight w:val="none"/>
        </w:rPr>
        <w:t>乡镇相连附近的村庄，根据地型地貌等特点符合纳管条件的一并进行设计。</w:t>
      </w:r>
    </w:p>
    <w:p>
      <w:pPr>
        <w:pStyle w:val="3"/>
        <w:wordWrap w:val="0"/>
        <w:spacing w:line="240" w:lineRule="auto"/>
        <w:rPr>
          <w:rFonts w:ascii="Times New Roman" w:hAnsi="Times New Roman"/>
          <w:b w:val="0"/>
          <w:color w:val="auto"/>
          <w:sz w:val="28"/>
          <w:szCs w:val="28"/>
          <w:highlight w:val="none"/>
        </w:rPr>
      </w:pPr>
      <w:r>
        <w:rPr>
          <w:rFonts w:ascii="Times New Roman" w:hAnsi="Times New Roman"/>
          <w:b w:val="0"/>
          <w:color w:val="auto"/>
          <w:sz w:val="28"/>
          <w:szCs w:val="28"/>
          <w:highlight w:val="none"/>
        </w:rPr>
        <w:t>二、适用规范标准</w:t>
      </w:r>
      <w:bookmarkEnd w:id="429"/>
      <w:bookmarkEnd w:id="430"/>
      <w:bookmarkEnd w:id="431"/>
    </w:p>
    <w:p>
      <w:pPr>
        <w:wordWrap w:val="0"/>
        <w:spacing w:line="360" w:lineRule="auto"/>
        <w:ind w:firstLine="420" w:firstLineChars="200"/>
        <w:rPr>
          <w:color w:val="auto"/>
          <w:highlight w:val="none"/>
        </w:rPr>
      </w:pPr>
      <w:r>
        <w:rPr>
          <w:color w:val="auto"/>
          <w:highlight w:val="none"/>
        </w:rPr>
        <w:t>1. 国家、行业、项目所在地最新规范</w:t>
      </w:r>
      <w:r>
        <w:rPr>
          <w:rFonts w:hint="eastAsia"/>
          <w:color w:val="auto"/>
          <w:highlight w:val="none"/>
        </w:rPr>
        <w:t>、标准、规程。</w:t>
      </w:r>
    </w:p>
    <w:p>
      <w:pPr>
        <w:pStyle w:val="3"/>
        <w:wordWrap w:val="0"/>
        <w:spacing w:line="240" w:lineRule="auto"/>
        <w:rPr>
          <w:rFonts w:ascii="Times New Roman" w:hAnsi="Times New Roman"/>
          <w:b w:val="0"/>
          <w:color w:val="auto"/>
          <w:sz w:val="28"/>
          <w:szCs w:val="28"/>
          <w:highlight w:val="none"/>
        </w:rPr>
      </w:pPr>
      <w:bookmarkStart w:id="432" w:name="_Toc18076"/>
      <w:bookmarkStart w:id="433" w:name="_Toc482188639"/>
      <w:bookmarkStart w:id="434" w:name="_Toc34837964"/>
      <w:r>
        <w:rPr>
          <w:rFonts w:ascii="Times New Roman" w:hAnsi="Times New Roman"/>
          <w:b w:val="0"/>
          <w:color w:val="auto"/>
          <w:sz w:val="28"/>
          <w:szCs w:val="28"/>
          <w:highlight w:val="none"/>
        </w:rPr>
        <w:t>三、成果文件要求</w:t>
      </w:r>
      <w:bookmarkEnd w:id="432"/>
      <w:bookmarkEnd w:id="433"/>
      <w:bookmarkEnd w:id="434"/>
    </w:p>
    <w:p>
      <w:pPr>
        <w:wordWrap w:val="0"/>
        <w:spacing w:line="360" w:lineRule="auto"/>
        <w:ind w:firstLine="420" w:firstLineChars="200"/>
        <w:rPr>
          <w:color w:val="auto"/>
          <w:highlight w:val="none"/>
        </w:rPr>
      </w:pPr>
      <w:r>
        <w:rPr>
          <w:color w:val="auto"/>
          <w:highlight w:val="none"/>
        </w:rPr>
        <w:t>1. 成果文件的组成：设计说明、图纸等</w:t>
      </w:r>
    </w:p>
    <w:p>
      <w:pPr>
        <w:wordWrap w:val="0"/>
        <w:spacing w:line="360" w:lineRule="auto"/>
        <w:ind w:firstLine="420" w:firstLineChars="200"/>
        <w:rPr>
          <w:color w:val="auto"/>
          <w:highlight w:val="none"/>
        </w:rPr>
      </w:pPr>
      <w:r>
        <w:rPr>
          <w:color w:val="auto"/>
          <w:highlight w:val="none"/>
        </w:rPr>
        <w:t>2. 成果文件的深度：</w:t>
      </w:r>
      <w:r>
        <w:rPr>
          <w:rFonts w:hint="eastAsia" w:ascii="宋体" w:cs="宋体"/>
          <w:color w:val="auto"/>
          <w:kern w:val="0"/>
          <w:szCs w:val="21"/>
          <w:highlight w:val="none"/>
        </w:rPr>
        <w:t>达到国家相关标准规定（包括但不限于</w:t>
      </w:r>
      <w:r>
        <w:rPr>
          <w:rFonts w:hint="eastAsia"/>
          <w:color w:val="auto"/>
          <w:highlight w:val="none"/>
        </w:rPr>
        <w:t>市政公用工程设计文件编制深度规定（2013年版）</w:t>
      </w:r>
      <w:r>
        <w:rPr>
          <w:rFonts w:hint="eastAsia" w:ascii="宋体" w:cs="宋体"/>
          <w:color w:val="auto"/>
          <w:kern w:val="0"/>
          <w:szCs w:val="21"/>
          <w:highlight w:val="none"/>
        </w:rPr>
        <w:t>）设计深度要求，并通过评审。</w:t>
      </w:r>
    </w:p>
    <w:p>
      <w:pPr>
        <w:wordWrap w:val="0"/>
        <w:spacing w:line="360" w:lineRule="auto"/>
        <w:ind w:firstLine="420" w:firstLineChars="200"/>
        <w:rPr>
          <w:color w:val="auto"/>
          <w:highlight w:val="none"/>
        </w:rPr>
      </w:pPr>
      <w:r>
        <w:rPr>
          <w:rFonts w:hint="eastAsia"/>
          <w:color w:val="auto"/>
          <w:highlight w:val="none"/>
        </w:rPr>
        <w:t>3</w:t>
      </w:r>
      <w:r>
        <w:rPr>
          <w:color w:val="auto"/>
          <w:highlight w:val="none"/>
        </w:rPr>
        <w:t>. 成果文件的份数要求：</w:t>
      </w:r>
      <w:r>
        <w:rPr>
          <w:rFonts w:hint="eastAsia"/>
          <w:color w:val="auto"/>
          <w:highlight w:val="none"/>
        </w:rPr>
        <w:t>中标人提供</w:t>
      </w:r>
      <w:r>
        <w:rPr>
          <w:color w:val="auto"/>
          <w:highlight w:val="none"/>
        </w:rPr>
        <w:t>纸质文件</w:t>
      </w:r>
      <w:r>
        <w:rPr>
          <w:rFonts w:hint="eastAsia"/>
          <w:color w:val="auto"/>
          <w:highlight w:val="none"/>
        </w:rPr>
        <w:t>8套。</w:t>
      </w:r>
    </w:p>
    <w:p>
      <w:pPr>
        <w:wordWrap w:val="0"/>
        <w:spacing w:line="360" w:lineRule="auto"/>
        <w:ind w:firstLine="420" w:firstLineChars="200"/>
        <w:rPr>
          <w:color w:val="auto"/>
          <w:highlight w:val="none"/>
        </w:rPr>
      </w:pPr>
      <w:r>
        <w:rPr>
          <w:rFonts w:hint="eastAsia"/>
          <w:color w:val="auto"/>
          <w:highlight w:val="none"/>
        </w:rPr>
        <w:t>4</w:t>
      </w:r>
      <w:r>
        <w:rPr>
          <w:color w:val="auto"/>
          <w:highlight w:val="none"/>
        </w:rPr>
        <w:t>. 成果文件的载体要求</w:t>
      </w:r>
    </w:p>
    <w:p>
      <w:pPr>
        <w:wordWrap w:val="0"/>
        <w:spacing w:line="360" w:lineRule="auto"/>
        <w:ind w:firstLine="420" w:firstLineChars="200"/>
        <w:rPr>
          <w:rFonts w:hint="eastAsia"/>
          <w:color w:val="auto"/>
          <w:highlight w:val="none"/>
          <w:lang w:val="en-US" w:eastAsia="zh-CN"/>
        </w:rPr>
      </w:pPr>
      <w:r>
        <w:rPr>
          <w:color w:val="auto"/>
          <w:highlight w:val="none"/>
        </w:rPr>
        <w:t>（1）纸质版</w:t>
      </w:r>
      <w:r>
        <w:rPr>
          <w:rFonts w:hint="eastAsia"/>
          <w:color w:val="auto"/>
          <w:highlight w:val="none"/>
        </w:rPr>
        <w:t>的要求</w:t>
      </w:r>
      <w:r>
        <w:rPr>
          <w:rFonts w:hint="eastAsia"/>
          <w:color w:val="auto"/>
          <w:highlight w:val="none"/>
          <w:lang w:eastAsia="zh-CN"/>
        </w:rPr>
        <w:t>：</w:t>
      </w:r>
      <w:r>
        <w:rPr>
          <w:rFonts w:hint="eastAsia"/>
          <w:color w:val="auto"/>
          <w:highlight w:val="none"/>
        </w:rPr>
        <w:t>提供初步设计文件及施工图设计文件 8套；</w:t>
      </w:r>
    </w:p>
    <w:p>
      <w:pPr>
        <w:wordWrap w:val="0"/>
        <w:spacing w:line="360" w:lineRule="auto"/>
        <w:ind w:firstLine="420" w:firstLineChars="200"/>
        <w:rPr>
          <w:rFonts w:hint="eastAsia"/>
          <w:color w:val="auto"/>
          <w:highlight w:val="none"/>
          <w:lang w:eastAsia="zh-CN"/>
        </w:rPr>
      </w:pPr>
      <w:r>
        <w:rPr>
          <w:rFonts w:hint="eastAsia"/>
          <w:color w:val="auto"/>
          <w:highlight w:val="none"/>
        </w:rPr>
        <w:t>（2）电子版的要求</w:t>
      </w:r>
      <w:r>
        <w:rPr>
          <w:rFonts w:hint="eastAsia"/>
          <w:color w:val="auto"/>
          <w:highlight w:val="none"/>
          <w:lang w:eastAsia="zh-CN"/>
        </w:rPr>
        <w:t>：</w:t>
      </w:r>
      <w:r>
        <w:rPr>
          <w:rFonts w:hint="eastAsia"/>
          <w:color w:val="auto"/>
          <w:highlight w:val="none"/>
        </w:rPr>
        <w:t>提供初步设计及施工图CAD、PDF图纸文件</w:t>
      </w:r>
      <w:r>
        <w:rPr>
          <w:rFonts w:hint="eastAsia"/>
          <w:color w:val="auto"/>
          <w:highlight w:val="none"/>
          <w:lang w:eastAsia="zh-CN"/>
        </w:rPr>
        <w:t>；</w:t>
      </w:r>
    </w:p>
    <w:p>
      <w:pPr>
        <w:wordWrap w:val="0"/>
        <w:spacing w:line="360" w:lineRule="auto"/>
        <w:ind w:firstLine="420" w:firstLineChars="200"/>
        <w:rPr>
          <w:rFonts w:hint="eastAsia" w:ascii="宋体" w:hAnsi="宋体"/>
          <w:color w:val="auto"/>
          <w:szCs w:val="21"/>
          <w:highlight w:val="none"/>
        </w:rPr>
      </w:pPr>
      <w:r>
        <w:rPr>
          <w:rFonts w:hint="eastAsia"/>
          <w:color w:val="auto"/>
          <w:highlight w:val="none"/>
        </w:rPr>
        <w:t>（3）其他要求：以每村为一个单位项目出图，每镇一打包</w:t>
      </w:r>
      <w:r>
        <w:rPr>
          <w:rFonts w:hint="eastAsia" w:ascii="宋体" w:hAnsi="宋体"/>
          <w:color w:val="auto"/>
          <w:szCs w:val="21"/>
          <w:highlight w:val="none"/>
        </w:rPr>
        <w:t>。</w:t>
      </w:r>
    </w:p>
    <w:p>
      <w:pPr>
        <w:pageBreakBefore w:val="0"/>
        <w:kinsoku/>
        <w:wordWrap w:val="0"/>
        <w:overflowPunct/>
        <w:topLinePunct w:val="0"/>
        <w:bidi w:val="0"/>
        <w:spacing w:line="240" w:lineRule="auto"/>
        <w:rPr>
          <w:rFonts w:hint="eastAsia" w:ascii="Times New Roman" w:hAnsi="Times New Roman" w:eastAsia="黑体" w:cs="Times New Roman"/>
          <w:b w:val="0"/>
          <w:bCs/>
          <w:color w:val="auto"/>
          <w:kern w:val="2"/>
          <w:sz w:val="28"/>
          <w:szCs w:val="28"/>
          <w:highlight w:val="none"/>
          <w:lang w:val="en-US" w:eastAsia="zh-CN" w:bidi="ar-SA"/>
        </w:rPr>
      </w:pPr>
      <w:r>
        <w:rPr>
          <w:rFonts w:hint="eastAsia" w:ascii="Times New Roman" w:hAnsi="Times New Roman" w:eastAsia="黑体" w:cs="Times New Roman"/>
          <w:b w:val="0"/>
          <w:bCs/>
          <w:color w:val="auto"/>
          <w:kern w:val="2"/>
          <w:sz w:val="28"/>
          <w:szCs w:val="28"/>
          <w:highlight w:val="none"/>
          <w:lang w:val="en-US" w:eastAsia="zh-CN" w:bidi="ar-SA"/>
        </w:rPr>
        <w:t>四、其他</w:t>
      </w:r>
    </w:p>
    <w:p>
      <w:pPr>
        <w:wordWrap w:val="0"/>
        <w:spacing w:line="360" w:lineRule="auto"/>
        <w:ind w:firstLine="420" w:firstLineChars="200"/>
        <w:rPr>
          <w:rFonts w:hint="eastAsia"/>
          <w:color w:val="auto"/>
          <w:highlight w:val="none"/>
        </w:rPr>
      </w:pPr>
      <w:r>
        <w:rPr>
          <w:rFonts w:hint="eastAsia"/>
          <w:color w:val="auto"/>
          <w:highlight w:val="none"/>
          <w:lang w:val="en-US" w:eastAsia="zh-CN"/>
        </w:rPr>
        <w:t>1、</w:t>
      </w:r>
      <w:r>
        <w:rPr>
          <w:rFonts w:hint="eastAsia"/>
          <w:color w:val="auto"/>
          <w:highlight w:val="none"/>
        </w:rPr>
        <w:t>中标人</w:t>
      </w:r>
      <w:r>
        <w:rPr>
          <w:rFonts w:hint="eastAsia"/>
          <w:color w:val="auto"/>
          <w:highlight w:val="none"/>
          <w:lang w:eastAsia="zh-CN"/>
        </w:rPr>
        <w:t>须根据招标人要求提供驻场服务。</w:t>
      </w:r>
    </w:p>
    <w:p>
      <w:pPr>
        <w:pStyle w:val="9"/>
        <w:rPr>
          <w:color w:val="auto"/>
          <w:sz w:val="20"/>
          <w:highlight w:val="none"/>
        </w:rPr>
      </w:pPr>
    </w:p>
    <w:p>
      <w:pPr>
        <w:pStyle w:val="9"/>
        <w:rPr>
          <w:color w:val="auto"/>
          <w:highlight w:val="none"/>
        </w:rPr>
      </w:pPr>
      <w:r>
        <w:rPr>
          <w:rFonts w:hint="eastAsia"/>
          <w:color w:val="auto"/>
          <w:sz w:val="20"/>
          <w:highlight w:val="none"/>
        </w:rPr>
        <w:t xml:space="preserve"> </w:t>
      </w:r>
    </w:p>
    <w:p>
      <w:pPr>
        <w:pStyle w:val="2"/>
        <w:spacing w:before="0" w:after="0" w:line="360" w:lineRule="auto"/>
        <w:rPr>
          <w:rFonts w:ascii="宋体" w:hAnsi="宋体"/>
          <w:color w:val="auto"/>
          <w:highlight w:val="none"/>
        </w:rPr>
      </w:pPr>
    </w:p>
    <w:p>
      <w:pPr>
        <w:rPr>
          <w:color w:val="auto"/>
          <w:highlight w:val="none"/>
        </w:rPr>
      </w:pPr>
    </w:p>
    <w:p>
      <w:pPr>
        <w:pStyle w:val="26"/>
        <w:rPr>
          <w:color w:val="auto"/>
          <w:highlight w:val="none"/>
        </w:rPr>
      </w:pPr>
    </w:p>
    <w:p>
      <w:pPr>
        <w:rPr>
          <w:rFonts w:hint="eastAsia"/>
          <w:color w:val="auto"/>
          <w:highlight w:val="none"/>
        </w:rPr>
      </w:pPr>
    </w:p>
    <w:p>
      <w:pPr>
        <w:pStyle w:val="2"/>
        <w:spacing w:before="0" w:after="0" w:line="360" w:lineRule="auto"/>
        <w:rPr>
          <w:rFonts w:ascii="宋体" w:hAnsi="宋体"/>
          <w:color w:val="auto"/>
          <w:highlight w:val="none"/>
        </w:rPr>
      </w:pPr>
    </w:p>
    <w:p>
      <w:pPr>
        <w:pStyle w:val="2"/>
        <w:spacing w:before="0" w:after="0" w:line="360" w:lineRule="auto"/>
        <w:rPr>
          <w:rFonts w:ascii="宋体" w:hAnsi="宋体"/>
          <w:color w:val="auto"/>
          <w:highlight w:val="none"/>
        </w:rPr>
      </w:pPr>
      <w:r>
        <w:rPr>
          <w:rFonts w:hint="eastAsia" w:ascii="宋体" w:hAnsi="宋体"/>
          <w:color w:val="auto"/>
          <w:highlight w:val="none"/>
        </w:rPr>
        <w:t>第六章  投标文件格式</w:t>
      </w:r>
      <w:bookmarkEnd w:id="420"/>
      <w:bookmarkEnd w:id="421"/>
      <w:bookmarkEnd w:id="422"/>
      <w:bookmarkEnd w:id="425"/>
    </w:p>
    <w:p>
      <w:pPr>
        <w:autoSpaceDE w:val="0"/>
        <w:autoSpaceDN w:val="0"/>
        <w:adjustRightInd w:val="0"/>
        <w:spacing w:line="480" w:lineRule="atLeas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（本章仅提供有格式要求的材料模版，具体投标文件组成不限于以下材料，投标人需按“投标人须知”章节中“投标文件”的具体要求编制投标文件）</w:t>
      </w:r>
    </w:p>
    <w:p>
      <w:pPr>
        <w:outlineLvl w:val="0"/>
        <w:rPr>
          <w:rFonts w:ascii="宋体" w:hAnsi="宋体"/>
          <w:b/>
          <w:color w:val="auto"/>
          <w:sz w:val="32"/>
          <w:highlight w:val="none"/>
        </w:rPr>
      </w:pPr>
      <w:r>
        <w:rPr>
          <w:rFonts w:ascii="宋体" w:hAnsi="宋体" w:cs="宋体"/>
          <w:color w:val="auto"/>
          <w:sz w:val="24"/>
          <w:highlight w:val="none"/>
        </w:rPr>
        <w:br w:type="page"/>
      </w:r>
      <w:bookmarkStart w:id="435" w:name="_Toc7321_WPSOffice_Level1"/>
      <w:bookmarkStart w:id="436" w:name="_Toc3965_WPSOffice_Level1"/>
      <w:bookmarkStart w:id="437" w:name="_Toc22947_WPSOffice_Level1"/>
      <w:bookmarkStart w:id="438" w:name="_Toc18209"/>
      <w:bookmarkStart w:id="439" w:name="_Toc508216955"/>
      <w:bookmarkStart w:id="440" w:name="_Toc24836_WPSOffice_Level1"/>
      <w:bookmarkStart w:id="441" w:name="_Toc445475396"/>
      <w:bookmarkStart w:id="442" w:name="_Toc397928631"/>
      <w:r>
        <w:rPr>
          <w:rStyle w:val="43"/>
          <w:rFonts w:hint="eastAsia" w:ascii="宋体" w:hAnsi="宋体" w:eastAsia="宋体"/>
          <w:color w:val="auto"/>
          <w:highlight w:val="none"/>
        </w:rPr>
        <w:t>封面</w:t>
      </w:r>
      <w:bookmarkEnd w:id="435"/>
      <w:bookmarkEnd w:id="436"/>
      <w:bookmarkEnd w:id="437"/>
      <w:bookmarkEnd w:id="438"/>
      <w:bookmarkEnd w:id="439"/>
      <w:bookmarkEnd w:id="440"/>
      <w:bookmarkEnd w:id="441"/>
      <w:bookmarkEnd w:id="442"/>
    </w:p>
    <w:p>
      <w:pPr>
        <w:spacing w:line="360" w:lineRule="auto"/>
        <w:jc w:val="center"/>
        <w:rPr>
          <w:rFonts w:ascii="宋体" w:hAnsi="宋体"/>
          <w:b/>
          <w:color w:val="auto"/>
          <w:sz w:val="32"/>
          <w:highlight w:val="none"/>
        </w:rPr>
      </w:pPr>
    </w:p>
    <w:p>
      <w:pPr>
        <w:jc w:val="center"/>
        <w:rPr>
          <w:rFonts w:ascii="宋体" w:hAnsi="宋体"/>
          <w:color w:val="auto"/>
          <w:sz w:val="44"/>
          <w:szCs w:val="44"/>
          <w:highlight w:val="none"/>
        </w:rPr>
      </w:pPr>
      <w:r>
        <w:rPr>
          <w:rFonts w:hint="eastAsia" w:ascii="宋体" w:hAnsi="宋体"/>
          <w:color w:val="auto"/>
          <w:sz w:val="44"/>
          <w:szCs w:val="44"/>
          <w:highlight w:val="none"/>
        </w:rPr>
        <w:t xml:space="preserve"> </w:t>
      </w:r>
    </w:p>
    <w:p>
      <w:pPr>
        <w:jc w:val="center"/>
        <w:rPr>
          <w:rFonts w:ascii="宋体" w:hAnsi="宋体"/>
          <w:color w:val="auto"/>
          <w:sz w:val="44"/>
          <w:szCs w:val="44"/>
          <w:highlight w:val="none"/>
        </w:rPr>
      </w:pPr>
      <w:r>
        <w:rPr>
          <w:rFonts w:hint="eastAsia" w:ascii="宋体" w:hAnsi="宋体"/>
          <w:color w:val="auto"/>
          <w:sz w:val="44"/>
          <w:szCs w:val="44"/>
          <w:highlight w:val="none"/>
          <w:u w:val="single"/>
        </w:rPr>
        <w:t xml:space="preserve"> </w:t>
      </w:r>
      <w:bookmarkStart w:id="443" w:name="_Toc7845_WPSOffice_Level1"/>
      <w:bookmarkStart w:id="444" w:name="_Toc1285_WPSOffice_Level1"/>
      <w:bookmarkStart w:id="445" w:name="_Toc8467_WPSOffice_Level1"/>
      <w:bookmarkStart w:id="446" w:name="_Toc13719_WPSOffice_Level1"/>
      <w:r>
        <w:rPr>
          <w:rFonts w:hint="eastAsia" w:ascii="宋体" w:hAnsi="宋体"/>
          <w:color w:val="auto"/>
          <w:sz w:val="44"/>
          <w:szCs w:val="44"/>
          <w:highlight w:val="none"/>
          <w:u w:val="single"/>
        </w:rPr>
        <w:t xml:space="preserve">（项目名称及标段）   </w:t>
      </w:r>
      <w:r>
        <w:rPr>
          <w:rFonts w:hint="eastAsia" w:ascii="宋体" w:hAnsi="宋体"/>
          <w:color w:val="auto"/>
          <w:sz w:val="44"/>
          <w:szCs w:val="44"/>
          <w:highlight w:val="none"/>
        </w:rPr>
        <w:t>招标</w:t>
      </w:r>
      <w:bookmarkEnd w:id="443"/>
      <w:bookmarkEnd w:id="444"/>
      <w:bookmarkEnd w:id="445"/>
      <w:bookmarkEnd w:id="446"/>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72"/>
          <w:szCs w:val="72"/>
          <w:highlight w:val="none"/>
        </w:rPr>
      </w:pPr>
    </w:p>
    <w:p>
      <w:pPr>
        <w:spacing w:line="360" w:lineRule="auto"/>
        <w:jc w:val="center"/>
        <w:outlineLvl w:val="0"/>
        <w:rPr>
          <w:rFonts w:ascii="宋体" w:hAnsi="宋体"/>
          <w:color w:val="auto"/>
          <w:sz w:val="96"/>
          <w:szCs w:val="96"/>
          <w:highlight w:val="none"/>
        </w:rPr>
      </w:pPr>
      <w:bookmarkStart w:id="447" w:name="_Toc5217_WPSOffice_Level1"/>
      <w:bookmarkStart w:id="448" w:name="_Toc15206_WPSOffice_Level1"/>
      <w:bookmarkStart w:id="449" w:name="_Toc2862_WPSOffice_Level1"/>
      <w:bookmarkStart w:id="450" w:name="_Toc27088_WPSOffice_Level1"/>
      <w:bookmarkStart w:id="451" w:name="_Toc6709"/>
      <w:r>
        <w:rPr>
          <w:rFonts w:hint="eastAsia" w:ascii="宋体" w:hAnsi="宋体"/>
          <w:color w:val="auto"/>
          <w:sz w:val="96"/>
          <w:szCs w:val="96"/>
          <w:highlight w:val="none"/>
        </w:rPr>
        <w:t>投 标 文 件</w:t>
      </w:r>
      <w:bookmarkEnd w:id="447"/>
      <w:bookmarkEnd w:id="448"/>
      <w:bookmarkEnd w:id="449"/>
      <w:bookmarkEnd w:id="450"/>
      <w:bookmarkEnd w:id="451"/>
    </w:p>
    <w:p>
      <w:pPr>
        <w:spacing w:line="360" w:lineRule="auto"/>
        <w:jc w:val="center"/>
        <w:rPr>
          <w:rFonts w:ascii="宋体" w:hAnsi="宋体"/>
          <w:color w:val="auto"/>
          <w:sz w:val="28"/>
          <w:szCs w:val="28"/>
          <w:highlight w:val="none"/>
        </w:rPr>
      </w:pPr>
    </w:p>
    <w:p>
      <w:pPr>
        <w:spacing w:line="360" w:lineRule="auto"/>
        <w:jc w:val="center"/>
        <w:outlineLvl w:val="0"/>
        <w:rPr>
          <w:rFonts w:ascii="宋体" w:hAnsi="宋体"/>
          <w:color w:val="auto"/>
          <w:sz w:val="28"/>
          <w:szCs w:val="28"/>
          <w:highlight w:val="none"/>
        </w:rPr>
      </w:pPr>
      <w:bookmarkStart w:id="452" w:name="_Toc24923"/>
      <w:bookmarkStart w:id="453" w:name="_Toc30095_WPSOffice_Level1"/>
      <w:bookmarkStart w:id="454" w:name="_Toc18069_WPSOffice_Level1"/>
      <w:bookmarkStart w:id="455" w:name="_Toc29496_WPSOffice_Level1"/>
      <w:bookmarkStart w:id="456" w:name="_Toc16954_WPSOffice_Level1"/>
      <w:r>
        <w:rPr>
          <w:rFonts w:hint="eastAsia" w:ascii="宋体" w:hAnsi="宋体"/>
          <w:color w:val="auto"/>
          <w:sz w:val="28"/>
          <w:szCs w:val="28"/>
          <w:highlight w:val="none"/>
        </w:rPr>
        <w:t>项目编号：</w:t>
      </w:r>
      <w:bookmarkEnd w:id="452"/>
      <w:bookmarkEnd w:id="453"/>
      <w:bookmarkEnd w:id="454"/>
      <w:bookmarkEnd w:id="455"/>
      <w:bookmarkEnd w:id="456"/>
      <w:r>
        <w:rPr>
          <w:rFonts w:hint="eastAsia" w:ascii="宋体" w:hAnsi="宋体"/>
          <w:color w:val="auto"/>
          <w:sz w:val="28"/>
          <w:szCs w:val="28"/>
          <w:highlight w:val="none"/>
        </w:rPr>
        <w:t xml:space="preserve"> </w:t>
      </w: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jc w:val="center"/>
        <w:rPr>
          <w:rFonts w:ascii="宋体" w:hAnsi="宋体"/>
          <w:color w:val="auto"/>
          <w:sz w:val="28"/>
          <w:szCs w:val="28"/>
          <w:highlight w:val="none"/>
        </w:rPr>
      </w:pPr>
    </w:p>
    <w:p>
      <w:pPr>
        <w:spacing w:line="360" w:lineRule="auto"/>
        <w:ind w:firstLine="708" w:firstLineChars="253"/>
        <w:jc w:val="left"/>
        <w:rPr>
          <w:rFonts w:ascii="宋体" w:hAnsi="宋体"/>
          <w:color w:val="auto"/>
          <w:sz w:val="28"/>
          <w:szCs w:val="28"/>
          <w:highlight w:val="none"/>
          <w:u w:val="single"/>
        </w:rPr>
      </w:pPr>
      <w:r>
        <w:rPr>
          <w:rFonts w:hint="eastAsia" w:ascii="宋体" w:hAnsi="宋体"/>
          <w:color w:val="auto"/>
          <w:sz w:val="28"/>
          <w:szCs w:val="28"/>
          <w:highlight w:val="none"/>
        </w:rPr>
        <w:t>投标人（盖章）：</w:t>
      </w:r>
      <w:r>
        <w:rPr>
          <w:rFonts w:hint="eastAsia" w:ascii="宋体" w:hAnsi="宋体"/>
          <w:color w:val="auto"/>
          <w:sz w:val="28"/>
          <w:szCs w:val="28"/>
          <w:highlight w:val="none"/>
          <w:u w:val="single"/>
        </w:rPr>
        <w:t xml:space="preserve">                                </w:t>
      </w:r>
    </w:p>
    <w:p>
      <w:pPr>
        <w:spacing w:line="360" w:lineRule="auto"/>
        <w:ind w:firstLine="700" w:firstLineChars="250"/>
        <w:jc w:val="left"/>
        <w:rPr>
          <w:rFonts w:ascii="宋体" w:hAnsi="宋体"/>
          <w:color w:val="auto"/>
          <w:sz w:val="28"/>
          <w:szCs w:val="28"/>
          <w:highlight w:val="none"/>
        </w:rPr>
      </w:pPr>
      <w:r>
        <w:rPr>
          <w:rFonts w:hint="eastAsia" w:ascii="宋体" w:hAnsi="宋体"/>
          <w:color w:val="auto"/>
          <w:sz w:val="28"/>
          <w:szCs w:val="28"/>
          <w:highlight w:val="none"/>
        </w:rPr>
        <w:t>日期：</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pacing w:line="360" w:lineRule="auto"/>
        <w:jc w:val="left"/>
        <w:rPr>
          <w:rFonts w:ascii="宋体" w:hAnsi="宋体"/>
          <w:color w:val="auto"/>
          <w:highlight w:val="none"/>
        </w:rPr>
      </w:pPr>
      <w:bookmarkStart w:id="457" w:name="_Toc387526242"/>
      <w:bookmarkStart w:id="458" w:name="_Toc387526346"/>
      <w:bookmarkStart w:id="459" w:name="_Toc5230"/>
      <w:bookmarkStart w:id="460" w:name="_Toc397928632"/>
      <w:bookmarkStart w:id="461" w:name="_Toc387526438"/>
    </w:p>
    <w:p>
      <w:pPr>
        <w:spacing w:line="360" w:lineRule="auto"/>
        <w:ind w:firstLine="1785" w:firstLineChars="850"/>
        <w:jc w:val="left"/>
        <w:rPr>
          <w:rFonts w:ascii="宋体" w:hAnsi="宋体"/>
          <w:color w:val="auto"/>
          <w:highlight w:val="none"/>
        </w:rPr>
      </w:pPr>
    </w:p>
    <w:p>
      <w:pPr>
        <w:spacing w:line="360" w:lineRule="auto"/>
        <w:ind w:firstLine="1785" w:firstLineChars="850"/>
        <w:jc w:val="left"/>
        <w:rPr>
          <w:rFonts w:ascii="宋体" w:hAnsi="宋体"/>
          <w:color w:val="auto"/>
          <w:highlight w:val="none"/>
        </w:rPr>
      </w:pPr>
    </w:p>
    <w:bookmarkEnd w:id="457"/>
    <w:bookmarkEnd w:id="458"/>
    <w:bookmarkEnd w:id="459"/>
    <w:bookmarkEnd w:id="460"/>
    <w:bookmarkEnd w:id="461"/>
    <w:p>
      <w:pPr>
        <w:pStyle w:val="12"/>
        <w:snapToGrid w:val="0"/>
        <w:spacing w:before="120" w:after="120" w:line="460" w:lineRule="exact"/>
        <w:jc w:val="left"/>
        <w:rPr>
          <w:rFonts w:hAnsi="宋体" w:cs="Angsana New"/>
          <w:color w:val="auto"/>
          <w:sz w:val="24"/>
          <w:szCs w:val="24"/>
          <w:highlight w:val="none"/>
          <w:lang w:bidi="th-TH"/>
        </w:rPr>
      </w:pPr>
      <w:r>
        <w:rPr>
          <w:rFonts w:hint="eastAsia" w:hAnsi="宋体"/>
          <w:color w:val="auto"/>
          <w:sz w:val="24"/>
          <w:szCs w:val="24"/>
          <w:highlight w:val="none"/>
        </w:rPr>
        <w:br w:type="page"/>
      </w:r>
      <w:r>
        <w:rPr>
          <w:rFonts w:hint="eastAsia" w:hAnsi="宋体"/>
          <w:color w:val="auto"/>
          <w:sz w:val="24"/>
          <w:szCs w:val="24"/>
          <w:highlight w:val="none"/>
        </w:rPr>
        <w:t>格式一：</w:t>
      </w:r>
    </w:p>
    <w:p>
      <w:pPr>
        <w:pStyle w:val="12"/>
        <w:snapToGrid w:val="0"/>
        <w:spacing w:before="120" w:after="120" w:line="460" w:lineRule="exact"/>
        <w:jc w:val="center"/>
        <w:rPr>
          <w:rFonts w:hAnsi="宋体"/>
          <w:b/>
          <w:color w:val="auto"/>
          <w:szCs w:val="28"/>
          <w:highlight w:val="none"/>
        </w:rPr>
      </w:pPr>
    </w:p>
    <w:p>
      <w:pPr>
        <w:pStyle w:val="12"/>
        <w:snapToGrid w:val="0"/>
        <w:spacing w:before="120" w:after="120" w:line="460" w:lineRule="exact"/>
        <w:jc w:val="center"/>
        <w:rPr>
          <w:rFonts w:hAnsi="宋体" w:cs="Angsana New"/>
          <w:color w:val="auto"/>
          <w:highlight w:val="none"/>
          <w:lang w:bidi="th-TH"/>
        </w:rPr>
      </w:pPr>
      <w:r>
        <w:rPr>
          <w:rFonts w:hint="eastAsia" w:hAnsi="宋体"/>
          <w:b/>
          <w:color w:val="auto"/>
          <w:szCs w:val="28"/>
          <w:highlight w:val="none"/>
        </w:rPr>
        <w:t>投标人的法定代表人身份证明书</w:t>
      </w:r>
    </w:p>
    <w:p>
      <w:pPr>
        <w:pStyle w:val="12"/>
        <w:snapToGrid w:val="0"/>
        <w:spacing w:before="120" w:after="120" w:line="46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单位名称：</w:t>
      </w:r>
      <w:r>
        <w:rPr>
          <w:rFonts w:hint="eastAsia" w:hAnsi="宋体" w:cs="Angsana New"/>
          <w:color w:val="auto"/>
          <w:sz w:val="24"/>
          <w:szCs w:val="24"/>
          <w:highlight w:val="none"/>
          <w:u w:val="single"/>
          <w:lang w:bidi="th-TH"/>
        </w:rPr>
        <w:t xml:space="preserve">                                  </w:t>
      </w:r>
    </w:p>
    <w:p>
      <w:pPr>
        <w:pStyle w:val="12"/>
        <w:snapToGrid w:val="0"/>
        <w:spacing w:before="120" w:after="120" w:line="46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单位性质：</w:t>
      </w:r>
      <w:r>
        <w:rPr>
          <w:rFonts w:hint="eastAsia" w:hAnsi="宋体" w:cs="Angsana New"/>
          <w:color w:val="auto"/>
          <w:sz w:val="24"/>
          <w:szCs w:val="24"/>
          <w:highlight w:val="none"/>
          <w:u w:val="single"/>
          <w:lang w:bidi="th-TH"/>
        </w:rPr>
        <w:t xml:space="preserve">                                 </w:t>
      </w:r>
    </w:p>
    <w:p>
      <w:pPr>
        <w:pStyle w:val="12"/>
        <w:snapToGrid w:val="0"/>
        <w:spacing w:before="120" w:after="120" w:line="46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地址：</w:t>
      </w:r>
      <w:r>
        <w:rPr>
          <w:rFonts w:hint="eastAsia" w:hAnsi="宋体" w:cs="Angsana New"/>
          <w:color w:val="auto"/>
          <w:sz w:val="24"/>
          <w:szCs w:val="24"/>
          <w:highlight w:val="none"/>
          <w:u w:val="single"/>
          <w:lang w:bidi="th-TH"/>
        </w:rPr>
        <w:t xml:space="preserve">                                     </w:t>
      </w:r>
    </w:p>
    <w:p>
      <w:pPr>
        <w:pStyle w:val="12"/>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成立时间：</w:t>
      </w:r>
      <w:r>
        <w:rPr>
          <w:rFonts w:hint="eastAsia" w:hAnsi="宋体" w:cs="Angsana New"/>
          <w:color w:val="auto"/>
          <w:sz w:val="24"/>
          <w:szCs w:val="24"/>
          <w:highlight w:val="none"/>
          <w:u w:val="single"/>
          <w:lang w:bidi="th-TH"/>
        </w:rPr>
        <w:t xml:space="preserve">       年    月      日</w:t>
      </w:r>
    </w:p>
    <w:p>
      <w:pPr>
        <w:pStyle w:val="12"/>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经营期限：</w:t>
      </w:r>
      <w:r>
        <w:rPr>
          <w:rFonts w:hint="eastAsia" w:hAnsi="宋体" w:cs="Angsana New"/>
          <w:color w:val="auto"/>
          <w:sz w:val="24"/>
          <w:szCs w:val="24"/>
          <w:highlight w:val="none"/>
          <w:u w:val="single"/>
          <w:lang w:bidi="th-TH"/>
        </w:rPr>
        <w:t xml:space="preserve">                                  </w:t>
      </w:r>
    </w:p>
    <w:p>
      <w:pPr>
        <w:pStyle w:val="12"/>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 xml:space="preserve">姓名： </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性别：</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 xml:space="preserve"> 年龄： </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职务：</w:t>
      </w:r>
      <w:r>
        <w:rPr>
          <w:rFonts w:hint="eastAsia" w:hAnsi="宋体" w:cs="Angsana New"/>
          <w:color w:val="auto"/>
          <w:sz w:val="24"/>
          <w:szCs w:val="24"/>
          <w:highlight w:val="none"/>
          <w:u w:val="single"/>
          <w:lang w:bidi="th-TH"/>
        </w:rPr>
        <w:t xml:space="preserve">      </w:t>
      </w:r>
    </w:p>
    <w:p>
      <w:pPr>
        <w:pStyle w:val="12"/>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系</w:t>
      </w:r>
      <w:r>
        <w:rPr>
          <w:rFonts w:hint="eastAsia" w:hAnsi="宋体" w:cs="Angsana New"/>
          <w:color w:val="auto"/>
          <w:sz w:val="24"/>
          <w:szCs w:val="24"/>
          <w:highlight w:val="none"/>
          <w:u w:val="single"/>
          <w:lang w:bidi="th-TH"/>
        </w:rPr>
        <w:t>（投标人）</w:t>
      </w:r>
      <w:r>
        <w:rPr>
          <w:rFonts w:hint="eastAsia" w:hAnsi="宋体" w:cs="Angsana New"/>
          <w:color w:val="auto"/>
          <w:sz w:val="24"/>
          <w:szCs w:val="24"/>
          <w:highlight w:val="none"/>
          <w:lang w:bidi="th-TH"/>
        </w:rPr>
        <w:t>的法定代表人。</w:t>
      </w:r>
    </w:p>
    <w:p>
      <w:pPr>
        <w:pStyle w:val="12"/>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特此证明。</w:t>
      </w:r>
    </w:p>
    <w:p>
      <w:pPr>
        <w:pStyle w:val="12"/>
        <w:snapToGrid w:val="0"/>
        <w:spacing w:before="120" w:after="120" w:line="460" w:lineRule="exact"/>
        <w:jc w:val="left"/>
        <w:rPr>
          <w:rFonts w:hAnsi="宋体" w:cs="Angsana New"/>
          <w:color w:val="auto"/>
          <w:sz w:val="24"/>
          <w:szCs w:val="24"/>
          <w:highlight w:val="none"/>
          <w:lang w:bidi="th-TH"/>
        </w:rPr>
      </w:pPr>
      <w:r>
        <w:rPr>
          <w:rFonts w:hAnsi="宋体" w:cs="Angsana New"/>
          <w:color w:val="auto"/>
          <w:sz w:val="24"/>
          <w:szCs w:val="24"/>
          <w:highlight w:val="none"/>
        </w:rPr>
        <w:pict>
          <v:rect id="Rectangle 3" o:spid="_x0000_s2053" o:spt="1" style="position:absolute;left:0pt;margin-left:1.55pt;margin-top:8.9pt;height:85.8pt;width:153pt;z-index:251660288;mso-width-relative:page;mso-height-relative:page;" coordsize="21600,21600" o:gfxdata="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AG5q/VAAAACAEAAA8AAAAAAAAAAQAgAAAAIgAAAGRycy9kb3ducmV2&#10;LnhtbFBLAQIUABQAAAAIAIdO4kBLaIb2/wEAADsEAAAOAAAAAAAAAAEAIAAAACQBAABkcnMvZTJv&#10;RG9jLnhtbFBLBQYAAAAABgAGAFkBAACVBQAAAAA=&#10;">
            <v:path/>
            <v:fill focussize="0,0"/>
            <v:stroke/>
            <v:imagedata o:title=""/>
            <o:lock v:ext="edit"/>
            <v:textbox>
              <w:txbxContent>
                <w:p>
                  <w:pPr>
                    <w:jc w:val="center"/>
                    <w:rPr>
                      <w:rFonts w:ascii="宋体" w:hAnsi="宋体"/>
                      <w:sz w:val="24"/>
                    </w:rPr>
                  </w:pPr>
                </w:p>
                <w:p>
                  <w:pPr>
                    <w:jc w:val="center"/>
                    <w:rPr>
                      <w:rFonts w:ascii="宋体" w:hAnsi="宋体"/>
                      <w:sz w:val="24"/>
                    </w:rPr>
                  </w:pPr>
                  <w:r>
                    <w:rPr>
                      <w:rFonts w:hint="eastAsia" w:ascii="宋体" w:hAnsi="宋体"/>
                      <w:sz w:val="24"/>
                    </w:rPr>
                    <w:t>法定代表人身份证复印于此</w:t>
                  </w:r>
                </w:p>
              </w:txbxContent>
            </v:textbox>
          </v:rect>
        </w:pict>
      </w:r>
    </w:p>
    <w:p>
      <w:pPr>
        <w:pStyle w:val="12"/>
        <w:snapToGrid w:val="0"/>
        <w:spacing w:before="120" w:after="120" w:line="460" w:lineRule="exact"/>
        <w:ind w:firstLine="5508" w:firstLineChars="2295"/>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投标人（盖章）：</w:t>
      </w:r>
      <w:r>
        <w:rPr>
          <w:rFonts w:hint="eastAsia" w:hAnsi="宋体" w:cs="Angsana New"/>
          <w:color w:val="auto"/>
          <w:sz w:val="24"/>
          <w:szCs w:val="24"/>
          <w:highlight w:val="none"/>
          <w:u w:val="single"/>
          <w:lang w:bidi="th-TH"/>
        </w:rPr>
        <w:t xml:space="preserve">             </w:t>
      </w:r>
    </w:p>
    <w:p>
      <w:pPr>
        <w:pStyle w:val="12"/>
        <w:snapToGrid w:val="0"/>
        <w:spacing w:before="120" w:after="120" w:line="460" w:lineRule="exact"/>
        <w:ind w:firstLine="5508" w:firstLineChars="2295"/>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日期：</w:t>
      </w:r>
      <w:r>
        <w:rPr>
          <w:rFonts w:hint="eastAsia" w:hAnsi="宋体" w:cs="Angsana New"/>
          <w:color w:val="auto"/>
          <w:sz w:val="24"/>
          <w:szCs w:val="24"/>
          <w:highlight w:val="none"/>
          <w:u w:val="single"/>
          <w:lang w:bidi="th-TH"/>
        </w:rPr>
        <w:t xml:space="preserve">   年  月  日</w:t>
      </w:r>
      <w:r>
        <w:rPr>
          <w:rFonts w:hAnsi="宋体" w:cs="Angsana New"/>
          <w:color w:val="auto"/>
          <w:sz w:val="24"/>
          <w:szCs w:val="24"/>
          <w:highlight w:val="none"/>
          <w:lang w:bidi="th-TH"/>
        </w:rPr>
        <w:br w:type="page"/>
      </w:r>
      <w:r>
        <w:rPr>
          <w:rFonts w:hint="eastAsia" w:hAnsi="宋体" w:cs="Angsana New"/>
          <w:color w:val="auto"/>
          <w:sz w:val="24"/>
          <w:szCs w:val="24"/>
          <w:highlight w:val="none"/>
          <w:lang w:bidi="th-TH"/>
        </w:rPr>
        <w:t>格式二：</w:t>
      </w:r>
    </w:p>
    <w:p>
      <w:pPr>
        <w:pStyle w:val="12"/>
        <w:snapToGrid w:val="0"/>
        <w:spacing w:before="120" w:after="120" w:line="460" w:lineRule="exact"/>
        <w:jc w:val="center"/>
        <w:rPr>
          <w:rFonts w:hAnsi="宋体"/>
          <w:b/>
          <w:color w:val="auto"/>
          <w:szCs w:val="28"/>
          <w:highlight w:val="none"/>
        </w:rPr>
      </w:pPr>
    </w:p>
    <w:p>
      <w:pPr>
        <w:pStyle w:val="12"/>
        <w:snapToGrid w:val="0"/>
        <w:spacing w:before="120" w:after="120" w:line="460" w:lineRule="exact"/>
        <w:jc w:val="center"/>
        <w:rPr>
          <w:rFonts w:hAnsi="宋体"/>
          <w:b/>
          <w:color w:val="auto"/>
          <w:szCs w:val="28"/>
          <w:highlight w:val="none"/>
        </w:rPr>
      </w:pPr>
      <w:r>
        <w:rPr>
          <w:rFonts w:hint="eastAsia" w:hAnsi="宋体"/>
          <w:b/>
          <w:color w:val="auto"/>
          <w:szCs w:val="28"/>
          <w:highlight w:val="none"/>
        </w:rPr>
        <w:t>投标人的法定代表人授权委托书</w:t>
      </w:r>
    </w:p>
    <w:p>
      <w:pPr>
        <w:pStyle w:val="12"/>
        <w:snapToGrid w:val="0"/>
        <w:spacing w:before="120" w:after="120" w:line="46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本授权委托书声明：我</w:t>
      </w:r>
      <w:r>
        <w:rPr>
          <w:rFonts w:hint="eastAsia" w:hAnsi="宋体" w:cs="Angsana New"/>
          <w:color w:val="auto"/>
          <w:sz w:val="24"/>
          <w:szCs w:val="24"/>
          <w:highlight w:val="none"/>
          <w:u w:val="single"/>
          <w:lang w:bidi="th-TH"/>
        </w:rPr>
        <w:t>（姓名）</w:t>
      </w:r>
      <w:r>
        <w:rPr>
          <w:rFonts w:hint="eastAsia" w:hAnsi="宋体" w:cs="Angsana New"/>
          <w:color w:val="auto"/>
          <w:sz w:val="24"/>
          <w:szCs w:val="24"/>
          <w:highlight w:val="none"/>
          <w:lang w:bidi="th-TH"/>
        </w:rPr>
        <w:t>系</w:t>
      </w:r>
      <w:r>
        <w:rPr>
          <w:rFonts w:hint="eastAsia" w:hAnsi="宋体" w:cs="Angsana New"/>
          <w:color w:val="auto"/>
          <w:sz w:val="24"/>
          <w:szCs w:val="24"/>
          <w:highlight w:val="none"/>
          <w:u w:val="single"/>
          <w:lang w:bidi="th-TH"/>
        </w:rPr>
        <w:t>（投标人名称）</w:t>
      </w:r>
      <w:r>
        <w:rPr>
          <w:rFonts w:hint="eastAsia" w:hAnsi="宋体" w:cs="Angsana New"/>
          <w:color w:val="auto"/>
          <w:sz w:val="24"/>
          <w:szCs w:val="24"/>
          <w:highlight w:val="none"/>
          <w:lang w:bidi="th-TH"/>
        </w:rPr>
        <w:t>的法定代表人，现授权委托</w:t>
      </w:r>
      <w:r>
        <w:rPr>
          <w:rFonts w:hint="eastAsia" w:hAnsi="宋体" w:cs="Angsana New"/>
          <w:color w:val="auto"/>
          <w:sz w:val="24"/>
          <w:szCs w:val="24"/>
          <w:highlight w:val="none"/>
          <w:u w:val="single"/>
          <w:lang w:bidi="th-TH"/>
        </w:rPr>
        <w:t>（单位名称）</w:t>
      </w:r>
      <w:r>
        <w:rPr>
          <w:rFonts w:hint="eastAsia" w:hAnsi="宋体" w:cs="Angsana New"/>
          <w:color w:val="auto"/>
          <w:sz w:val="24"/>
          <w:szCs w:val="24"/>
          <w:highlight w:val="none"/>
          <w:lang w:bidi="th-TH"/>
        </w:rPr>
        <w:t>的</w:t>
      </w:r>
      <w:r>
        <w:rPr>
          <w:rFonts w:hint="eastAsia" w:hAnsi="宋体" w:cs="Angsana New"/>
          <w:color w:val="auto"/>
          <w:sz w:val="24"/>
          <w:szCs w:val="24"/>
          <w:highlight w:val="none"/>
          <w:u w:val="single"/>
          <w:lang w:bidi="th-TH"/>
        </w:rPr>
        <w:t>（姓名）</w:t>
      </w:r>
      <w:r>
        <w:rPr>
          <w:rFonts w:hint="eastAsia" w:hAnsi="宋体" w:cs="Angsana New"/>
          <w:color w:val="auto"/>
          <w:sz w:val="24"/>
          <w:szCs w:val="24"/>
          <w:highlight w:val="none"/>
          <w:lang w:bidi="th-TH"/>
        </w:rPr>
        <w:t>为我公司的代理人，以本公司的名义参加（</w:t>
      </w:r>
      <w:r>
        <w:rPr>
          <w:rFonts w:hint="eastAsia" w:hAnsi="宋体" w:cs="Angsana New"/>
          <w:color w:val="auto"/>
          <w:sz w:val="24"/>
          <w:szCs w:val="24"/>
          <w:highlight w:val="none"/>
          <w:u w:val="single"/>
          <w:lang w:bidi="th-TH"/>
        </w:rPr>
        <w:t>招标项目名称）</w:t>
      </w:r>
      <w:r>
        <w:rPr>
          <w:rFonts w:hint="eastAsia" w:hAnsi="宋体" w:cs="Angsana New"/>
          <w:color w:val="auto"/>
          <w:sz w:val="24"/>
          <w:szCs w:val="24"/>
          <w:highlight w:val="none"/>
          <w:lang w:bidi="th-TH"/>
        </w:rPr>
        <w:t>的投标活动。代理人在开标、评标、合同谈判过程中所签署的一切文件和处理与之有关的一切事务，我均予以承认。</w:t>
      </w:r>
    </w:p>
    <w:p>
      <w:pPr>
        <w:pStyle w:val="12"/>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 xml:space="preserve">代理人：                性别：           年龄：        </w:t>
      </w:r>
    </w:p>
    <w:p>
      <w:pPr>
        <w:pStyle w:val="12"/>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单位：                  部门：           职务：</w:t>
      </w:r>
    </w:p>
    <w:p>
      <w:pPr>
        <w:pStyle w:val="12"/>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代理人无转委托权。特此委托。</w:t>
      </w:r>
    </w:p>
    <w:p>
      <w:pPr>
        <w:pStyle w:val="12"/>
        <w:snapToGrid w:val="0"/>
        <w:spacing w:before="120" w:after="120" w:line="460" w:lineRule="exact"/>
        <w:jc w:val="left"/>
        <w:rPr>
          <w:rFonts w:hAnsi="宋体" w:cs="Angsana New"/>
          <w:color w:val="auto"/>
          <w:sz w:val="24"/>
          <w:szCs w:val="24"/>
          <w:highlight w:val="none"/>
          <w:lang w:bidi="th-TH"/>
        </w:rPr>
      </w:pPr>
      <w:r>
        <w:rPr>
          <w:rFonts w:hAnsi="宋体" w:cs="Angsana New"/>
          <w:color w:val="auto"/>
          <w:sz w:val="24"/>
          <w:szCs w:val="24"/>
          <w:highlight w:val="none"/>
        </w:rPr>
        <w:pict>
          <v:rect id="Rectangle 2" o:spid="_x0000_s2052" o:spt="1" style="position:absolute;left:0pt;margin-left:3.3pt;margin-top:1.8pt;height:85.8pt;width:153pt;z-index:251659264;mso-width-relative:page;mso-height-relative:page;" coordsize="21600,21600" o:gfxdata="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vm5T9QAAAAHAQAADwAAAAAAAAABACAAAAAiAAAAZHJzL2Rvd25yZXYu&#10;eG1sUEsBAhQAFAAAAAgAh07iQKepWhX/AQAAOwQAAA4AAAAAAAAAAQAgAAAAIwEAAGRycy9lMm9E&#10;b2MueG1sUEsFBgAAAAAGAAYAWQEAAJQFAAAAAA==&#10;">
            <v:path/>
            <v:fill focussize="0,0"/>
            <v:stroke/>
            <v:imagedata o:title=""/>
            <o:lock v:ext="edit"/>
            <v:textbox>
              <w:txbxContent>
                <w:p>
                  <w:pPr>
                    <w:jc w:val="center"/>
                    <w:rPr>
                      <w:rFonts w:ascii="宋体" w:hAnsi="宋体"/>
                      <w:sz w:val="24"/>
                    </w:rPr>
                  </w:pPr>
                </w:p>
                <w:p>
                  <w:pPr>
                    <w:jc w:val="center"/>
                    <w:rPr>
                      <w:rFonts w:ascii="宋体" w:hAnsi="宋体"/>
                      <w:szCs w:val="21"/>
                    </w:rPr>
                  </w:pPr>
                  <w:r>
                    <w:rPr>
                      <w:rFonts w:hint="eastAsia" w:ascii="宋体" w:hAnsi="宋体"/>
                      <w:szCs w:val="21"/>
                    </w:rPr>
                    <w:t>法定代表人及授权委托人身份证复印于此</w:t>
                  </w:r>
                </w:p>
              </w:txbxContent>
            </v:textbox>
          </v:rect>
        </w:pict>
      </w:r>
    </w:p>
    <w:p>
      <w:pPr>
        <w:pStyle w:val="12"/>
        <w:snapToGrid w:val="0"/>
        <w:spacing w:before="120" w:after="120" w:line="460" w:lineRule="exact"/>
        <w:jc w:val="left"/>
        <w:rPr>
          <w:rFonts w:hAnsi="宋体" w:cs="Angsana New"/>
          <w:color w:val="auto"/>
          <w:sz w:val="24"/>
          <w:szCs w:val="24"/>
          <w:highlight w:val="none"/>
          <w:lang w:bidi="th-TH"/>
        </w:rPr>
      </w:pPr>
    </w:p>
    <w:p>
      <w:pPr>
        <w:pStyle w:val="12"/>
        <w:snapToGrid w:val="0"/>
        <w:spacing w:before="120" w:after="120" w:line="460" w:lineRule="exact"/>
        <w:jc w:val="left"/>
        <w:rPr>
          <w:rFonts w:hAnsi="宋体" w:cs="Angsana New"/>
          <w:color w:val="auto"/>
          <w:sz w:val="24"/>
          <w:szCs w:val="24"/>
          <w:highlight w:val="none"/>
          <w:lang w:bidi="th-TH"/>
        </w:rPr>
      </w:pPr>
    </w:p>
    <w:p>
      <w:pPr>
        <w:pStyle w:val="12"/>
        <w:snapToGrid w:val="0"/>
        <w:spacing w:before="120" w:after="120" w:line="46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投标人（盖章）：</w:t>
      </w:r>
      <w:r>
        <w:rPr>
          <w:rFonts w:hint="eastAsia" w:hAnsi="宋体" w:cs="Angsana New"/>
          <w:color w:val="auto"/>
          <w:sz w:val="24"/>
          <w:szCs w:val="24"/>
          <w:highlight w:val="none"/>
          <w:u w:val="single"/>
          <w:lang w:bidi="th-TH"/>
        </w:rPr>
        <w:t xml:space="preserve">                 </w:t>
      </w:r>
    </w:p>
    <w:p>
      <w:pPr>
        <w:pStyle w:val="12"/>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法定代表人（签字或盖章）：</w:t>
      </w:r>
      <w:r>
        <w:rPr>
          <w:rFonts w:hint="eastAsia" w:hAnsi="宋体" w:cs="Angsana New"/>
          <w:color w:val="auto"/>
          <w:sz w:val="24"/>
          <w:szCs w:val="24"/>
          <w:highlight w:val="none"/>
          <w:u w:val="single"/>
          <w:lang w:bidi="th-TH"/>
        </w:rPr>
        <w:t xml:space="preserve">        </w:t>
      </w:r>
    </w:p>
    <w:p>
      <w:pPr>
        <w:pStyle w:val="12"/>
        <w:snapToGrid w:val="0"/>
        <w:spacing w:before="120" w:after="120" w:line="46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日期：</w:t>
      </w:r>
      <w:r>
        <w:rPr>
          <w:rFonts w:hint="eastAsia" w:hAnsi="宋体" w:cs="Angsana New"/>
          <w:color w:val="auto"/>
          <w:sz w:val="24"/>
          <w:szCs w:val="24"/>
          <w:highlight w:val="none"/>
          <w:u w:val="single"/>
          <w:lang w:bidi="th-TH"/>
        </w:rPr>
        <w:t xml:space="preserve">   年  月  日</w:t>
      </w:r>
    </w:p>
    <w:p>
      <w:pPr>
        <w:pStyle w:val="12"/>
        <w:snapToGrid w:val="0"/>
        <w:spacing w:before="120" w:after="120" w:line="460" w:lineRule="exact"/>
        <w:jc w:val="left"/>
        <w:rPr>
          <w:rFonts w:hAnsi="宋体" w:cs="Angsana New"/>
          <w:color w:val="auto"/>
          <w:highlight w:val="none"/>
          <w:lang w:bidi="th-TH"/>
        </w:rPr>
      </w:pPr>
    </w:p>
    <w:p>
      <w:pPr>
        <w:pStyle w:val="12"/>
        <w:snapToGrid w:val="0"/>
        <w:spacing w:before="120" w:after="120" w:line="460" w:lineRule="exact"/>
        <w:rPr>
          <w:rFonts w:hAnsi="宋体" w:cs="Angsana New"/>
          <w:color w:val="auto"/>
          <w:sz w:val="24"/>
          <w:szCs w:val="24"/>
          <w:highlight w:val="none"/>
          <w:lang w:bidi="th-TH"/>
        </w:rPr>
      </w:pPr>
      <w:r>
        <w:rPr>
          <w:rFonts w:hAnsi="宋体" w:cs="Angsana New"/>
          <w:color w:val="auto"/>
          <w:highlight w:val="none"/>
          <w:lang w:bidi="th-TH"/>
        </w:rPr>
        <w:br w:type="page"/>
      </w:r>
      <w:r>
        <w:rPr>
          <w:rFonts w:hint="eastAsia" w:hAnsi="宋体" w:cs="Angsana New"/>
          <w:color w:val="auto"/>
          <w:sz w:val="24"/>
          <w:szCs w:val="24"/>
          <w:highlight w:val="none"/>
          <w:lang w:bidi="th-TH"/>
        </w:rPr>
        <w:t>格式三：</w:t>
      </w:r>
    </w:p>
    <w:p>
      <w:pPr>
        <w:pStyle w:val="12"/>
        <w:snapToGrid w:val="0"/>
        <w:spacing w:line="480" w:lineRule="exact"/>
        <w:jc w:val="center"/>
        <w:rPr>
          <w:rFonts w:hAnsi="宋体"/>
          <w:b/>
          <w:color w:val="auto"/>
          <w:szCs w:val="28"/>
          <w:highlight w:val="none"/>
        </w:rPr>
      </w:pPr>
      <w:r>
        <w:rPr>
          <w:rFonts w:hint="eastAsia" w:hAnsi="宋体"/>
          <w:b/>
          <w:color w:val="auto"/>
          <w:szCs w:val="28"/>
          <w:highlight w:val="none"/>
        </w:rPr>
        <w:t>投标函</w:t>
      </w:r>
    </w:p>
    <w:p>
      <w:pPr>
        <w:pStyle w:val="12"/>
        <w:spacing w:line="400" w:lineRule="exact"/>
        <w:jc w:val="left"/>
        <w:rPr>
          <w:rFonts w:hAnsi="宋体" w:cs="Angsana New"/>
          <w:color w:val="auto"/>
          <w:sz w:val="24"/>
          <w:szCs w:val="24"/>
          <w:highlight w:val="none"/>
          <w:lang w:bidi="th-TH"/>
        </w:rPr>
      </w:pPr>
      <w:r>
        <w:rPr>
          <w:rFonts w:hint="eastAsia" w:hAnsi="宋体" w:cs="Angsana New"/>
          <w:color w:val="auto"/>
          <w:sz w:val="24"/>
          <w:szCs w:val="24"/>
          <w:highlight w:val="none"/>
          <w:u w:val="single"/>
          <w:lang w:bidi="th-TH"/>
        </w:rPr>
        <w:t>（招标人名称）</w:t>
      </w:r>
      <w:r>
        <w:rPr>
          <w:rFonts w:hint="eastAsia" w:hAnsi="宋体" w:cs="Angsana New"/>
          <w:color w:val="auto"/>
          <w:sz w:val="24"/>
          <w:szCs w:val="24"/>
          <w:highlight w:val="none"/>
          <w:lang w:bidi="th-TH"/>
        </w:rPr>
        <w:t>：</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根据贵方为</w:t>
      </w:r>
      <w:r>
        <w:rPr>
          <w:rFonts w:hint="eastAsia" w:hAnsi="宋体" w:cs="Angsana New"/>
          <w:color w:val="auto"/>
          <w:sz w:val="24"/>
          <w:szCs w:val="24"/>
          <w:highlight w:val="none"/>
          <w:u w:val="single"/>
          <w:lang w:bidi="th-TH"/>
        </w:rPr>
        <w:t>（项目名称）</w:t>
      </w:r>
      <w:r>
        <w:rPr>
          <w:rFonts w:hint="eastAsia" w:hAnsi="宋体" w:cs="Angsana New"/>
          <w:color w:val="auto"/>
          <w:sz w:val="24"/>
          <w:szCs w:val="24"/>
          <w:highlight w:val="none"/>
          <w:lang w:bidi="th-TH"/>
        </w:rPr>
        <w:t>项目的招标文件,签字人</w:t>
      </w:r>
      <w:r>
        <w:rPr>
          <w:rFonts w:hint="eastAsia" w:hAnsi="宋体" w:cs="Angsana New"/>
          <w:color w:val="auto"/>
          <w:sz w:val="24"/>
          <w:szCs w:val="24"/>
          <w:highlight w:val="none"/>
          <w:u w:val="single"/>
          <w:lang w:bidi="th-TH"/>
        </w:rPr>
        <w:t>（姓名、职务）</w:t>
      </w:r>
      <w:r>
        <w:rPr>
          <w:rFonts w:hint="eastAsia" w:hAnsi="宋体" w:cs="Angsana New"/>
          <w:color w:val="auto"/>
          <w:sz w:val="24"/>
          <w:szCs w:val="24"/>
          <w:highlight w:val="none"/>
          <w:lang w:bidi="th-TH"/>
        </w:rPr>
        <w:t>经正式授权并代表投标人</w:t>
      </w:r>
      <w:r>
        <w:rPr>
          <w:rFonts w:hint="eastAsia" w:hAnsi="宋体" w:cs="Angsana New"/>
          <w:color w:val="auto"/>
          <w:sz w:val="24"/>
          <w:szCs w:val="24"/>
          <w:highlight w:val="none"/>
          <w:u w:val="single"/>
          <w:lang w:bidi="th-TH"/>
        </w:rPr>
        <w:t>（投标人名称、地址）</w:t>
      </w:r>
      <w:r>
        <w:rPr>
          <w:rFonts w:hint="eastAsia" w:hAnsi="宋体" w:cs="Angsana New"/>
          <w:color w:val="auto"/>
          <w:sz w:val="24"/>
          <w:szCs w:val="24"/>
          <w:highlight w:val="none"/>
          <w:lang w:bidi="th-TH"/>
        </w:rPr>
        <w:t>提交投标文件；</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据此函，签字代表宣布同意如下：</w:t>
      </w:r>
    </w:p>
    <w:p>
      <w:pPr>
        <w:pStyle w:val="12"/>
        <w:spacing w:line="400" w:lineRule="exact"/>
        <w:ind w:firstLine="480" w:firstLineChars="200"/>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1.我方已仔细研究了</w:t>
      </w:r>
      <w:r>
        <w:rPr>
          <w:rFonts w:hint="eastAsia" w:hAnsi="宋体" w:cs="Angsana New"/>
          <w:color w:val="auto"/>
          <w:sz w:val="24"/>
          <w:szCs w:val="24"/>
          <w:highlight w:val="none"/>
          <w:u w:val="single"/>
          <w:lang w:bidi="th-TH"/>
        </w:rPr>
        <w:t xml:space="preserve">               （项目名称）</w:t>
      </w:r>
      <w:r>
        <w:rPr>
          <w:rFonts w:hint="eastAsia" w:hAnsi="宋体" w:cs="Angsana New"/>
          <w:color w:val="auto"/>
          <w:sz w:val="24"/>
          <w:szCs w:val="24"/>
          <w:highlight w:val="none"/>
          <w:lang w:bidi="th-TH"/>
        </w:rPr>
        <w:t>招标文件的全部内容，愿意以人民币（大写</w:t>
      </w:r>
      <w:r>
        <w:rPr>
          <w:rFonts w:hint="eastAsia" w:hAnsi="宋体" w:cs="Angsana New"/>
          <w:color w:val="auto"/>
          <w:sz w:val="24"/>
          <w:szCs w:val="24"/>
          <w:highlight w:val="none"/>
          <w:u w:val="single"/>
          <w:lang w:bidi="th-TH"/>
        </w:rPr>
        <w:t>）                  （¥        元）</w:t>
      </w:r>
      <w:r>
        <w:rPr>
          <w:rFonts w:hint="eastAsia" w:hAnsi="宋体" w:cs="Angsana New"/>
          <w:color w:val="auto"/>
          <w:sz w:val="24"/>
          <w:szCs w:val="24"/>
          <w:highlight w:val="none"/>
          <w:lang w:bidi="th-TH"/>
        </w:rPr>
        <w:t>的投标报价，合同履行期限</w:t>
      </w:r>
      <w:r>
        <w:rPr>
          <w:rFonts w:hint="eastAsia" w:hAnsi="宋体" w:cs="Angsana New"/>
          <w:color w:val="auto"/>
          <w:sz w:val="24"/>
          <w:szCs w:val="24"/>
          <w:highlight w:val="none"/>
          <w:u w:val="single"/>
          <w:lang w:bidi="th-TH"/>
        </w:rPr>
        <w:t>：       。</w:t>
      </w:r>
      <w:r>
        <w:rPr>
          <w:rFonts w:hint="eastAsia" w:hAnsi="宋体" w:cs="Angsana New"/>
          <w:color w:val="auto"/>
          <w:sz w:val="24"/>
          <w:szCs w:val="24"/>
          <w:highlight w:val="none"/>
          <w:lang w:bidi="th-TH"/>
        </w:rPr>
        <w:t>并将按招标文件的规定履行合同责任和义务，实现服务目的。</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2.我方已详细审查全部招标文件，包括有关澄清和补充说明（如果有的话）。我们完全理解并同意放弃对这方面有不明及误解的权力。</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 xml:space="preserve">3.本投标文件有效期为自开标日起 </w:t>
      </w:r>
      <w:r>
        <w:rPr>
          <w:rFonts w:hint="eastAsia" w:hAnsi="宋体" w:cs="Angsana New"/>
          <w:color w:val="auto"/>
          <w:sz w:val="24"/>
          <w:szCs w:val="24"/>
          <w:highlight w:val="none"/>
          <w:u w:val="single"/>
          <w:lang w:bidi="th-TH"/>
        </w:rPr>
        <w:t xml:space="preserve"> 90 </w:t>
      </w:r>
      <w:r>
        <w:rPr>
          <w:rFonts w:hint="eastAsia" w:hAnsi="宋体" w:cs="Angsana New"/>
          <w:color w:val="auto"/>
          <w:sz w:val="24"/>
          <w:szCs w:val="24"/>
          <w:highlight w:val="none"/>
          <w:lang w:bidi="th-TH"/>
        </w:rPr>
        <w:t>个日历天。在这期间，本投标文件将始终对我方具有约束力，并可随时被接受。本次招标文件和本投标文件（含承诺书）将作为买卖合同的附件。</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4.我方愿意向招标人提供与本次招标的相关资料，并对其真实性、合法性、有效性负责。</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5.我方将严格履行本投标文件中的全部承诺和责任，并遵守招标文件中对投标人的所有规定。</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6.我方完全理解招标人有保留在授标之前任何时候根据评标委员会的意见接受或拒绝任何投标的权力，并完全理解招标人对此无解释的义务。</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7.我方完全理解招标人不一定接受投标价最低的投标。</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8.我方承诺在此次招标过程中涉及的一切应当保密的事项，不向任何第三方泄露，否则承担一切法律责任。</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9.如果我方中标，我们将按招标人要求的时间节点进行交接和运营管理，严格按照招标文件的规定履行合同责任和义务。</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10.如果我方中标，为执行合同，我们将按照招标文件约定要求，接受招标人及其他主管部门的管理、考核等。</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11.与本次投标有关的一切往来信函请寄：</w:t>
      </w:r>
    </w:p>
    <w:p>
      <w:pPr>
        <w:pStyle w:val="12"/>
        <w:spacing w:line="400" w:lineRule="exact"/>
        <w:ind w:firstLine="480" w:firstLineChars="200"/>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地址：</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 xml:space="preserve">    传真：</w:t>
      </w:r>
      <w:r>
        <w:rPr>
          <w:rFonts w:hint="eastAsia" w:hAnsi="宋体" w:cs="Angsana New"/>
          <w:color w:val="auto"/>
          <w:sz w:val="24"/>
          <w:szCs w:val="24"/>
          <w:highlight w:val="none"/>
          <w:u w:val="single"/>
          <w:lang w:bidi="th-TH"/>
        </w:rPr>
        <w:t xml:space="preserve">               </w:t>
      </w:r>
    </w:p>
    <w:p>
      <w:pPr>
        <w:pStyle w:val="12"/>
        <w:spacing w:line="400" w:lineRule="exact"/>
        <w:ind w:firstLine="480" w:firstLineChars="200"/>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电话：</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 xml:space="preserve">    电子邮件：</w:t>
      </w:r>
      <w:r>
        <w:rPr>
          <w:rFonts w:hint="eastAsia" w:hAnsi="宋体" w:cs="Angsana New"/>
          <w:color w:val="auto"/>
          <w:sz w:val="24"/>
          <w:szCs w:val="24"/>
          <w:highlight w:val="none"/>
          <w:u w:val="single"/>
          <w:lang w:bidi="th-TH"/>
        </w:rPr>
        <w:t xml:space="preserve">            </w:t>
      </w:r>
    </w:p>
    <w:p>
      <w:pPr>
        <w:pStyle w:val="12"/>
        <w:spacing w:line="400" w:lineRule="exact"/>
        <w:ind w:firstLine="480" w:firstLineChars="200"/>
        <w:jc w:val="left"/>
        <w:rPr>
          <w:rFonts w:hAnsi="宋体" w:cs="Angsana New"/>
          <w:color w:val="auto"/>
          <w:sz w:val="24"/>
          <w:szCs w:val="24"/>
          <w:highlight w:val="none"/>
          <w:u w:val="single"/>
          <w:lang w:bidi="th-TH"/>
        </w:rPr>
      </w:pPr>
    </w:p>
    <w:p>
      <w:pPr>
        <w:pStyle w:val="12"/>
        <w:spacing w:line="400" w:lineRule="exact"/>
        <w:ind w:firstLine="480" w:firstLineChars="200"/>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投标人（盖章）：</w:t>
      </w:r>
      <w:r>
        <w:rPr>
          <w:rFonts w:hint="eastAsia" w:hAnsi="宋体" w:cs="Angsana New"/>
          <w:color w:val="auto"/>
          <w:sz w:val="24"/>
          <w:szCs w:val="24"/>
          <w:highlight w:val="none"/>
          <w:u w:val="single"/>
          <w:lang w:bidi="th-TH"/>
        </w:rPr>
        <w:t xml:space="preserve">                 </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法定代表人或授权委托人（签字或盖章）：</w:t>
      </w:r>
      <w:r>
        <w:rPr>
          <w:rFonts w:hint="eastAsia" w:hAnsi="宋体" w:cs="Angsana New"/>
          <w:color w:val="auto"/>
          <w:sz w:val="24"/>
          <w:szCs w:val="24"/>
          <w:highlight w:val="none"/>
          <w:u w:val="single"/>
          <w:lang w:bidi="th-TH"/>
        </w:rPr>
        <w:t xml:space="preserve">        </w:t>
      </w:r>
    </w:p>
    <w:p>
      <w:pPr>
        <w:pStyle w:val="12"/>
        <w:spacing w:line="400" w:lineRule="exact"/>
        <w:ind w:firstLine="480" w:firstLineChars="200"/>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日期：</w:t>
      </w:r>
      <w:r>
        <w:rPr>
          <w:rFonts w:hint="eastAsia" w:hAnsi="宋体" w:cs="Angsana New"/>
          <w:color w:val="auto"/>
          <w:sz w:val="24"/>
          <w:szCs w:val="24"/>
          <w:highlight w:val="none"/>
          <w:u w:val="single"/>
          <w:lang w:bidi="th-TH"/>
        </w:rPr>
        <w:t xml:space="preserve">   年  月  日</w:t>
      </w:r>
    </w:p>
    <w:p>
      <w:pPr>
        <w:pStyle w:val="12"/>
        <w:snapToGrid w:val="0"/>
        <w:spacing w:before="120" w:after="120" w:line="46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br w:type="page"/>
      </w:r>
      <w:r>
        <w:rPr>
          <w:rFonts w:hint="eastAsia" w:hAnsi="宋体" w:cs="Angsana New"/>
          <w:color w:val="auto"/>
          <w:sz w:val="24"/>
          <w:szCs w:val="24"/>
          <w:highlight w:val="none"/>
          <w:lang w:bidi="th-TH"/>
        </w:rPr>
        <w:t>格式四：</w:t>
      </w:r>
    </w:p>
    <w:p>
      <w:pPr>
        <w:pStyle w:val="12"/>
        <w:snapToGrid w:val="0"/>
        <w:spacing w:before="120" w:after="120" w:line="460" w:lineRule="exact"/>
        <w:jc w:val="center"/>
        <w:rPr>
          <w:rFonts w:hAnsi="宋体"/>
          <w:b/>
          <w:color w:val="auto"/>
          <w:sz w:val="32"/>
          <w:szCs w:val="32"/>
          <w:highlight w:val="none"/>
        </w:rPr>
      </w:pPr>
      <w:r>
        <w:rPr>
          <w:rFonts w:hint="eastAsia" w:hAnsi="宋体"/>
          <w:b/>
          <w:color w:val="auto"/>
          <w:sz w:val="32"/>
          <w:szCs w:val="32"/>
          <w:highlight w:val="none"/>
        </w:rPr>
        <w:t>投标报价分项分解表</w:t>
      </w:r>
    </w:p>
    <w:p>
      <w:pPr>
        <w:spacing w:line="400" w:lineRule="exact"/>
        <w:ind w:right="240"/>
        <w:jc w:val="right"/>
        <w:rPr>
          <w:rFonts w:ascii="宋体" w:hAnsi="宋体" w:cs="Angsana New"/>
          <w:color w:val="auto"/>
          <w:sz w:val="24"/>
          <w:highlight w:val="none"/>
          <w:lang w:bidi="th-TH"/>
        </w:rPr>
      </w:pPr>
      <w:r>
        <w:rPr>
          <w:rFonts w:hint="eastAsia" w:ascii="宋体" w:hAnsi="宋体" w:cs="Angsana New"/>
          <w:color w:val="auto"/>
          <w:sz w:val="24"/>
          <w:highlight w:val="none"/>
          <w:lang w:bidi="th-TH"/>
        </w:rPr>
        <w:t>单位：元</w:t>
      </w:r>
    </w:p>
    <w:tbl>
      <w:tblPr>
        <w:tblStyle w:val="20"/>
        <w:tblW w:w="9225" w:type="dxa"/>
        <w:jc w:val="center"/>
        <w:tblLayout w:type="fixed"/>
        <w:tblCellMar>
          <w:top w:w="0" w:type="dxa"/>
          <w:left w:w="10" w:type="dxa"/>
          <w:bottom w:w="0" w:type="dxa"/>
          <w:right w:w="10" w:type="dxa"/>
        </w:tblCellMar>
      </w:tblPr>
      <w:tblGrid>
        <w:gridCol w:w="1320"/>
        <w:gridCol w:w="3014"/>
        <w:gridCol w:w="3485"/>
        <w:gridCol w:w="1406"/>
      </w:tblGrid>
      <w:tr>
        <w:tblPrEx>
          <w:tblCellMar>
            <w:top w:w="0" w:type="dxa"/>
            <w:left w:w="10" w:type="dxa"/>
            <w:bottom w:w="0" w:type="dxa"/>
            <w:right w:w="10" w:type="dxa"/>
          </w:tblCellMar>
        </w:tblPrEx>
        <w:trPr>
          <w:trHeight w:val="581" w:hRule="exact"/>
          <w:jc w:val="center"/>
        </w:trPr>
        <w:tc>
          <w:tcPr>
            <w:tcW w:w="1320" w:type="dxa"/>
            <w:tcBorders>
              <w:top w:val="single" w:color="auto" w:sz="4" w:space="0"/>
              <w:left w:val="single" w:color="auto" w:sz="4" w:space="0"/>
            </w:tcBorders>
            <w:shd w:val="clear" w:color="auto" w:fill="FFFFFF"/>
            <w:vAlign w:val="center"/>
          </w:tcPr>
          <w:p>
            <w:pPr>
              <w:pStyle w:val="33"/>
              <w:rPr>
                <w:color w:val="auto"/>
                <w:sz w:val="20"/>
                <w:szCs w:val="20"/>
                <w:highlight w:val="none"/>
              </w:rPr>
            </w:pPr>
            <w:r>
              <w:rPr>
                <w:color w:val="auto"/>
                <w:sz w:val="20"/>
                <w:szCs w:val="20"/>
                <w:highlight w:val="none"/>
              </w:rPr>
              <w:t>序号</w:t>
            </w:r>
          </w:p>
        </w:tc>
        <w:tc>
          <w:tcPr>
            <w:tcW w:w="3014" w:type="dxa"/>
            <w:tcBorders>
              <w:top w:val="single" w:color="auto" w:sz="4" w:space="0"/>
              <w:left w:val="single" w:color="auto" w:sz="4" w:space="0"/>
            </w:tcBorders>
            <w:shd w:val="clear" w:color="auto" w:fill="FFFFFF"/>
            <w:vAlign w:val="center"/>
          </w:tcPr>
          <w:p>
            <w:pPr>
              <w:pStyle w:val="33"/>
              <w:rPr>
                <w:color w:val="auto"/>
                <w:sz w:val="20"/>
                <w:szCs w:val="20"/>
                <w:highlight w:val="none"/>
              </w:rPr>
            </w:pPr>
          </w:p>
        </w:tc>
        <w:tc>
          <w:tcPr>
            <w:tcW w:w="3485" w:type="dxa"/>
            <w:tcBorders>
              <w:top w:val="single" w:color="auto" w:sz="4" w:space="0"/>
              <w:left w:val="single" w:color="auto" w:sz="4" w:space="0"/>
            </w:tcBorders>
            <w:shd w:val="clear" w:color="auto" w:fill="FFFFFF"/>
            <w:vAlign w:val="center"/>
          </w:tcPr>
          <w:p>
            <w:pPr>
              <w:pStyle w:val="33"/>
              <w:rPr>
                <w:color w:val="auto"/>
                <w:sz w:val="20"/>
                <w:szCs w:val="20"/>
                <w:highlight w:val="none"/>
              </w:rPr>
            </w:pPr>
          </w:p>
        </w:tc>
        <w:tc>
          <w:tcPr>
            <w:tcW w:w="1406" w:type="dxa"/>
            <w:tcBorders>
              <w:top w:val="single" w:color="auto" w:sz="4" w:space="0"/>
              <w:left w:val="single" w:color="auto" w:sz="4" w:space="0"/>
              <w:right w:val="single" w:color="auto" w:sz="4" w:space="0"/>
            </w:tcBorders>
            <w:shd w:val="clear" w:color="auto" w:fill="FFFFFF"/>
            <w:vAlign w:val="center"/>
          </w:tcPr>
          <w:p>
            <w:pPr>
              <w:pStyle w:val="33"/>
              <w:rPr>
                <w:color w:val="auto"/>
                <w:sz w:val="20"/>
                <w:szCs w:val="20"/>
                <w:highlight w:val="none"/>
              </w:rPr>
            </w:pPr>
            <w:r>
              <w:rPr>
                <w:color w:val="auto"/>
                <w:sz w:val="20"/>
                <w:szCs w:val="20"/>
                <w:highlight w:val="none"/>
              </w:rPr>
              <w:t>备注</w:t>
            </w: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33"/>
              <w:rPr>
                <w:color w:val="auto"/>
                <w:sz w:val="20"/>
                <w:szCs w:val="20"/>
                <w:highlight w:val="none"/>
              </w:rPr>
            </w:pPr>
            <w:r>
              <w:rPr>
                <w:rFonts w:ascii="Times New Roman" w:hAnsi="Times New Roman" w:eastAsia="Times New Roman" w:cs="Times New Roman"/>
                <w:color w:val="auto"/>
                <w:sz w:val="20"/>
                <w:szCs w:val="20"/>
                <w:highlight w:val="none"/>
              </w:rPr>
              <w:t>1</w:t>
            </w:r>
          </w:p>
        </w:tc>
        <w:tc>
          <w:tcPr>
            <w:tcW w:w="3014" w:type="dxa"/>
            <w:tcBorders>
              <w:top w:val="single" w:color="auto" w:sz="4" w:space="0"/>
              <w:left w:val="single" w:color="auto" w:sz="4" w:space="0"/>
            </w:tcBorders>
            <w:shd w:val="clear" w:color="auto" w:fill="FFFFFF"/>
            <w:vAlign w:val="center"/>
          </w:tcPr>
          <w:p>
            <w:pPr>
              <w:pStyle w:val="33"/>
              <w:rPr>
                <w:color w:val="auto"/>
                <w:sz w:val="20"/>
                <w:szCs w:val="20"/>
                <w:highlight w:val="none"/>
              </w:rPr>
            </w:pPr>
          </w:p>
        </w:tc>
        <w:tc>
          <w:tcPr>
            <w:tcW w:w="3485" w:type="dxa"/>
            <w:tcBorders>
              <w:top w:val="single" w:color="auto" w:sz="4" w:space="0"/>
              <w:left w:val="single" w:color="auto" w:sz="4" w:space="0"/>
            </w:tcBorders>
            <w:shd w:val="clear" w:color="auto" w:fill="FFFFFF"/>
          </w:tcPr>
          <w:p>
            <w:pPr>
              <w:rPr>
                <w:color w:val="auto"/>
                <w:sz w:val="20"/>
                <w:szCs w:val="20"/>
                <w:highlight w:val="none"/>
              </w:rPr>
            </w:pPr>
          </w:p>
        </w:tc>
        <w:tc>
          <w:tcPr>
            <w:tcW w:w="1406" w:type="dxa"/>
            <w:tcBorders>
              <w:top w:val="single" w:color="auto" w:sz="4" w:space="0"/>
              <w:left w:val="single" w:color="auto" w:sz="4" w:space="0"/>
              <w:right w:val="single" w:color="auto" w:sz="4" w:space="0"/>
            </w:tcBorders>
            <w:shd w:val="clear" w:color="auto" w:fill="FFFFFF"/>
          </w:tcPr>
          <w:p>
            <w:pPr>
              <w:rPr>
                <w:color w:val="auto"/>
                <w:sz w:val="20"/>
                <w:szCs w:val="20"/>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33"/>
              <w:rPr>
                <w:color w:val="auto"/>
                <w:sz w:val="20"/>
                <w:szCs w:val="20"/>
                <w:highlight w:val="none"/>
              </w:rPr>
            </w:pPr>
            <w:r>
              <w:rPr>
                <w:rFonts w:ascii="Times New Roman" w:hAnsi="Times New Roman" w:eastAsia="Times New Roman" w:cs="Times New Roman"/>
                <w:color w:val="auto"/>
                <w:sz w:val="20"/>
                <w:szCs w:val="20"/>
                <w:highlight w:val="none"/>
              </w:rPr>
              <w:t>2</w:t>
            </w:r>
          </w:p>
        </w:tc>
        <w:tc>
          <w:tcPr>
            <w:tcW w:w="3014" w:type="dxa"/>
            <w:tcBorders>
              <w:top w:val="single" w:color="auto" w:sz="4" w:space="0"/>
              <w:left w:val="single" w:color="auto" w:sz="4" w:space="0"/>
            </w:tcBorders>
            <w:shd w:val="clear" w:color="auto" w:fill="FFFFFF"/>
            <w:vAlign w:val="center"/>
          </w:tcPr>
          <w:p>
            <w:pPr>
              <w:pStyle w:val="33"/>
              <w:rPr>
                <w:color w:val="auto"/>
                <w:sz w:val="20"/>
                <w:szCs w:val="20"/>
                <w:highlight w:val="none"/>
              </w:rPr>
            </w:pPr>
          </w:p>
        </w:tc>
        <w:tc>
          <w:tcPr>
            <w:tcW w:w="3485" w:type="dxa"/>
            <w:tcBorders>
              <w:top w:val="single" w:color="auto" w:sz="4" w:space="0"/>
              <w:left w:val="single" w:color="auto" w:sz="4" w:space="0"/>
            </w:tcBorders>
            <w:shd w:val="clear" w:color="auto" w:fill="FFFFFF"/>
          </w:tcPr>
          <w:p>
            <w:pPr>
              <w:rPr>
                <w:color w:val="auto"/>
                <w:sz w:val="20"/>
                <w:szCs w:val="20"/>
                <w:highlight w:val="none"/>
              </w:rPr>
            </w:pPr>
          </w:p>
        </w:tc>
        <w:tc>
          <w:tcPr>
            <w:tcW w:w="1406" w:type="dxa"/>
            <w:tcBorders>
              <w:top w:val="single" w:color="auto" w:sz="4" w:space="0"/>
              <w:left w:val="single" w:color="auto" w:sz="4" w:space="0"/>
              <w:right w:val="single" w:color="auto" w:sz="4" w:space="0"/>
            </w:tcBorders>
            <w:shd w:val="clear" w:color="auto" w:fill="FFFFFF"/>
          </w:tcPr>
          <w:p>
            <w:pPr>
              <w:rPr>
                <w:color w:val="auto"/>
                <w:sz w:val="20"/>
                <w:szCs w:val="20"/>
                <w:highlight w:val="none"/>
              </w:rPr>
            </w:pPr>
          </w:p>
        </w:tc>
      </w:tr>
      <w:tr>
        <w:tblPrEx>
          <w:tblCellMar>
            <w:top w:w="0" w:type="dxa"/>
            <w:left w:w="10" w:type="dxa"/>
            <w:bottom w:w="0" w:type="dxa"/>
            <w:right w:w="10" w:type="dxa"/>
          </w:tblCellMar>
        </w:tblPrEx>
        <w:trPr>
          <w:trHeight w:val="581" w:hRule="exact"/>
          <w:jc w:val="center"/>
        </w:trPr>
        <w:tc>
          <w:tcPr>
            <w:tcW w:w="1320" w:type="dxa"/>
            <w:tcBorders>
              <w:top w:val="single" w:color="auto" w:sz="4" w:space="0"/>
              <w:left w:val="single" w:color="auto" w:sz="4" w:space="0"/>
            </w:tcBorders>
            <w:shd w:val="clear" w:color="auto" w:fill="FFFFFF"/>
            <w:vAlign w:val="center"/>
          </w:tcPr>
          <w:p>
            <w:pPr>
              <w:pStyle w:val="33"/>
              <w:rPr>
                <w:color w:val="auto"/>
                <w:sz w:val="20"/>
                <w:szCs w:val="20"/>
                <w:highlight w:val="none"/>
              </w:rPr>
            </w:pPr>
            <w:r>
              <w:rPr>
                <w:rFonts w:ascii="Times New Roman" w:hAnsi="Times New Roman" w:eastAsia="Times New Roman" w:cs="Times New Roman"/>
                <w:color w:val="auto"/>
                <w:sz w:val="20"/>
                <w:szCs w:val="20"/>
                <w:highlight w:val="none"/>
              </w:rPr>
              <w:t>3</w:t>
            </w:r>
          </w:p>
        </w:tc>
        <w:tc>
          <w:tcPr>
            <w:tcW w:w="3014" w:type="dxa"/>
            <w:tcBorders>
              <w:top w:val="single" w:color="auto" w:sz="4" w:space="0"/>
              <w:left w:val="single" w:color="auto" w:sz="4" w:space="0"/>
            </w:tcBorders>
            <w:shd w:val="clear" w:color="auto" w:fill="FFFFFF"/>
            <w:vAlign w:val="center"/>
          </w:tcPr>
          <w:p>
            <w:pPr>
              <w:pStyle w:val="33"/>
              <w:rPr>
                <w:color w:val="auto"/>
                <w:sz w:val="20"/>
                <w:szCs w:val="20"/>
                <w:highlight w:val="none"/>
              </w:rPr>
            </w:pPr>
          </w:p>
        </w:tc>
        <w:tc>
          <w:tcPr>
            <w:tcW w:w="3485" w:type="dxa"/>
            <w:tcBorders>
              <w:top w:val="single" w:color="auto" w:sz="4" w:space="0"/>
              <w:left w:val="single" w:color="auto" w:sz="4" w:space="0"/>
            </w:tcBorders>
            <w:shd w:val="clear" w:color="auto" w:fill="FFFFFF"/>
          </w:tcPr>
          <w:p>
            <w:pPr>
              <w:rPr>
                <w:color w:val="auto"/>
                <w:sz w:val="20"/>
                <w:szCs w:val="20"/>
                <w:highlight w:val="none"/>
              </w:rPr>
            </w:pPr>
          </w:p>
        </w:tc>
        <w:tc>
          <w:tcPr>
            <w:tcW w:w="1406" w:type="dxa"/>
            <w:tcBorders>
              <w:top w:val="single" w:color="auto" w:sz="4" w:space="0"/>
              <w:left w:val="single" w:color="auto" w:sz="4" w:space="0"/>
              <w:right w:val="single" w:color="auto" w:sz="4" w:space="0"/>
            </w:tcBorders>
            <w:shd w:val="clear" w:color="auto" w:fill="FFFFFF"/>
          </w:tcPr>
          <w:p>
            <w:pPr>
              <w:rPr>
                <w:color w:val="auto"/>
                <w:sz w:val="20"/>
                <w:szCs w:val="20"/>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33"/>
              <w:rPr>
                <w:color w:val="auto"/>
                <w:sz w:val="20"/>
                <w:szCs w:val="20"/>
                <w:highlight w:val="none"/>
              </w:rPr>
            </w:pPr>
            <w:r>
              <w:rPr>
                <w:rFonts w:ascii="Times New Roman" w:hAnsi="Times New Roman" w:eastAsia="Times New Roman" w:cs="Times New Roman"/>
                <w:color w:val="auto"/>
                <w:sz w:val="20"/>
                <w:szCs w:val="20"/>
                <w:highlight w:val="none"/>
              </w:rPr>
              <w:t>4</w:t>
            </w:r>
          </w:p>
        </w:tc>
        <w:tc>
          <w:tcPr>
            <w:tcW w:w="3014" w:type="dxa"/>
            <w:tcBorders>
              <w:top w:val="single" w:color="auto" w:sz="4" w:space="0"/>
              <w:left w:val="single" w:color="auto" w:sz="4" w:space="0"/>
            </w:tcBorders>
            <w:shd w:val="clear" w:color="auto" w:fill="FFFFFF"/>
            <w:vAlign w:val="center"/>
          </w:tcPr>
          <w:p>
            <w:pPr>
              <w:pStyle w:val="33"/>
              <w:rPr>
                <w:rFonts w:eastAsia="PMingLiU"/>
                <w:color w:val="auto"/>
                <w:sz w:val="20"/>
                <w:szCs w:val="20"/>
                <w:highlight w:val="none"/>
              </w:rPr>
            </w:pPr>
          </w:p>
        </w:tc>
        <w:tc>
          <w:tcPr>
            <w:tcW w:w="3485" w:type="dxa"/>
            <w:tcBorders>
              <w:top w:val="single" w:color="auto" w:sz="4" w:space="0"/>
              <w:left w:val="single" w:color="auto" w:sz="4" w:space="0"/>
            </w:tcBorders>
            <w:shd w:val="clear" w:color="auto" w:fill="FFFFFF"/>
          </w:tcPr>
          <w:p>
            <w:pPr>
              <w:rPr>
                <w:color w:val="auto"/>
                <w:sz w:val="20"/>
                <w:szCs w:val="20"/>
                <w:highlight w:val="none"/>
              </w:rPr>
            </w:pPr>
          </w:p>
        </w:tc>
        <w:tc>
          <w:tcPr>
            <w:tcW w:w="1406" w:type="dxa"/>
            <w:tcBorders>
              <w:top w:val="single" w:color="auto" w:sz="4" w:space="0"/>
              <w:left w:val="single" w:color="auto" w:sz="4" w:space="0"/>
              <w:right w:val="single" w:color="auto" w:sz="4" w:space="0"/>
            </w:tcBorders>
            <w:shd w:val="clear" w:color="auto" w:fill="FFFFFF"/>
          </w:tcPr>
          <w:p>
            <w:pPr>
              <w:rPr>
                <w:color w:val="auto"/>
                <w:sz w:val="20"/>
                <w:szCs w:val="20"/>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33"/>
              <w:rPr>
                <w:color w:val="auto"/>
                <w:sz w:val="20"/>
                <w:szCs w:val="20"/>
                <w:highlight w:val="none"/>
              </w:rPr>
            </w:pPr>
            <w:r>
              <w:rPr>
                <w:rFonts w:ascii="Times New Roman" w:hAnsi="Times New Roman" w:eastAsia="Times New Roman" w:cs="Times New Roman"/>
                <w:color w:val="auto"/>
                <w:sz w:val="20"/>
                <w:szCs w:val="20"/>
                <w:highlight w:val="none"/>
              </w:rPr>
              <w:t>5</w:t>
            </w:r>
          </w:p>
        </w:tc>
        <w:tc>
          <w:tcPr>
            <w:tcW w:w="3014" w:type="dxa"/>
            <w:tcBorders>
              <w:top w:val="single" w:color="auto" w:sz="4" w:space="0"/>
              <w:left w:val="single" w:color="auto" w:sz="4" w:space="0"/>
            </w:tcBorders>
            <w:shd w:val="clear" w:color="auto" w:fill="FFFFFF"/>
            <w:vAlign w:val="center"/>
          </w:tcPr>
          <w:p>
            <w:pPr>
              <w:pStyle w:val="33"/>
              <w:rPr>
                <w:color w:val="auto"/>
                <w:sz w:val="20"/>
                <w:szCs w:val="20"/>
                <w:highlight w:val="none"/>
              </w:rPr>
            </w:pPr>
          </w:p>
        </w:tc>
        <w:tc>
          <w:tcPr>
            <w:tcW w:w="3485" w:type="dxa"/>
            <w:tcBorders>
              <w:top w:val="single" w:color="auto" w:sz="4" w:space="0"/>
              <w:left w:val="single" w:color="auto" w:sz="4" w:space="0"/>
            </w:tcBorders>
            <w:shd w:val="clear" w:color="auto" w:fill="FFFFFF"/>
          </w:tcPr>
          <w:p>
            <w:pPr>
              <w:rPr>
                <w:color w:val="auto"/>
                <w:sz w:val="20"/>
                <w:szCs w:val="20"/>
                <w:highlight w:val="none"/>
              </w:rPr>
            </w:pPr>
          </w:p>
        </w:tc>
        <w:tc>
          <w:tcPr>
            <w:tcW w:w="1406" w:type="dxa"/>
            <w:tcBorders>
              <w:top w:val="single" w:color="auto" w:sz="4" w:space="0"/>
              <w:left w:val="single" w:color="auto" w:sz="4" w:space="0"/>
              <w:right w:val="single" w:color="auto" w:sz="4" w:space="0"/>
            </w:tcBorders>
            <w:shd w:val="clear" w:color="auto" w:fill="FFFFFF"/>
          </w:tcPr>
          <w:p>
            <w:pPr>
              <w:rPr>
                <w:color w:val="auto"/>
                <w:sz w:val="20"/>
                <w:szCs w:val="20"/>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33"/>
              <w:rPr>
                <w:color w:val="auto"/>
                <w:sz w:val="20"/>
                <w:szCs w:val="20"/>
                <w:highlight w:val="none"/>
              </w:rPr>
            </w:pPr>
            <w:r>
              <w:rPr>
                <w:rFonts w:ascii="Times New Roman" w:hAnsi="Times New Roman" w:eastAsia="Times New Roman" w:cs="Times New Roman"/>
                <w:color w:val="auto"/>
                <w:sz w:val="20"/>
                <w:szCs w:val="20"/>
                <w:highlight w:val="none"/>
              </w:rPr>
              <w:t>6</w:t>
            </w:r>
          </w:p>
        </w:tc>
        <w:tc>
          <w:tcPr>
            <w:tcW w:w="3014" w:type="dxa"/>
            <w:tcBorders>
              <w:top w:val="single" w:color="auto" w:sz="4" w:space="0"/>
              <w:left w:val="single" w:color="auto" w:sz="4" w:space="0"/>
            </w:tcBorders>
            <w:shd w:val="clear" w:color="auto" w:fill="FFFFFF"/>
            <w:vAlign w:val="center"/>
          </w:tcPr>
          <w:p>
            <w:pPr>
              <w:pStyle w:val="33"/>
              <w:rPr>
                <w:color w:val="auto"/>
                <w:sz w:val="20"/>
                <w:szCs w:val="20"/>
                <w:highlight w:val="none"/>
              </w:rPr>
            </w:pPr>
          </w:p>
        </w:tc>
        <w:tc>
          <w:tcPr>
            <w:tcW w:w="3485" w:type="dxa"/>
            <w:tcBorders>
              <w:top w:val="single" w:color="auto" w:sz="4" w:space="0"/>
              <w:left w:val="single" w:color="auto" w:sz="4" w:space="0"/>
            </w:tcBorders>
            <w:shd w:val="clear" w:color="auto" w:fill="FFFFFF"/>
          </w:tcPr>
          <w:p>
            <w:pPr>
              <w:rPr>
                <w:color w:val="auto"/>
                <w:sz w:val="20"/>
                <w:szCs w:val="20"/>
                <w:highlight w:val="none"/>
              </w:rPr>
            </w:pPr>
          </w:p>
        </w:tc>
        <w:tc>
          <w:tcPr>
            <w:tcW w:w="1406" w:type="dxa"/>
            <w:tcBorders>
              <w:top w:val="single" w:color="auto" w:sz="4" w:space="0"/>
              <w:left w:val="single" w:color="auto" w:sz="4" w:space="0"/>
              <w:right w:val="single" w:color="auto" w:sz="4" w:space="0"/>
            </w:tcBorders>
            <w:shd w:val="clear" w:color="auto" w:fill="FFFFFF"/>
          </w:tcPr>
          <w:p>
            <w:pPr>
              <w:rPr>
                <w:color w:val="auto"/>
                <w:sz w:val="20"/>
                <w:szCs w:val="20"/>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33"/>
              <w:rPr>
                <w:color w:val="auto"/>
                <w:sz w:val="20"/>
                <w:szCs w:val="20"/>
                <w:highlight w:val="none"/>
              </w:rPr>
            </w:pPr>
            <w:r>
              <w:rPr>
                <w:rFonts w:ascii="Times New Roman" w:hAnsi="Times New Roman" w:eastAsia="Times New Roman" w:cs="Times New Roman"/>
                <w:color w:val="auto"/>
                <w:sz w:val="20"/>
                <w:szCs w:val="20"/>
                <w:highlight w:val="none"/>
              </w:rPr>
              <w:t>7</w:t>
            </w:r>
          </w:p>
        </w:tc>
        <w:tc>
          <w:tcPr>
            <w:tcW w:w="3014" w:type="dxa"/>
            <w:tcBorders>
              <w:top w:val="single" w:color="auto" w:sz="4" w:space="0"/>
              <w:left w:val="single" w:color="auto" w:sz="4" w:space="0"/>
            </w:tcBorders>
            <w:shd w:val="clear" w:color="auto" w:fill="FFFFFF"/>
            <w:vAlign w:val="center"/>
          </w:tcPr>
          <w:p>
            <w:pPr>
              <w:pStyle w:val="33"/>
              <w:rPr>
                <w:color w:val="auto"/>
                <w:sz w:val="20"/>
                <w:szCs w:val="20"/>
                <w:highlight w:val="none"/>
              </w:rPr>
            </w:pPr>
          </w:p>
        </w:tc>
        <w:tc>
          <w:tcPr>
            <w:tcW w:w="3485" w:type="dxa"/>
            <w:tcBorders>
              <w:top w:val="single" w:color="auto" w:sz="4" w:space="0"/>
              <w:left w:val="single" w:color="auto" w:sz="4" w:space="0"/>
            </w:tcBorders>
            <w:shd w:val="clear" w:color="auto" w:fill="FFFFFF"/>
          </w:tcPr>
          <w:p>
            <w:pPr>
              <w:rPr>
                <w:color w:val="auto"/>
                <w:sz w:val="20"/>
                <w:szCs w:val="20"/>
                <w:highlight w:val="none"/>
              </w:rPr>
            </w:pPr>
          </w:p>
        </w:tc>
        <w:tc>
          <w:tcPr>
            <w:tcW w:w="1406" w:type="dxa"/>
            <w:tcBorders>
              <w:top w:val="single" w:color="auto" w:sz="4" w:space="0"/>
              <w:left w:val="single" w:color="auto" w:sz="4" w:space="0"/>
              <w:right w:val="single" w:color="auto" w:sz="4" w:space="0"/>
            </w:tcBorders>
            <w:shd w:val="clear" w:color="auto" w:fill="FFFFFF"/>
          </w:tcPr>
          <w:p>
            <w:pPr>
              <w:rPr>
                <w:color w:val="auto"/>
                <w:sz w:val="20"/>
                <w:szCs w:val="20"/>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33"/>
              <w:rPr>
                <w:rFonts w:eastAsia="PMingLiU"/>
                <w:color w:val="auto"/>
                <w:sz w:val="20"/>
                <w:szCs w:val="20"/>
                <w:highlight w:val="none"/>
              </w:rPr>
            </w:pPr>
            <w:r>
              <w:rPr>
                <w:rFonts w:ascii="Times New Roman" w:hAnsi="Times New Roman" w:eastAsia="PMingLiU" w:cs="Times New Roman"/>
                <w:color w:val="auto"/>
                <w:sz w:val="20"/>
                <w:szCs w:val="20"/>
                <w:highlight w:val="none"/>
              </w:rPr>
              <w:t>8</w:t>
            </w:r>
          </w:p>
        </w:tc>
        <w:tc>
          <w:tcPr>
            <w:tcW w:w="3014" w:type="dxa"/>
            <w:tcBorders>
              <w:top w:val="single" w:color="auto" w:sz="4" w:space="0"/>
              <w:left w:val="single" w:color="auto" w:sz="4" w:space="0"/>
            </w:tcBorders>
            <w:shd w:val="clear" w:color="auto" w:fill="FFFFFF"/>
            <w:vAlign w:val="center"/>
          </w:tcPr>
          <w:p>
            <w:pPr>
              <w:pStyle w:val="33"/>
              <w:rPr>
                <w:color w:val="auto"/>
                <w:sz w:val="20"/>
                <w:szCs w:val="20"/>
                <w:highlight w:val="none"/>
              </w:rPr>
            </w:pPr>
          </w:p>
        </w:tc>
        <w:tc>
          <w:tcPr>
            <w:tcW w:w="3485" w:type="dxa"/>
            <w:tcBorders>
              <w:top w:val="single" w:color="auto" w:sz="4" w:space="0"/>
              <w:left w:val="single" w:color="auto" w:sz="4" w:space="0"/>
            </w:tcBorders>
            <w:shd w:val="clear" w:color="auto" w:fill="FFFFFF"/>
          </w:tcPr>
          <w:p>
            <w:pPr>
              <w:rPr>
                <w:color w:val="auto"/>
                <w:sz w:val="20"/>
                <w:szCs w:val="20"/>
                <w:highlight w:val="none"/>
              </w:rPr>
            </w:pPr>
          </w:p>
        </w:tc>
        <w:tc>
          <w:tcPr>
            <w:tcW w:w="1406" w:type="dxa"/>
            <w:tcBorders>
              <w:top w:val="single" w:color="auto" w:sz="4" w:space="0"/>
              <w:left w:val="single" w:color="auto" w:sz="4" w:space="0"/>
              <w:right w:val="single" w:color="auto" w:sz="4" w:space="0"/>
            </w:tcBorders>
            <w:shd w:val="clear" w:color="auto" w:fill="FFFFFF"/>
          </w:tcPr>
          <w:p>
            <w:pPr>
              <w:rPr>
                <w:color w:val="auto"/>
                <w:sz w:val="20"/>
                <w:szCs w:val="20"/>
                <w:highlight w:val="none"/>
              </w:rPr>
            </w:pPr>
          </w:p>
        </w:tc>
      </w:tr>
      <w:tr>
        <w:tblPrEx>
          <w:tblCellMar>
            <w:top w:w="0" w:type="dxa"/>
            <w:left w:w="10" w:type="dxa"/>
            <w:bottom w:w="0" w:type="dxa"/>
            <w:right w:w="10" w:type="dxa"/>
          </w:tblCellMar>
        </w:tblPrEx>
        <w:trPr>
          <w:trHeight w:val="576" w:hRule="exact"/>
          <w:jc w:val="center"/>
        </w:trPr>
        <w:tc>
          <w:tcPr>
            <w:tcW w:w="1320" w:type="dxa"/>
            <w:tcBorders>
              <w:top w:val="single" w:color="auto" w:sz="4" w:space="0"/>
              <w:left w:val="single" w:color="auto" w:sz="4" w:space="0"/>
            </w:tcBorders>
            <w:shd w:val="clear" w:color="auto" w:fill="FFFFFF"/>
            <w:vAlign w:val="center"/>
          </w:tcPr>
          <w:p>
            <w:pPr>
              <w:pStyle w:val="33"/>
              <w:rPr>
                <w:rFonts w:eastAsia="PMingLiU"/>
                <w:color w:val="auto"/>
                <w:sz w:val="20"/>
                <w:szCs w:val="20"/>
                <w:highlight w:val="none"/>
              </w:rPr>
            </w:pPr>
            <w:r>
              <w:rPr>
                <w:rFonts w:ascii="Times New Roman" w:hAnsi="Times New Roman" w:eastAsia="PMingLiU" w:cs="Times New Roman"/>
                <w:color w:val="auto"/>
                <w:sz w:val="20"/>
                <w:szCs w:val="20"/>
                <w:highlight w:val="none"/>
              </w:rPr>
              <w:t>9</w:t>
            </w:r>
          </w:p>
        </w:tc>
        <w:tc>
          <w:tcPr>
            <w:tcW w:w="3014" w:type="dxa"/>
            <w:tcBorders>
              <w:top w:val="single" w:color="auto" w:sz="4" w:space="0"/>
              <w:left w:val="single" w:color="auto" w:sz="4" w:space="0"/>
            </w:tcBorders>
            <w:shd w:val="clear" w:color="auto" w:fill="FFFFFF"/>
            <w:vAlign w:val="center"/>
          </w:tcPr>
          <w:p>
            <w:pPr>
              <w:pStyle w:val="33"/>
              <w:rPr>
                <w:color w:val="auto"/>
                <w:sz w:val="20"/>
                <w:szCs w:val="20"/>
                <w:highlight w:val="none"/>
                <w:lang w:eastAsia="zh-CN"/>
              </w:rPr>
            </w:pPr>
          </w:p>
        </w:tc>
        <w:tc>
          <w:tcPr>
            <w:tcW w:w="3485" w:type="dxa"/>
            <w:tcBorders>
              <w:top w:val="single" w:color="auto" w:sz="4" w:space="0"/>
              <w:left w:val="single" w:color="auto" w:sz="4" w:space="0"/>
            </w:tcBorders>
            <w:shd w:val="clear" w:color="auto" w:fill="FFFFFF"/>
          </w:tcPr>
          <w:p>
            <w:pPr>
              <w:rPr>
                <w:color w:val="auto"/>
                <w:sz w:val="20"/>
                <w:szCs w:val="20"/>
                <w:highlight w:val="none"/>
              </w:rPr>
            </w:pPr>
          </w:p>
        </w:tc>
        <w:tc>
          <w:tcPr>
            <w:tcW w:w="1406" w:type="dxa"/>
            <w:tcBorders>
              <w:top w:val="single" w:color="auto" w:sz="4" w:space="0"/>
              <w:left w:val="single" w:color="auto" w:sz="4" w:space="0"/>
              <w:right w:val="single" w:color="auto" w:sz="4" w:space="0"/>
            </w:tcBorders>
            <w:shd w:val="clear" w:color="auto" w:fill="FFFFFF"/>
          </w:tcPr>
          <w:p>
            <w:pPr>
              <w:rPr>
                <w:color w:val="auto"/>
                <w:sz w:val="20"/>
                <w:szCs w:val="20"/>
                <w:highlight w:val="none"/>
              </w:rPr>
            </w:pPr>
          </w:p>
        </w:tc>
      </w:tr>
      <w:tr>
        <w:tblPrEx>
          <w:tblCellMar>
            <w:top w:w="0" w:type="dxa"/>
            <w:left w:w="10" w:type="dxa"/>
            <w:bottom w:w="0" w:type="dxa"/>
            <w:right w:w="10" w:type="dxa"/>
          </w:tblCellMar>
        </w:tblPrEx>
        <w:trPr>
          <w:trHeight w:val="590" w:hRule="exact"/>
          <w:jc w:val="center"/>
        </w:trPr>
        <w:tc>
          <w:tcPr>
            <w:tcW w:w="1320" w:type="dxa"/>
            <w:tcBorders>
              <w:top w:val="single" w:color="auto" w:sz="4" w:space="0"/>
              <w:left w:val="single" w:color="auto" w:sz="4" w:space="0"/>
              <w:bottom w:val="single" w:color="auto" w:sz="4" w:space="0"/>
            </w:tcBorders>
            <w:shd w:val="clear" w:color="auto" w:fill="FFFFFF"/>
            <w:vAlign w:val="center"/>
          </w:tcPr>
          <w:p>
            <w:pPr>
              <w:pStyle w:val="33"/>
              <w:rPr>
                <w:color w:val="auto"/>
                <w:sz w:val="20"/>
                <w:szCs w:val="20"/>
                <w:highlight w:val="none"/>
                <w:lang w:val="en-US" w:eastAsia="zh-CN"/>
              </w:rPr>
            </w:pPr>
            <w:r>
              <w:rPr>
                <w:rFonts w:ascii="Times New Roman" w:hAnsi="Times New Roman" w:cs="Times New Roman"/>
                <w:color w:val="auto"/>
                <w:sz w:val="20"/>
                <w:szCs w:val="20"/>
                <w:highlight w:val="none"/>
                <w:lang w:val="en-US" w:eastAsia="zh-CN"/>
              </w:rPr>
              <w:t>10</w:t>
            </w:r>
          </w:p>
        </w:tc>
        <w:tc>
          <w:tcPr>
            <w:tcW w:w="3014" w:type="dxa"/>
            <w:tcBorders>
              <w:top w:val="single" w:color="auto" w:sz="4" w:space="0"/>
              <w:left w:val="single" w:color="auto" w:sz="4" w:space="0"/>
              <w:bottom w:val="single" w:color="auto" w:sz="4" w:space="0"/>
            </w:tcBorders>
            <w:shd w:val="clear" w:color="auto" w:fill="FFFFFF"/>
            <w:vAlign w:val="center"/>
          </w:tcPr>
          <w:p>
            <w:pPr>
              <w:pStyle w:val="33"/>
              <w:rPr>
                <w:color w:val="auto"/>
                <w:sz w:val="20"/>
                <w:szCs w:val="20"/>
                <w:highlight w:val="none"/>
                <w:lang w:val="en-US" w:eastAsia="zh-CN"/>
              </w:rPr>
            </w:pPr>
          </w:p>
        </w:tc>
        <w:tc>
          <w:tcPr>
            <w:tcW w:w="3485" w:type="dxa"/>
            <w:tcBorders>
              <w:top w:val="single" w:color="auto" w:sz="4" w:space="0"/>
              <w:left w:val="single" w:color="auto" w:sz="4" w:space="0"/>
              <w:bottom w:val="single" w:color="auto" w:sz="4" w:space="0"/>
            </w:tcBorders>
            <w:shd w:val="clear" w:color="auto" w:fill="FFFFFF"/>
          </w:tcPr>
          <w:p>
            <w:pPr>
              <w:rPr>
                <w:color w:val="auto"/>
                <w:sz w:val="20"/>
                <w:szCs w:val="20"/>
                <w:highlight w:val="none"/>
              </w:rPr>
            </w:pPr>
          </w:p>
        </w:tc>
        <w:tc>
          <w:tcPr>
            <w:tcW w:w="1406" w:type="dxa"/>
            <w:tcBorders>
              <w:top w:val="single" w:color="auto" w:sz="4" w:space="0"/>
              <w:left w:val="single" w:color="auto" w:sz="4" w:space="0"/>
              <w:bottom w:val="single" w:color="auto" w:sz="4" w:space="0"/>
              <w:right w:val="single" w:color="auto" w:sz="4" w:space="0"/>
            </w:tcBorders>
            <w:shd w:val="clear" w:color="auto" w:fill="FFFFFF"/>
          </w:tcPr>
          <w:p>
            <w:pPr>
              <w:rPr>
                <w:color w:val="auto"/>
                <w:sz w:val="20"/>
                <w:szCs w:val="20"/>
                <w:highlight w:val="none"/>
              </w:rPr>
            </w:pPr>
          </w:p>
        </w:tc>
      </w:tr>
      <w:tr>
        <w:tblPrEx>
          <w:tblCellMar>
            <w:top w:w="0" w:type="dxa"/>
            <w:left w:w="10" w:type="dxa"/>
            <w:bottom w:w="0" w:type="dxa"/>
            <w:right w:w="10" w:type="dxa"/>
          </w:tblCellMar>
        </w:tblPrEx>
        <w:trPr>
          <w:trHeight w:val="590" w:hRule="exact"/>
          <w:jc w:val="center"/>
        </w:trPr>
        <w:tc>
          <w:tcPr>
            <w:tcW w:w="1320" w:type="dxa"/>
            <w:tcBorders>
              <w:top w:val="single" w:color="auto" w:sz="4" w:space="0"/>
              <w:left w:val="single" w:color="auto" w:sz="4" w:space="0"/>
              <w:bottom w:val="single" w:color="auto" w:sz="4" w:space="0"/>
            </w:tcBorders>
            <w:shd w:val="clear" w:color="auto" w:fill="FFFFFF"/>
            <w:vAlign w:val="center"/>
          </w:tcPr>
          <w:p>
            <w:pPr>
              <w:pStyle w:val="33"/>
              <w:rPr>
                <w:rFonts w:eastAsia="PMingLiU"/>
                <w:color w:val="auto"/>
                <w:sz w:val="20"/>
                <w:szCs w:val="20"/>
                <w:highlight w:val="none"/>
              </w:rPr>
            </w:pPr>
            <w:r>
              <w:rPr>
                <w:rFonts w:ascii="Times New Roman" w:hAnsi="Times New Roman" w:eastAsia="PMingLiU" w:cs="Times New Roman"/>
                <w:color w:val="auto"/>
                <w:sz w:val="20"/>
                <w:szCs w:val="20"/>
                <w:highlight w:val="none"/>
              </w:rPr>
              <w:t>11</w:t>
            </w:r>
          </w:p>
        </w:tc>
        <w:tc>
          <w:tcPr>
            <w:tcW w:w="3014" w:type="dxa"/>
            <w:tcBorders>
              <w:top w:val="single" w:color="auto" w:sz="4" w:space="0"/>
              <w:left w:val="single" w:color="auto" w:sz="4" w:space="0"/>
              <w:bottom w:val="single" w:color="auto" w:sz="4" w:space="0"/>
            </w:tcBorders>
            <w:shd w:val="clear" w:color="auto" w:fill="FFFFFF"/>
            <w:vAlign w:val="center"/>
          </w:tcPr>
          <w:p>
            <w:pPr>
              <w:pStyle w:val="33"/>
              <w:rPr>
                <w:color w:val="auto"/>
                <w:sz w:val="20"/>
                <w:szCs w:val="20"/>
                <w:highlight w:val="none"/>
              </w:rPr>
            </w:pPr>
            <w:r>
              <w:rPr>
                <w:color w:val="auto"/>
                <w:sz w:val="20"/>
                <w:szCs w:val="20"/>
                <w:highlight w:val="none"/>
                <w:lang w:val="en-US"/>
              </w:rPr>
              <w:t>以上</w:t>
            </w:r>
            <w:r>
              <w:rPr>
                <w:color w:val="auto"/>
                <w:sz w:val="20"/>
                <w:szCs w:val="20"/>
                <w:highlight w:val="none"/>
              </w:rPr>
              <w:t>合计</w:t>
            </w:r>
          </w:p>
        </w:tc>
        <w:tc>
          <w:tcPr>
            <w:tcW w:w="3485" w:type="dxa"/>
            <w:tcBorders>
              <w:top w:val="single" w:color="auto" w:sz="4" w:space="0"/>
              <w:left w:val="single" w:color="auto" w:sz="4" w:space="0"/>
              <w:bottom w:val="single" w:color="auto" w:sz="4" w:space="0"/>
            </w:tcBorders>
            <w:shd w:val="clear" w:color="auto" w:fill="FFFFFF"/>
          </w:tcPr>
          <w:p>
            <w:pPr>
              <w:rPr>
                <w:color w:val="auto"/>
                <w:sz w:val="20"/>
                <w:szCs w:val="20"/>
                <w:highlight w:val="none"/>
              </w:rPr>
            </w:pPr>
          </w:p>
        </w:tc>
        <w:tc>
          <w:tcPr>
            <w:tcW w:w="1406" w:type="dxa"/>
            <w:tcBorders>
              <w:top w:val="single" w:color="auto" w:sz="4" w:space="0"/>
              <w:left w:val="single" w:color="auto" w:sz="4" w:space="0"/>
              <w:bottom w:val="single" w:color="auto" w:sz="4" w:space="0"/>
              <w:right w:val="single" w:color="auto" w:sz="4" w:space="0"/>
            </w:tcBorders>
            <w:shd w:val="clear" w:color="auto" w:fill="FFFFFF"/>
          </w:tcPr>
          <w:p>
            <w:pPr>
              <w:rPr>
                <w:color w:val="auto"/>
                <w:sz w:val="20"/>
                <w:szCs w:val="20"/>
                <w:highlight w:val="none"/>
              </w:rPr>
            </w:pPr>
          </w:p>
        </w:tc>
      </w:tr>
    </w:tbl>
    <w:p>
      <w:pPr>
        <w:autoSpaceDE w:val="0"/>
        <w:autoSpaceDN w:val="0"/>
        <w:adjustRightInd w:val="0"/>
        <w:spacing w:line="500" w:lineRule="exact"/>
        <w:jc w:val="left"/>
        <w:rPr>
          <w:rFonts w:ascii="宋体" w:hAnsi="宋体" w:cs="FangSong_GB2312-Identity-H"/>
          <w:color w:val="auto"/>
          <w:kern w:val="0"/>
          <w:sz w:val="24"/>
          <w:highlight w:val="none"/>
        </w:rPr>
      </w:pPr>
      <w:r>
        <w:rPr>
          <w:rFonts w:ascii="宋体" w:hAnsi="宋体" w:cs="FangSong_GB2312-Identity-H"/>
          <w:color w:val="auto"/>
          <w:kern w:val="0"/>
          <w:sz w:val="24"/>
          <w:highlight w:val="none"/>
        </w:rPr>
        <w:t>注</w:t>
      </w:r>
      <w:r>
        <w:rPr>
          <w:rFonts w:hint="eastAsia" w:ascii="宋体" w:hAnsi="宋体" w:cs="FangSong_GB2312-Identity-H"/>
          <w:color w:val="auto"/>
          <w:kern w:val="0"/>
          <w:sz w:val="24"/>
          <w:highlight w:val="none"/>
        </w:rPr>
        <w:t>：</w:t>
      </w:r>
      <w:r>
        <w:rPr>
          <w:rFonts w:ascii="宋体" w:hAnsi="宋体" w:cs="FangSong_GB2312-Identity-H"/>
          <w:color w:val="auto"/>
          <w:kern w:val="0"/>
          <w:sz w:val="24"/>
          <w:highlight w:val="none"/>
        </w:rPr>
        <w:t>此表可根据实际情况自行调整</w:t>
      </w:r>
      <w:r>
        <w:rPr>
          <w:rFonts w:hint="eastAsia" w:ascii="宋体" w:hAnsi="宋体" w:cs="FangSong_GB2312-Identity-H"/>
          <w:color w:val="auto"/>
          <w:kern w:val="0"/>
          <w:sz w:val="24"/>
          <w:highlight w:val="none"/>
        </w:rPr>
        <w:t>，</w:t>
      </w:r>
    </w:p>
    <w:p>
      <w:pPr>
        <w:autoSpaceDE w:val="0"/>
        <w:autoSpaceDN w:val="0"/>
        <w:adjustRightInd w:val="0"/>
        <w:spacing w:line="500" w:lineRule="exact"/>
        <w:jc w:val="left"/>
        <w:rPr>
          <w:rFonts w:ascii="宋体" w:hAnsi="宋体" w:cs="FangSong_GB2312-Identity-H"/>
          <w:color w:val="auto"/>
          <w:kern w:val="0"/>
          <w:sz w:val="24"/>
          <w:highlight w:val="none"/>
          <w:u w:val="single"/>
        </w:rPr>
      </w:pPr>
      <w:r>
        <w:rPr>
          <w:rFonts w:hint="eastAsia" w:ascii="宋体" w:hAnsi="宋体" w:cs="FangSong_GB2312-Identity-H"/>
          <w:color w:val="auto"/>
          <w:kern w:val="0"/>
          <w:sz w:val="24"/>
          <w:highlight w:val="none"/>
        </w:rPr>
        <w:t>投标人</w:t>
      </w:r>
      <w:r>
        <w:rPr>
          <w:rFonts w:ascii="宋体" w:hAnsi="宋体" w:cs="FangSong_GB2312-Identity-H"/>
          <w:color w:val="auto"/>
          <w:kern w:val="0"/>
          <w:sz w:val="24"/>
          <w:highlight w:val="none"/>
        </w:rPr>
        <w:t>(</w:t>
      </w:r>
      <w:r>
        <w:rPr>
          <w:rFonts w:hint="eastAsia" w:ascii="宋体" w:hAnsi="宋体" w:cs="FangSong_GB2312-Identity-H"/>
          <w:color w:val="auto"/>
          <w:kern w:val="0"/>
          <w:sz w:val="24"/>
          <w:highlight w:val="none"/>
        </w:rPr>
        <w:t>公章</w:t>
      </w:r>
      <w:r>
        <w:rPr>
          <w:rFonts w:ascii="宋体" w:hAnsi="宋体" w:cs="FangSong_GB2312-Identity-H"/>
          <w:color w:val="auto"/>
          <w:kern w:val="0"/>
          <w:sz w:val="24"/>
          <w:highlight w:val="none"/>
        </w:rPr>
        <w:t xml:space="preserve">) </w:t>
      </w:r>
      <w:r>
        <w:rPr>
          <w:rFonts w:hint="eastAsia" w:ascii="宋体" w:hAnsi="宋体" w:cs="FangSong_GB2312-Identity-H"/>
          <w:color w:val="auto"/>
          <w:kern w:val="0"/>
          <w:sz w:val="24"/>
          <w:highlight w:val="none"/>
        </w:rPr>
        <w:t>：</w:t>
      </w:r>
      <w:r>
        <w:rPr>
          <w:rFonts w:hint="eastAsia" w:ascii="宋体" w:hAnsi="宋体" w:cs="FangSong_GB2312-Identity-H"/>
          <w:color w:val="auto"/>
          <w:kern w:val="0"/>
          <w:sz w:val="24"/>
          <w:highlight w:val="none"/>
          <w:u w:val="single"/>
        </w:rPr>
        <w:t xml:space="preserve">                          </w:t>
      </w:r>
    </w:p>
    <w:p>
      <w:pPr>
        <w:autoSpaceDE w:val="0"/>
        <w:autoSpaceDN w:val="0"/>
        <w:adjustRightInd w:val="0"/>
        <w:spacing w:line="500" w:lineRule="exact"/>
        <w:jc w:val="left"/>
        <w:rPr>
          <w:rFonts w:ascii="宋体" w:hAnsi="宋体" w:cs="FangSong_GB2312-Identity-H"/>
          <w:color w:val="auto"/>
          <w:kern w:val="0"/>
          <w:sz w:val="24"/>
          <w:highlight w:val="none"/>
          <w:u w:val="single"/>
        </w:rPr>
      </w:pPr>
      <w:r>
        <w:rPr>
          <w:rFonts w:hint="eastAsia" w:ascii="宋体" w:hAnsi="宋体" w:cs="FangSong_GB2312-Identity-H"/>
          <w:color w:val="auto"/>
          <w:kern w:val="0"/>
          <w:sz w:val="24"/>
          <w:highlight w:val="none"/>
        </w:rPr>
        <w:t>法定代表人或授权委托人（签字或盖章）：</w:t>
      </w:r>
      <w:r>
        <w:rPr>
          <w:rFonts w:hint="eastAsia" w:ascii="宋体" w:hAnsi="宋体" w:cs="FangSong_GB2312-Identity-H"/>
          <w:color w:val="auto"/>
          <w:kern w:val="0"/>
          <w:sz w:val="24"/>
          <w:highlight w:val="none"/>
          <w:u w:val="single"/>
        </w:rPr>
        <w:t xml:space="preserve">                       </w:t>
      </w:r>
    </w:p>
    <w:p>
      <w:pPr>
        <w:pStyle w:val="12"/>
        <w:snapToGrid w:val="0"/>
        <w:spacing w:before="120" w:after="120" w:line="280" w:lineRule="exact"/>
        <w:jc w:val="left"/>
        <w:rPr>
          <w:rFonts w:hAnsi="宋体" w:cs="Angsana New"/>
          <w:color w:val="auto"/>
          <w:sz w:val="21"/>
          <w:szCs w:val="21"/>
          <w:highlight w:val="none"/>
          <w:u w:val="single"/>
          <w:lang w:bidi="th-TH"/>
        </w:rPr>
      </w:pPr>
      <w:r>
        <w:rPr>
          <w:rFonts w:hint="eastAsia" w:hAnsi="宋体" w:cs="FangSong_GB2312-Identity-H"/>
          <w:color w:val="auto"/>
          <w:kern w:val="0"/>
          <w:sz w:val="24"/>
          <w:highlight w:val="none"/>
        </w:rPr>
        <w:t>日期：</w:t>
      </w:r>
      <w:r>
        <w:rPr>
          <w:rFonts w:hAnsi="宋体" w:cs="FangSong_GB2312-Identity-H"/>
          <w:color w:val="auto"/>
          <w:kern w:val="0"/>
          <w:sz w:val="24"/>
          <w:highlight w:val="none"/>
        </w:rPr>
        <w:t xml:space="preserve"> </w:t>
      </w:r>
      <w:r>
        <w:rPr>
          <w:rFonts w:hint="eastAsia" w:hAnsi="宋体" w:cs="FangSong_GB2312-Identity-H"/>
          <w:color w:val="auto"/>
          <w:kern w:val="0"/>
          <w:sz w:val="24"/>
          <w:highlight w:val="none"/>
          <w:u w:val="single"/>
        </w:rPr>
        <w:t xml:space="preserve">         </w:t>
      </w:r>
      <w:r>
        <w:rPr>
          <w:rFonts w:hint="eastAsia" w:hAnsi="宋体" w:cs="FangSong_GB2312-Identity-H"/>
          <w:color w:val="auto"/>
          <w:kern w:val="0"/>
          <w:sz w:val="24"/>
          <w:highlight w:val="none"/>
        </w:rPr>
        <w:t>年</w:t>
      </w:r>
      <w:r>
        <w:rPr>
          <w:rFonts w:hint="eastAsia" w:hAnsi="宋体" w:cs="FangSong_GB2312-Identity-H"/>
          <w:color w:val="auto"/>
          <w:kern w:val="0"/>
          <w:sz w:val="24"/>
          <w:highlight w:val="none"/>
          <w:u w:val="single"/>
        </w:rPr>
        <w:t xml:space="preserve">        </w:t>
      </w:r>
      <w:r>
        <w:rPr>
          <w:rFonts w:hint="eastAsia" w:hAnsi="宋体" w:cs="FangSong_GB2312-Identity-H"/>
          <w:color w:val="auto"/>
          <w:kern w:val="0"/>
          <w:sz w:val="24"/>
          <w:highlight w:val="none"/>
        </w:rPr>
        <w:t>月</w:t>
      </w:r>
      <w:r>
        <w:rPr>
          <w:rFonts w:hint="eastAsia" w:hAnsi="宋体" w:cs="FangSong_GB2312-Identity-H"/>
          <w:color w:val="auto"/>
          <w:kern w:val="0"/>
          <w:sz w:val="24"/>
          <w:highlight w:val="none"/>
          <w:u w:val="single"/>
        </w:rPr>
        <w:t xml:space="preserve">         </w:t>
      </w:r>
      <w:r>
        <w:rPr>
          <w:rFonts w:hint="eastAsia" w:hAnsi="宋体" w:cs="FangSong_GB2312-Identity-H"/>
          <w:color w:val="auto"/>
          <w:kern w:val="0"/>
          <w:sz w:val="24"/>
          <w:highlight w:val="none"/>
        </w:rPr>
        <w:t>日</w:t>
      </w:r>
    </w:p>
    <w:p>
      <w:pPr>
        <w:pStyle w:val="12"/>
        <w:snapToGrid w:val="0"/>
        <w:spacing w:before="120" w:after="120" w:line="280" w:lineRule="exact"/>
        <w:jc w:val="left"/>
        <w:rPr>
          <w:rFonts w:hAnsi="宋体" w:cs="Angsana New"/>
          <w:color w:val="auto"/>
          <w:sz w:val="21"/>
          <w:szCs w:val="21"/>
          <w:highlight w:val="none"/>
          <w:lang w:bidi="th-TH"/>
        </w:rPr>
        <w:sectPr>
          <w:headerReference r:id="rId5" w:type="default"/>
          <w:footerReference r:id="rId6" w:type="default"/>
          <w:pgSz w:w="11905" w:h="16838"/>
          <w:pgMar w:top="1134" w:right="990" w:bottom="1134" w:left="1134" w:header="850" w:footer="992" w:gutter="0"/>
          <w:pgNumType w:start="1"/>
          <w:cols w:space="720" w:num="1"/>
          <w:docGrid w:type="lines" w:linePitch="317" w:charSpace="0"/>
        </w:sectPr>
      </w:pPr>
    </w:p>
    <w:p>
      <w:pPr>
        <w:autoSpaceDE w:val="0"/>
        <w:autoSpaceDN w:val="0"/>
        <w:adjustRightInd w:val="0"/>
        <w:spacing w:line="500" w:lineRule="exact"/>
        <w:rPr>
          <w:rFonts w:ascii="宋体" w:hAnsi="宋体" w:cs="FangSong_GB2312-Identity-H"/>
          <w:color w:val="auto"/>
          <w:kern w:val="0"/>
          <w:sz w:val="24"/>
          <w:highlight w:val="none"/>
        </w:rPr>
      </w:pPr>
      <w:r>
        <w:rPr>
          <w:rFonts w:hint="eastAsia" w:ascii="宋体" w:hAnsi="宋体" w:cs="FangSong_GB2312-Identity-H"/>
          <w:color w:val="auto"/>
          <w:kern w:val="0"/>
          <w:sz w:val="24"/>
          <w:highlight w:val="none"/>
        </w:rPr>
        <w:t>格式五：</w:t>
      </w:r>
    </w:p>
    <w:p>
      <w:pPr>
        <w:autoSpaceDE w:val="0"/>
        <w:autoSpaceDN w:val="0"/>
        <w:adjustRightInd w:val="0"/>
        <w:spacing w:line="700" w:lineRule="exact"/>
        <w:jc w:val="center"/>
        <w:rPr>
          <w:rFonts w:ascii="宋体" w:hAnsi="宋体" w:cs="FangSong_GB2312-Identity-H"/>
          <w:b/>
          <w:bCs/>
          <w:color w:val="auto"/>
          <w:kern w:val="0"/>
          <w:sz w:val="36"/>
          <w:szCs w:val="36"/>
          <w:highlight w:val="none"/>
        </w:rPr>
      </w:pPr>
      <w:r>
        <w:rPr>
          <w:rFonts w:hint="eastAsia" w:ascii="宋体" w:hAnsi="宋体" w:cs="FangSong_GB2312-Identity-H"/>
          <w:b/>
          <w:bCs/>
          <w:color w:val="auto"/>
          <w:kern w:val="0"/>
          <w:sz w:val="36"/>
          <w:szCs w:val="36"/>
          <w:highlight w:val="none"/>
        </w:rPr>
        <w:t>商务条款偏离表</w:t>
      </w:r>
    </w:p>
    <w:p>
      <w:pPr>
        <w:autoSpaceDE w:val="0"/>
        <w:autoSpaceDN w:val="0"/>
        <w:adjustRightInd w:val="0"/>
        <w:spacing w:line="700" w:lineRule="exact"/>
        <w:rPr>
          <w:rFonts w:ascii="宋体" w:hAnsi="宋体" w:cs="FangSong_GB2312-Identity-H"/>
          <w:color w:val="auto"/>
          <w:kern w:val="0"/>
          <w:sz w:val="24"/>
          <w:highlight w:val="none"/>
        </w:rPr>
      </w:pPr>
      <w:r>
        <w:rPr>
          <w:rFonts w:hint="eastAsia" w:ascii="宋体" w:hAnsi="宋体" w:cs="FangSong_GB2312-Identity-H"/>
          <w:color w:val="auto"/>
          <w:kern w:val="0"/>
          <w:sz w:val="24"/>
          <w:highlight w:val="none"/>
        </w:rPr>
        <w:t xml:space="preserve">项目名称：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971"/>
        <w:gridCol w:w="2349"/>
        <w:gridCol w:w="23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68" w:type="dxa"/>
            <w:vAlign w:val="center"/>
          </w:tcPr>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序号</w:t>
            </w:r>
          </w:p>
        </w:tc>
        <w:tc>
          <w:tcPr>
            <w:tcW w:w="1971" w:type="dxa"/>
            <w:vAlign w:val="center"/>
          </w:tcPr>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招标文件</w:t>
            </w:r>
          </w:p>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条目号</w:t>
            </w:r>
          </w:p>
        </w:tc>
        <w:tc>
          <w:tcPr>
            <w:tcW w:w="2349" w:type="dxa"/>
            <w:vAlign w:val="center"/>
          </w:tcPr>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招标文件的</w:t>
            </w:r>
          </w:p>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商务条款</w:t>
            </w:r>
          </w:p>
        </w:tc>
        <w:tc>
          <w:tcPr>
            <w:tcW w:w="2340" w:type="dxa"/>
            <w:vAlign w:val="center"/>
          </w:tcPr>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投标文件的</w:t>
            </w:r>
          </w:p>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商务条款</w:t>
            </w:r>
          </w:p>
        </w:tc>
        <w:tc>
          <w:tcPr>
            <w:tcW w:w="1620" w:type="dxa"/>
            <w:vAlign w:val="center"/>
          </w:tcPr>
          <w:p>
            <w:pPr>
              <w:autoSpaceDE w:val="0"/>
              <w:autoSpaceDN w:val="0"/>
              <w:adjustRightInd w:val="0"/>
              <w:spacing w:line="360" w:lineRule="exact"/>
              <w:jc w:val="center"/>
              <w:rPr>
                <w:rFonts w:ascii="宋体" w:hAnsi="宋体" w:cs="FangSong_GB2312-Identity-H"/>
                <w:bCs/>
                <w:color w:val="auto"/>
                <w:kern w:val="0"/>
                <w:sz w:val="24"/>
                <w:highlight w:val="none"/>
              </w:rPr>
            </w:pPr>
            <w:r>
              <w:rPr>
                <w:rFonts w:hint="eastAsia" w:ascii="宋体" w:hAnsi="宋体" w:cs="FangSong_GB2312-Identity-H"/>
                <w:bCs/>
                <w:color w:val="auto"/>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971"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9"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234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c>
          <w:tcPr>
            <w:tcW w:w="1620" w:type="dxa"/>
            <w:vAlign w:val="center"/>
          </w:tcPr>
          <w:p>
            <w:pPr>
              <w:autoSpaceDE w:val="0"/>
              <w:autoSpaceDN w:val="0"/>
              <w:adjustRightInd w:val="0"/>
              <w:spacing w:line="700" w:lineRule="exact"/>
              <w:jc w:val="center"/>
              <w:rPr>
                <w:rFonts w:ascii="宋体" w:hAnsi="宋体" w:cs="FangSong_GB2312-Identity-H"/>
                <w:bCs/>
                <w:color w:val="auto"/>
                <w:kern w:val="0"/>
                <w:sz w:val="24"/>
                <w:highlight w:val="none"/>
              </w:rPr>
            </w:pPr>
          </w:p>
        </w:tc>
      </w:tr>
    </w:tbl>
    <w:p>
      <w:pPr>
        <w:autoSpaceDE w:val="0"/>
        <w:autoSpaceDN w:val="0"/>
        <w:adjustRightInd w:val="0"/>
        <w:spacing w:line="700" w:lineRule="exact"/>
        <w:rPr>
          <w:rFonts w:ascii="宋体" w:hAnsi="宋体" w:cs="FangSong_GB2312-Identity-H"/>
          <w:bCs/>
          <w:color w:val="auto"/>
          <w:kern w:val="0"/>
          <w:sz w:val="24"/>
          <w:highlight w:val="none"/>
        </w:rPr>
      </w:pPr>
      <w:r>
        <w:rPr>
          <w:rFonts w:hint="eastAsia" w:ascii="宋体" w:hAnsi="宋体" w:cs="FangSong_GB2312-Identity-H"/>
          <w:color w:val="auto"/>
          <w:kern w:val="0"/>
          <w:sz w:val="24"/>
          <w:highlight w:val="none"/>
        </w:rPr>
        <w:t>我方承诺：除上表中的偏离外，完全响应招标文件的其他条款。</w:t>
      </w:r>
    </w:p>
    <w:p>
      <w:pPr>
        <w:autoSpaceDE w:val="0"/>
        <w:autoSpaceDN w:val="0"/>
        <w:adjustRightInd w:val="0"/>
        <w:spacing w:line="500" w:lineRule="exact"/>
        <w:jc w:val="left"/>
        <w:rPr>
          <w:rFonts w:ascii="宋体" w:hAnsi="宋体" w:cs="FangSong_GB2312-Identity-H"/>
          <w:color w:val="auto"/>
          <w:kern w:val="0"/>
          <w:sz w:val="24"/>
          <w:highlight w:val="none"/>
        </w:rPr>
      </w:pPr>
    </w:p>
    <w:p>
      <w:pPr>
        <w:autoSpaceDE w:val="0"/>
        <w:autoSpaceDN w:val="0"/>
        <w:adjustRightInd w:val="0"/>
        <w:spacing w:line="500" w:lineRule="exact"/>
        <w:jc w:val="left"/>
        <w:rPr>
          <w:rFonts w:ascii="宋体" w:hAnsi="宋体" w:cs="FangSong_GB2312-Identity-H"/>
          <w:color w:val="auto"/>
          <w:kern w:val="0"/>
          <w:sz w:val="24"/>
          <w:highlight w:val="none"/>
          <w:u w:val="single"/>
        </w:rPr>
      </w:pPr>
      <w:r>
        <w:rPr>
          <w:rFonts w:hint="eastAsia" w:ascii="宋体" w:hAnsi="宋体" w:cs="FangSong_GB2312-Identity-H"/>
          <w:color w:val="auto"/>
          <w:kern w:val="0"/>
          <w:sz w:val="24"/>
          <w:highlight w:val="none"/>
        </w:rPr>
        <w:t>投标人</w:t>
      </w:r>
      <w:r>
        <w:rPr>
          <w:rFonts w:ascii="宋体" w:hAnsi="宋体" w:cs="FangSong_GB2312-Identity-H"/>
          <w:color w:val="auto"/>
          <w:kern w:val="0"/>
          <w:sz w:val="24"/>
          <w:highlight w:val="none"/>
        </w:rPr>
        <w:t>(</w:t>
      </w:r>
      <w:r>
        <w:rPr>
          <w:rFonts w:hint="eastAsia" w:ascii="宋体" w:hAnsi="宋体" w:cs="FangSong_GB2312-Identity-H"/>
          <w:color w:val="auto"/>
          <w:kern w:val="0"/>
          <w:sz w:val="24"/>
          <w:highlight w:val="none"/>
        </w:rPr>
        <w:t>公章</w:t>
      </w:r>
      <w:r>
        <w:rPr>
          <w:rFonts w:ascii="宋体" w:hAnsi="宋体" w:cs="FangSong_GB2312-Identity-H"/>
          <w:color w:val="auto"/>
          <w:kern w:val="0"/>
          <w:sz w:val="24"/>
          <w:highlight w:val="none"/>
        </w:rPr>
        <w:t xml:space="preserve">) </w:t>
      </w:r>
      <w:r>
        <w:rPr>
          <w:rFonts w:hint="eastAsia" w:ascii="宋体" w:hAnsi="宋体" w:cs="FangSong_GB2312-Identity-H"/>
          <w:color w:val="auto"/>
          <w:kern w:val="0"/>
          <w:sz w:val="24"/>
          <w:highlight w:val="none"/>
        </w:rPr>
        <w:t>：</w:t>
      </w:r>
      <w:r>
        <w:rPr>
          <w:rFonts w:hint="eastAsia" w:ascii="宋体" w:hAnsi="宋体" w:cs="FangSong_GB2312-Identity-H"/>
          <w:color w:val="auto"/>
          <w:kern w:val="0"/>
          <w:sz w:val="24"/>
          <w:highlight w:val="none"/>
          <w:u w:val="single"/>
        </w:rPr>
        <w:t xml:space="preserve">                          </w:t>
      </w:r>
    </w:p>
    <w:p>
      <w:pPr>
        <w:autoSpaceDE w:val="0"/>
        <w:autoSpaceDN w:val="0"/>
        <w:adjustRightInd w:val="0"/>
        <w:spacing w:line="500" w:lineRule="exact"/>
        <w:jc w:val="left"/>
        <w:rPr>
          <w:rFonts w:ascii="宋体" w:hAnsi="宋体" w:cs="FangSong_GB2312-Identity-H"/>
          <w:color w:val="auto"/>
          <w:kern w:val="0"/>
          <w:sz w:val="24"/>
          <w:highlight w:val="none"/>
          <w:u w:val="single"/>
        </w:rPr>
      </w:pPr>
      <w:r>
        <w:rPr>
          <w:rFonts w:hint="eastAsia" w:ascii="宋体" w:hAnsi="宋体" w:cs="FangSong_GB2312-Identity-H"/>
          <w:color w:val="auto"/>
          <w:kern w:val="0"/>
          <w:sz w:val="24"/>
          <w:highlight w:val="none"/>
        </w:rPr>
        <w:t>法定代表人或授权委托人（签字或盖章）：</w:t>
      </w:r>
      <w:r>
        <w:rPr>
          <w:rFonts w:hint="eastAsia" w:ascii="宋体" w:hAnsi="宋体" w:cs="FangSong_GB2312-Identity-H"/>
          <w:color w:val="auto"/>
          <w:kern w:val="0"/>
          <w:sz w:val="24"/>
          <w:highlight w:val="none"/>
          <w:u w:val="single"/>
        </w:rPr>
        <w:t xml:space="preserve">                       </w:t>
      </w:r>
    </w:p>
    <w:p>
      <w:pPr>
        <w:autoSpaceDE w:val="0"/>
        <w:autoSpaceDN w:val="0"/>
        <w:adjustRightInd w:val="0"/>
        <w:spacing w:line="500" w:lineRule="exact"/>
        <w:jc w:val="left"/>
        <w:rPr>
          <w:rFonts w:ascii="宋体" w:hAnsi="宋体" w:cs="FangSong_GB2312-Identity-H"/>
          <w:color w:val="auto"/>
          <w:kern w:val="0"/>
          <w:sz w:val="24"/>
          <w:highlight w:val="none"/>
        </w:rPr>
      </w:pPr>
      <w:r>
        <w:rPr>
          <w:rFonts w:hint="eastAsia" w:ascii="宋体" w:hAnsi="宋体" w:cs="FangSong_GB2312-Identity-H"/>
          <w:color w:val="auto"/>
          <w:kern w:val="0"/>
          <w:sz w:val="24"/>
          <w:highlight w:val="none"/>
        </w:rPr>
        <w:t>日期：</w:t>
      </w:r>
      <w:r>
        <w:rPr>
          <w:rFonts w:ascii="宋体" w:hAnsi="宋体" w:cs="FangSong_GB2312-Identity-H"/>
          <w:color w:val="auto"/>
          <w:kern w:val="0"/>
          <w:sz w:val="24"/>
          <w:highlight w:val="none"/>
        </w:rPr>
        <w:t xml:space="preserve"> </w:t>
      </w:r>
      <w:r>
        <w:rPr>
          <w:rFonts w:hint="eastAsia" w:ascii="宋体" w:hAnsi="宋体" w:cs="FangSong_GB2312-Identity-H"/>
          <w:color w:val="auto"/>
          <w:kern w:val="0"/>
          <w:sz w:val="24"/>
          <w:highlight w:val="none"/>
          <w:u w:val="single"/>
        </w:rPr>
        <w:t xml:space="preserve">         </w:t>
      </w:r>
      <w:r>
        <w:rPr>
          <w:rFonts w:hint="eastAsia" w:ascii="宋体" w:hAnsi="宋体" w:cs="FangSong_GB2312-Identity-H"/>
          <w:color w:val="auto"/>
          <w:kern w:val="0"/>
          <w:sz w:val="24"/>
          <w:highlight w:val="none"/>
        </w:rPr>
        <w:t>年</w:t>
      </w:r>
      <w:r>
        <w:rPr>
          <w:rFonts w:hint="eastAsia" w:ascii="宋体" w:hAnsi="宋体" w:cs="FangSong_GB2312-Identity-H"/>
          <w:color w:val="auto"/>
          <w:kern w:val="0"/>
          <w:sz w:val="24"/>
          <w:highlight w:val="none"/>
          <w:u w:val="single"/>
        </w:rPr>
        <w:t xml:space="preserve">        </w:t>
      </w:r>
      <w:r>
        <w:rPr>
          <w:rFonts w:hint="eastAsia" w:ascii="宋体" w:hAnsi="宋体" w:cs="FangSong_GB2312-Identity-H"/>
          <w:color w:val="auto"/>
          <w:kern w:val="0"/>
          <w:sz w:val="24"/>
          <w:highlight w:val="none"/>
        </w:rPr>
        <w:t>月</w:t>
      </w:r>
      <w:r>
        <w:rPr>
          <w:rFonts w:hint="eastAsia" w:ascii="宋体" w:hAnsi="宋体" w:cs="FangSong_GB2312-Identity-H"/>
          <w:color w:val="auto"/>
          <w:kern w:val="0"/>
          <w:sz w:val="24"/>
          <w:highlight w:val="none"/>
          <w:u w:val="single"/>
        </w:rPr>
        <w:t xml:space="preserve">         </w:t>
      </w:r>
      <w:r>
        <w:rPr>
          <w:rFonts w:hint="eastAsia" w:ascii="宋体" w:hAnsi="宋体" w:cs="FangSong_GB2312-Identity-H"/>
          <w:color w:val="auto"/>
          <w:kern w:val="0"/>
          <w:sz w:val="24"/>
          <w:highlight w:val="none"/>
        </w:rPr>
        <w:t>日</w:t>
      </w:r>
    </w:p>
    <w:p>
      <w:pPr>
        <w:autoSpaceDE w:val="0"/>
        <w:autoSpaceDN w:val="0"/>
        <w:adjustRightInd w:val="0"/>
        <w:spacing w:line="700" w:lineRule="exac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br w:type="page"/>
      </w:r>
      <w:r>
        <w:rPr>
          <w:rFonts w:hint="eastAsia" w:ascii="宋体" w:hAnsi="宋体" w:cs="宋体"/>
          <w:b/>
          <w:bCs/>
          <w:color w:val="auto"/>
          <w:sz w:val="32"/>
          <w:szCs w:val="32"/>
          <w:highlight w:val="none"/>
        </w:rPr>
        <w:t>服务内容响应表</w:t>
      </w:r>
    </w:p>
    <w:p>
      <w:pPr>
        <w:autoSpaceDE w:val="0"/>
        <w:autoSpaceDN w:val="0"/>
        <w:adjustRightInd w:val="0"/>
        <w:spacing w:line="700" w:lineRule="exact"/>
        <w:rPr>
          <w:rFonts w:ascii="宋体" w:hAnsi="宋体" w:cs="FangSong_GB2312-Identity-H"/>
          <w:color w:val="auto"/>
          <w:kern w:val="0"/>
          <w:sz w:val="24"/>
          <w:highlight w:val="none"/>
        </w:rPr>
      </w:pPr>
      <w:r>
        <w:rPr>
          <w:rFonts w:hint="eastAsia" w:ascii="宋体" w:hAnsi="宋体" w:cs="FangSong_GB2312-Identity-H"/>
          <w:color w:val="auto"/>
          <w:kern w:val="0"/>
          <w:sz w:val="24"/>
          <w:highlight w:val="none"/>
        </w:rPr>
        <w:t xml:space="preserve">项目名称：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213"/>
        <w:gridCol w:w="3223"/>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213"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招标文件的</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采购需求</w:t>
            </w:r>
          </w:p>
        </w:tc>
        <w:tc>
          <w:tcPr>
            <w:tcW w:w="3223"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投标文件的</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服务内容</w:t>
            </w:r>
          </w:p>
        </w:tc>
        <w:tc>
          <w:tcPr>
            <w:tcW w:w="2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32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bl>
    <w:p>
      <w:pPr>
        <w:autoSpaceDE w:val="0"/>
        <w:autoSpaceDN w:val="0"/>
        <w:adjustRightInd w:val="0"/>
        <w:spacing w:line="700" w:lineRule="exact"/>
        <w:rPr>
          <w:rFonts w:ascii="宋体" w:hAnsi="宋体" w:cs="FangSong_GB2312-Identity-H"/>
          <w:bCs/>
          <w:color w:val="auto"/>
          <w:kern w:val="0"/>
          <w:sz w:val="24"/>
          <w:highlight w:val="none"/>
        </w:rPr>
      </w:pPr>
      <w:r>
        <w:rPr>
          <w:rFonts w:hint="eastAsia" w:ascii="宋体" w:hAnsi="宋体" w:cs="FangSong_GB2312-Identity-H"/>
          <w:color w:val="auto"/>
          <w:kern w:val="0"/>
          <w:sz w:val="24"/>
          <w:highlight w:val="none"/>
        </w:rPr>
        <w:t>我方承诺：除上表中的偏离外，完全响应招标文件的其他条款。</w:t>
      </w:r>
    </w:p>
    <w:p>
      <w:pPr>
        <w:autoSpaceDE w:val="0"/>
        <w:autoSpaceDN w:val="0"/>
        <w:adjustRightInd w:val="0"/>
        <w:spacing w:line="500" w:lineRule="exact"/>
        <w:jc w:val="left"/>
        <w:rPr>
          <w:rFonts w:ascii="宋体" w:hAnsi="宋体" w:cs="FangSong_GB2312-Identity-H"/>
          <w:color w:val="auto"/>
          <w:kern w:val="0"/>
          <w:sz w:val="24"/>
          <w:highlight w:val="none"/>
        </w:rPr>
      </w:pPr>
    </w:p>
    <w:p>
      <w:pPr>
        <w:autoSpaceDE w:val="0"/>
        <w:autoSpaceDN w:val="0"/>
        <w:adjustRightInd w:val="0"/>
        <w:spacing w:line="500" w:lineRule="exact"/>
        <w:jc w:val="left"/>
        <w:rPr>
          <w:rFonts w:ascii="宋体" w:hAnsi="宋体" w:cs="FangSong_GB2312-Identity-H"/>
          <w:color w:val="auto"/>
          <w:kern w:val="0"/>
          <w:sz w:val="24"/>
          <w:highlight w:val="none"/>
          <w:u w:val="single"/>
        </w:rPr>
      </w:pPr>
      <w:r>
        <w:rPr>
          <w:rFonts w:hint="eastAsia" w:ascii="宋体" w:hAnsi="宋体" w:cs="FangSong_GB2312-Identity-H"/>
          <w:color w:val="auto"/>
          <w:kern w:val="0"/>
          <w:sz w:val="24"/>
          <w:highlight w:val="none"/>
        </w:rPr>
        <w:t>投标人</w:t>
      </w:r>
      <w:r>
        <w:rPr>
          <w:rFonts w:ascii="宋体" w:hAnsi="宋体" w:cs="FangSong_GB2312-Identity-H"/>
          <w:color w:val="auto"/>
          <w:kern w:val="0"/>
          <w:sz w:val="24"/>
          <w:highlight w:val="none"/>
        </w:rPr>
        <w:t>(</w:t>
      </w:r>
      <w:r>
        <w:rPr>
          <w:rFonts w:hint="eastAsia" w:ascii="宋体" w:hAnsi="宋体" w:cs="FangSong_GB2312-Identity-H"/>
          <w:color w:val="auto"/>
          <w:kern w:val="0"/>
          <w:sz w:val="24"/>
          <w:highlight w:val="none"/>
        </w:rPr>
        <w:t>公章</w:t>
      </w:r>
      <w:r>
        <w:rPr>
          <w:rFonts w:ascii="宋体" w:hAnsi="宋体" w:cs="FangSong_GB2312-Identity-H"/>
          <w:color w:val="auto"/>
          <w:kern w:val="0"/>
          <w:sz w:val="24"/>
          <w:highlight w:val="none"/>
        </w:rPr>
        <w:t xml:space="preserve">) </w:t>
      </w:r>
      <w:r>
        <w:rPr>
          <w:rFonts w:hint="eastAsia" w:ascii="宋体" w:hAnsi="宋体" w:cs="FangSong_GB2312-Identity-H"/>
          <w:color w:val="auto"/>
          <w:kern w:val="0"/>
          <w:sz w:val="24"/>
          <w:highlight w:val="none"/>
        </w:rPr>
        <w:t>：</w:t>
      </w:r>
      <w:r>
        <w:rPr>
          <w:rFonts w:hint="eastAsia" w:ascii="宋体" w:hAnsi="宋体" w:cs="FangSong_GB2312-Identity-H"/>
          <w:color w:val="auto"/>
          <w:kern w:val="0"/>
          <w:sz w:val="24"/>
          <w:highlight w:val="none"/>
          <w:u w:val="single"/>
        </w:rPr>
        <w:t xml:space="preserve">                          </w:t>
      </w:r>
    </w:p>
    <w:p>
      <w:pPr>
        <w:autoSpaceDE w:val="0"/>
        <w:autoSpaceDN w:val="0"/>
        <w:adjustRightInd w:val="0"/>
        <w:spacing w:line="500" w:lineRule="exact"/>
        <w:jc w:val="left"/>
        <w:rPr>
          <w:rFonts w:ascii="宋体" w:hAnsi="宋体" w:cs="FangSong_GB2312-Identity-H"/>
          <w:color w:val="auto"/>
          <w:kern w:val="0"/>
          <w:sz w:val="24"/>
          <w:highlight w:val="none"/>
          <w:u w:val="single"/>
        </w:rPr>
      </w:pPr>
      <w:r>
        <w:rPr>
          <w:rFonts w:hint="eastAsia" w:ascii="宋体" w:hAnsi="宋体" w:cs="FangSong_GB2312-Identity-H"/>
          <w:color w:val="auto"/>
          <w:kern w:val="0"/>
          <w:sz w:val="24"/>
          <w:highlight w:val="none"/>
        </w:rPr>
        <w:t>法定代表人或授权委托人（签字或盖章）：</w:t>
      </w:r>
      <w:r>
        <w:rPr>
          <w:rFonts w:hint="eastAsia" w:ascii="宋体" w:hAnsi="宋体" w:cs="FangSong_GB2312-Identity-H"/>
          <w:color w:val="auto"/>
          <w:kern w:val="0"/>
          <w:sz w:val="24"/>
          <w:highlight w:val="none"/>
          <w:u w:val="single"/>
        </w:rPr>
        <w:t xml:space="preserve">                       </w:t>
      </w:r>
    </w:p>
    <w:p>
      <w:pPr>
        <w:autoSpaceDE w:val="0"/>
        <w:autoSpaceDN w:val="0"/>
        <w:adjustRightInd w:val="0"/>
        <w:spacing w:line="500" w:lineRule="exact"/>
        <w:jc w:val="left"/>
        <w:rPr>
          <w:rFonts w:ascii="宋体" w:hAnsi="宋体" w:cs="FangSong_GB2312-Identity-H"/>
          <w:color w:val="auto"/>
          <w:kern w:val="0"/>
          <w:sz w:val="24"/>
          <w:highlight w:val="none"/>
        </w:rPr>
      </w:pPr>
      <w:r>
        <w:rPr>
          <w:rFonts w:hint="eastAsia" w:ascii="宋体" w:hAnsi="宋体" w:cs="FangSong_GB2312-Identity-H"/>
          <w:color w:val="auto"/>
          <w:kern w:val="0"/>
          <w:sz w:val="24"/>
          <w:highlight w:val="none"/>
        </w:rPr>
        <w:t>日期：</w:t>
      </w:r>
      <w:r>
        <w:rPr>
          <w:rFonts w:ascii="宋体" w:hAnsi="宋体" w:cs="FangSong_GB2312-Identity-H"/>
          <w:color w:val="auto"/>
          <w:kern w:val="0"/>
          <w:sz w:val="24"/>
          <w:highlight w:val="none"/>
        </w:rPr>
        <w:t xml:space="preserve"> </w:t>
      </w:r>
      <w:r>
        <w:rPr>
          <w:rFonts w:hint="eastAsia" w:ascii="宋体" w:hAnsi="宋体" w:cs="FangSong_GB2312-Identity-H"/>
          <w:color w:val="auto"/>
          <w:kern w:val="0"/>
          <w:sz w:val="24"/>
          <w:highlight w:val="none"/>
          <w:u w:val="single"/>
        </w:rPr>
        <w:t xml:space="preserve">         </w:t>
      </w:r>
      <w:r>
        <w:rPr>
          <w:rFonts w:hint="eastAsia" w:ascii="宋体" w:hAnsi="宋体" w:cs="FangSong_GB2312-Identity-H"/>
          <w:color w:val="auto"/>
          <w:kern w:val="0"/>
          <w:sz w:val="24"/>
          <w:highlight w:val="none"/>
        </w:rPr>
        <w:t>年</w:t>
      </w:r>
      <w:r>
        <w:rPr>
          <w:rFonts w:hint="eastAsia" w:ascii="宋体" w:hAnsi="宋体" w:cs="FangSong_GB2312-Identity-H"/>
          <w:color w:val="auto"/>
          <w:kern w:val="0"/>
          <w:sz w:val="24"/>
          <w:highlight w:val="none"/>
          <w:u w:val="single"/>
        </w:rPr>
        <w:t xml:space="preserve">        </w:t>
      </w:r>
      <w:r>
        <w:rPr>
          <w:rFonts w:hint="eastAsia" w:ascii="宋体" w:hAnsi="宋体" w:cs="FangSong_GB2312-Identity-H"/>
          <w:color w:val="auto"/>
          <w:kern w:val="0"/>
          <w:sz w:val="24"/>
          <w:highlight w:val="none"/>
        </w:rPr>
        <w:t>月</w:t>
      </w:r>
      <w:r>
        <w:rPr>
          <w:rFonts w:hint="eastAsia" w:ascii="宋体" w:hAnsi="宋体" w:cs="FangSong_GB2312-Identity-H"/>
          <w:color w:val="auto"/>
          <w:kern w:val="0"/>
          <w:sz w:val="24"/>
          <w:highlight w:val="none"/>
          <w:u w:val="single"/>
        </w:rPr>
        <w:t xml:space="preserve">         </w:t>
      </w:r>
      <w:r>
        <w:rPr>
          <w:rFonts w:hint="eastAsia" w:ascii="宋体" w:hAnsi="宋体" w:cs="FangSong_GB2312-Identity-H"/>
          <w:color w:val="auto"/>
          <w:kern w:val="0"/>
          <w:sz w:val="24"/>
          <w:highlight w:val="none"/>
        </w:rPr>
        <w:t>日</w:t>
      </w:r>
    </w:p>
    <w:p>
      <w:pPr>
        <w:spacing w:line="440" w:lineRule="exact"/>
        <w:jc w:val="left"/>
        <w:rPr>
          <w:rFonts w:ascii="宋体" w:hAnsi="宋体"/>
          <w:color w:val="auto"/>
          <w:sz w:val="24"/>
          <w:highlight w:val="none"/>
        </w:rPr>
      </w:pPr>
    </w:p>
    <w:p>
      <w:pPr>
        <w:spacing w:line="440" w:lineRule="exact"/>
        <w:jc w:val="left"/>
        <w:rPr>
          <w:rFonts w:ascii="宋体" w:hAnsi="宋体"/>
          <w:color w:val="auto"/>
          <w:sz w:val="24"/>
          <w:highlight w:val="none"/>
        </w:rPr>
      </w:pPr>
    </w:p>
    <w:p>
      <w:pPr>
        <w:spacing w:line="440" w:lineRule="exact"/>
        <w:jc w:val="left"/>
        <w:rPr>
          <w:rFonts w:ascii="宋体" w:hAnsi="宋体"/>
          <w:color w:val="auto"/>
          <w:sz w:val="24"/>
          <w:highlight w:val="none"/>
        </w:rPr>
      </w:pPr>
    </w:p>
    <w:p>
      <w:pPr>
        <w:spacing w:line="440" w:lineRule="exact"/>
        <w:jc w:val="left"/>
        <w:rPr>
          <w:rFonts w:ascii="宋体" w:hAnsi="宋体"/>
          <w:color w:val="auto"/>
          <w:sz w:val="24"/>
          <w:highlight w:val="none"/>
        </w:rPr>
      </w:pPr>
    </w:p>
    <w:p>
      <w:pPr>
        <w:spacing w:line="440" w:lineRule="exact"/>
        <w:jc w:val="left"/>
        <w:rPr>
          <w:rFonts w:ascii="宋体" w:hAnsi="宋体"/>
          <w:color w:val="auto"/>
          <w:sz w:val="24"/>
          <w:highlight w:val="none"/>
        </w:rPr>
      </w:pPr>
      <w:r>
        <w:rPr>
          <w:rFonts w:hint="eastAsia" w:ascii="宋体" w:hAnsi="宋体"/>
          <w:color w:val="auto"/>
          <w:sz w:val="24"/>
          <w:highlight w:val="none"/>
        </w:rPr>
        <w:br w:type="page"/>
      </w:r>
      <w:r>
        <w:rPr>
          <w:rFonts w:hint="eastAsia" w:ascii="宋体" w:hAnsi="宋体"/>
          <w:color w:val="auto"/>
          <w:sz w:val="24"/>
          <w:highlight w:val="none"/>
        </w:rPr>
        <w:t>格式六：</w:t>
      </w:r>
    </w:p>
    <w:p>
      <w:pPr>
        <w:pStyle w:val="12"/>
        <w:snapToGrid w:val="0"/>
        <w:spacing w:before="120" w:after="120" w:line="460" w:lineRule="exact"/>
        <w:jc w:val="center"/>
        <w:rPr>
          <w:rFonts w:hAnsi="宋体"/>
          <w:b/>
          <w:color w:val="auto"/>
          <w:szCs w:val="28"/>
          <w:highlight w:val="none"/>
        </w:rPr>
      </w:pPr>
      <w:r>
        <w:rPr>
          <w:rFonts w:hint="eastAsia" w:hAnsi="宋体"/>
          <w:b/>
          <w:color w:val="auto"/>
          <w:szCs w:val="28"/>
          <w:highlight w:val="none"/>
        </w:rPr>
        <w:t>开标一览表</w:t>
      </w:r>
    </w:p>
    <w:tbl>
      <w:tblPr>
        <w:tblStyle w:val="20"/>
        <w:tblW w:w="995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840"/>
        <w:gridCol w:w="71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840" w:type="dxa"/>
            <w:vAlign w:val="center"/>
          </w:tcPr>
          <w:p>
            <w:pPr>
              <w:spacing w:line="480" w:lineRule="exact"/>
              <w:jc w:val="center"/>
              <w:rPr>
                <w:rFonts w:ascii="宋体" w:hAnsi="宋体" w:cs="Angsana New"/>
                <w:color w:val="auto"/>
                <w:sz w:val="24"/>
                <w:highlight w:val="none"/>
                <w:lang w:bidi="th-TH"/>
              </w:rPr>
            </w:pPr>
            <w:r>
              <w:rPr>
                <w:rFonts w:hint="eastAsia" w:ascii="宋体" w:hAnsi="宋体" w:cs="Angsana New"/>
                <w:color w:val="auto"/>
                <w:sz w:val="24"/>
                <w:highlight w:val="none"/>
                <w:lang w:bidi="th-TH"/>
              </w:rPr>
              <w:t>招标项目名称</w:t>
            </w:r>
          </w:p>
        </w:tc>
        <w:tc>
          <w:tcPr>
            <w:tcW w:w="7116" w:type="dxa"/>
            <w:vAlign w:val="center"/>
          </w:tcPr>
          <w:p>
            <w:pPr>
              <w:spacing w:line="480" w:lineRule="exact"/>
              <w:jc w:val="center"/>
              <w:rPr>
                <w:rFonts w:ascii="宋体" w:hAnsi="宋体" w:cs="Angsana New"/>
                <w:color w:val="auto"/>
                <w:sz w:val="24"/>
                <w:highlight w:val="none"/>
                <w:lang w:bidi="th-TH"/>
              </w:rPr>
            </w:pPr>
            <w:r>
              <w:rPr>
                <w:rFonts w:hint="eastAsia" w:ascii="宋体" w:hAnsi="宋体" w:cs="Angsana New"/>
                <w:color w:val="auto"/>
                <w:sz w:val="24"/>
                <w:highlight w:val="none"/>
                <w:lang w:bidi="th-TH"/>
              </w:rPr>
              <w:t>2024年大丰区农村生活污水治理排查、方案编制、设计项目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840" w:type="dxa"/>
            <w:vAlign w:val="center"/>
          </w:tcPr>
          <w:p>
            <w:pPr>
              <w:spacing w:line="480" w:lineRule="exact"/>
              <w:jc w:val="center"/>
              <w:rPr>
                <w:rFonts w:ascii="宋体" w:hAnsi="宋体" w:cs="Angsana New"/>
                <w:color w:val="auto"/>
                <w:sz w:val="24"/>
                <w:highlight w:val="none"/>
                <w:lang w:bidi="th-TH"/>
              </w:rPr>
            </w:pPr>
            <w:r>
              <w:rPr>
                <w:rFonts w:ascii="宋体" w:hAnsi="宋体" w:cs="Angsana New"/>
                <w:color w:val="auto"/>
                <w:sz w:val="24"/>
                <w:highlight w:val="none"/>
                <w:lang w:bidi="th-TH"/>
              </w:rPr>
              <w:t>合同履行期限</w:t>
            </w:r>
          </w:p>
        </w:tc>
        <w:tc>
          <w:tcPr>
            <w:tcW w:w="7116" w:type="dxa"/>
            <w:vAlign w:val="center"/>
          </w:tcPr>
          <w:p>
            <w:pPr>
              <w:spacing w:line="480" w:lineRule="exact"/>
              <w:jc w:val="center"/>
              <w:rPr>
                <w:rFonts w:ascii="宋体" w:hAnsi="宋体" w:cs="Angsana New"/>
                <w:color w:val="auto"/>
                <w:sz w:val="24"/>
                <w:highlight w:val="none"/>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840" w:type="dxa"/>
            <w:vMerge w:val="restart"/>
            <w:vAlign w:val="center"/>
          </w:tcPr>
          <w:p>
            <w:pPr>
              <w:spacing w:line="480" w:lineRule="exact"/>
              <w:jc w:val="center"/>
              <w:rPr>
                <w:rFonts w:ascii="宋体" w:hAnsi="宋体" w:cs="Angsana New"/>
                <w:color w:val="auto"/>
                <w:sz w:val="24"/>
                <w:highlight w:val="none"/>
                <w:lang w:bidi="th-TH"/>
              </w:rPr>
            </w:pPr>
            <w:r>
              <w:rPr>
                <w:rFonts w:hint="eastAsia" w:ascii="宋体" w:hAnsi="宋体" w:cs="Angsana New"/>
                <w:color w:val="auto"/>
                <w:sz w:val="24"/>
                <w:highlight w:val="none"/>
                <w:lang w:bidi="th-TH"/>
              </w:rPr>
              <w:t>投标报价</w:t>
            </w:r>
          </w:p>
        </w:tc>
        <w:tc>
          <w:tcPr>
            <w:tcW w:w="7116" w:type="dxa"/>
            <w:vAlign w:val="center"/>
          </w:tcPr>
          <w:p>
            <w:pPr>
              <w:spacing w:line="480" w:lineRule="exact"/>
              <w:jc w:val="left"/>
              <w:rPr>
                <w:rFonts w:ascii="宋体" w:hAnsi="宋体" w:cs="Angsana New"/>
                <w:color w:val="auto"/>
                <w:sz w:val="24"/>
                <w:highlight w:val="none"/>
                <w:lang w:bidi="th-TH"/>
              </w:rPr>
            </w:pPr>
            <w:r>
              <w:rPr>
                <w:rFonts w:hint="eastAsia" w:ascii="宋体" w:hAnsi="宋体" w:cs="Angsana New"/>
                <w:color w:val="auto"/>
                <w:sz w:val="24"/>
                <w:highlight w:val="none"/>
                <w:lang w:bidi="th-TH"/>
              </w:rPr>
              <w:t>大写：    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840" w:type="dxa"/>
            <w:vMerge w:val="continue"/>
            <w:vAlign w:val="center"/>
          </w:tcPr>
          <w:p>
            <w:pPr>
              <w:spacing w:line="480" w:lineRule="exact"/>
              <w:jc w:val="center"/>
              <w:rPr>
                <w:rFonts w:ascii="宋体" w:hAnsi="宋体" w:cs="Angsana New"/>
                <w:color w:val="auto"/>
                <w:sz w:val="24"/>
                <w:highlight w:val="none"/>
                <w:lang w:bidi="th-TH"/>
              </w:rPr>
            </w:pPr>
          </w:p>
        </w:tc>
        <w:tc>
          <w:tcPr>
            <w:tcW w:w="7116" w:type="dxa"/>
            <w:vAlign w:val="center"/>
          </w:tcPr>
          <w:p>
            <w:pPr>
              <w:spacing w:line="480" w:lineRule="exact"/>
              <w:jc w:val="left"/>
              <w:rPr>
                <w:rFonts w:ascii="宋体" w:hAnsi="宋体" w:cs="Angsana New"/>
                <w:color w:val="auto"/>
                <w:sz w:val="24"/>
                <w:highlight w:val="none"/>
                <w:lang w:bidi="th-TH"/>
              </w:rPr>
            </w:pPr>
            <w:r>
              <w:rPr>
                <w:rFonts w:hint="eastAsia" w:ascii="宋体" w:hAnsi="宋体" w:cs="Angsana New"/>
                <w:color w:val="auto"/>
                <w:sz w:val="24"/>
                <w:highlight w:val="none"/>
                <w:lang w:bidi="th-TH"/>
              </w:rPr>
              <w:t>小写：    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840" w:type="dxa"/>
            <w:vAlign w:val="center"/>
          </w:tcPr>
          <w:p>
            <w:pPr>
              <w:spacing w:line="480" w:lineRule="exact"/>
              <w:jc w:val="center"/>
              <w:rPr>
                <w:rFonts w:ascii="宋体" w:hAnsi="宋体" w:cs="Angsana New"/>
                <w:color w:val="auto"/>
                <w:sz w:val="24"/>
                <w:highlight w:val="none"/>
                <w:lang w:bidi="th-TH"/>
              </w:rPr>
            </w:pPr>
            <w:r>
              <w:rPr>
                <w:rFonts w:hint="eastAsia" w:ascii="宋体" w:hAnsi="宋体" w:cs="Angsana New"/>
                <w:color w:val="auto"/>
                <w:sz w:val="24"/>
                <w:highlight w:val="none"/>
                <w:lang w:bidi="th-TH"/>
              </w:rPr>
              <w:t>项目负责人</w:t>
            </w:r>
          </w:p>
        </w:tc>
        <w:tc>
          <w:tcPr>
            <w:tcW w:w="7116" w:type="dxa"/>
            <w:vAlign w:val="center"/>
          </w:tcPr>
          <w:p>
            <w:pPr>
              <w:spacing w:line="480" w:lineRule="exact"/>
              <w:jc w:val="center"/>
              <w:rPr>
                <w:rFonts w:ascii="宋体" w:hAnsi="宋体" w:cs="Angsana New"/>
                <w:color w:val="auto"/>
                <w:sz w:val="24"/>
                <w:highlight w:val="none"/>
                <w:lang w:bidi="th-TH"/>
              </w:rPr>
            </w:pPr>
          </w:p>
        </w:tc>
      </w:tr>
    </w:tbl>
    <w:p>
      <w:pPr>
        <w:pStyle w:val="12"/>
        <w:snapToGrid w:val="0"/>
        <w:spacing w:line="48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注: 1、报价一经涂改，应在涂改处加盖单位公章或者由法定代表人或授权委托人签字或盖章，否则其投标作无效标处理。</w:t>
      </w:r>
    </w:p>
    <w:p>
      <w:pPr>
        <w:pStyle w:val="12"/>
        <w:snapToGrid w:val="0"/>
        <w:spacing w:line="48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2、投标费用包括本项目招标文件规定的一切费用。</w:t>
      </w:r>
    </w:p>
    <w:p>
      <w:pPr>
        <w:pStyle w:val="12"/>
        <w:snapToGrid w:val="0"/>
        <w:spacing w:line="48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3、以上报价应与投标函中、投标报价分项分解表中的价格相一致。</w:t>
      </w:r>
    </w:p>
    <w:p>
      <w:pPr>
        <w:pStyle w:val="12"/>
        <w:snapToGrid w:val="0"/>
        <w:spacing w:line="480" w:lineRule="exact"/>
        <w:jc w:val="left"/>
        <w:rPr>
          <w:rFonts w:hAnsi="宋体" w:cs="Angsana New"/>
          <w:color w:val="auto"/>
          <w:sz w:val="24"/>
          <w:szCs w:val="24"/>
          <w:highlight w:val="none"/>
          <w:lang w:bidi="th-TH"/>
        </w:rPr>
      </w:pPr>
    </w:p>
    <w:p>
      <w:pPr>
        <w:pStyle w:val="12"/>
        <w:snapToGrid w:val="0"/>
        <w:spacing w:line="48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投标人（盖章）：</w:t>
      </w:r>
      <w:r>
        <w:rPr>
          <w:rFonts w:hint="eastAsia" w:hAnsi="宋体" w:cs="Angsana New"/>
          <w:color w:val="auto"/>
          <w:sz w:val="24"/>
          <w:szCs w:val="24"/>
          <w:highlight w:val="none"/>
          <w:u w:val="single"/>
          <w:lang w:bidi="th-TH"/>
        </w:rPr>
        <w:t xml:space="preserve">                         </w:t>
      </w:r>
    </w:p>
    <w:p>
      <w:pPr>
        <w:pStyle w:val="12"/>
        <w:snapToGrid w:val="0"/>
        <w:spacing w:line="480" w:lineRule="exact"/>
        <w:jc w:val="left"/>
        <w:rPr>
          <w:rFonts w:hAnsi="宋体" w:cs="Angsana New"/>
          <w:color w:val="auto"/>
          <w:sz w:val="24"/>
          <w:szCs w:val="24"/>
          <w:highlight w:val="none"/>
          <w:u w:val="single"/>
          <w:lang w:bidi="th-TH"/>
        </w:rPr>
      </w:pPr>
      <w:r>
        <w:rPr>
          <w:rFonts w:hint="eastAsia" w:hAnsi="宋体" w:cs="Angsana New"/>
          <w:color w:val="auto"/>
          <w:sz w:val="24"/>
          <w:szCs w:val="24"/>
          <w:highlight w:val="none"/>
          <w:lang w:bidi="th-TH"/>
        </w:rPr>
        <w:t>法定代表人（签字或盖章）：</w:t>
      </w:r>
      <w:r>
        <w:rPr>
          <w:rFonts w:hint="eastAsia" w:hAnsi="宋体" w:cs="Angsana New"/>
          <w:color w:val="auto"/>
          <w:sz w:val="24"/>
          <w:szCs w:val="24"/>
          <w:highlight w:val="none"/>
          <w:u w:val="single"/>
          <w:lang w:bidi="th-TH"/>
        </w:rPr>
        <w:t xml:space="preserve">                </w:t>
      </w:r>
    </w:p>
    <w:p>
      <w:pPr>
        <w:pStyle w:val="12"/>
        <w:snapToGrid w:val="0"/>
        <w:spacing w:line="48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授权委托人（签字或盖章）：</w:t>
      </w:r>
      <w:r>
        <w:rPr>
          <w:rFonts w:hint="eastAsia" w:hAnsi="宋体" w:cs="Angsana New"/>
          <w:color w:val="auto"/>
          <w:sz w:val="24"/>
          <w:szCs w:val="24"/>
          <w:highlight w:val="none"/>
          <w:u w:val="single"/>
          <w:lang w:bidi="th-TH"/>
        </w:rPr>
        <w:t xml:space="preserve">                </w:t>
      </w:r>
    </w:p>
    <w:p>
      <w:pPr>
        <w:pStyle w:val="12"/>
        <w:snapToGrid w:val="0"/>
        <w:spacing w:line="480" w:lineRule="exact"/>
        <w:jc w:val="left"/>
        <w:rPr>
          <w:rFonts w:hAnsi="宋体" w:cs="Angsana New"/>
          <w:color w:val="auto"/>
          <w:sz w:val="24"/>
          <w:szCs w:val="24"/>
          <w:highlight w:val="none"/>
          <w:lang w:bidi="th-TH"/>
        </w:rPr>
      </w:pPr>
      <w:r>
        <w:rPr>
          <w:rFonts w:hint="eastAsia" w:hAnsi="宋体" w:cs="Angsana New"/>
          <w:color w:val="auto"/>
          <w:sz w:val="24"/>
          <w:szCs w:val="24"/>
          <w:highlight w:val="none"/>
          <w:lang w:bidi="th-TH"/>
        </w:rPr>
        <w:t>日期：</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年</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月</w:t>
      </w:r>
      <w:r>
        <w:rPr>
          <w:rFonts w:hint="eastAsia" w:hAnsi="宋体" w:cs="Angsana New"/>
          <w:color w:val="auto"/>
          <w:sz w:val="24"/>
          <w:szCs w:val="24"/>
          <w:highlight w:val="none"/>
          <w:u w:val="single"/>
          <w:lang w:bidi="th-TH"/>
        </w:rPr>
        <w:t xml:space="preserve">  </w:t>
      </w:r>
      <w:r>
        <w:rPr>
          <w:rFonts w:hint="eastAsia" w:hAnsi="宋体" w:cs="Angsana New"/>
          <w:color w:val="auto"/>
          <w:sz w:val="24"/>
          <w:szCs w:val="24"/>
          <w:highlight w:val="none"/>
          <w:lang w:bidi="th-TH"/>
        </w:rPr>
        <w:t>日</w:t>
      </w:r>
    </w:p>
    <w:p>
      <w:pPr>
        <w:pStyle w:val="12"/>
        <w:snapToGrid w:val="0"/>
        <w:spacing w:line="480" w:lineRule="exact"/>
        <w:jc w:val="left"/>
        <w:rPr>
          <w:rFonts w:hAnsi="宋体" w:cs="Angsana New"/>
          <w:color w:val="auto"/>
          <w:sz w:val="24"/>
          <w:szCs w:val="24"/>
          <w:highlight w:val="none"/>
          <w:lang w:bidi="th-TH"/>
        </w:rPr>
      </w:pPr>
    </w:p>
    <w:p>
      <w:pPr>
        <w:pStyle w:val="12"/>
        <w:snapToGrid w:val="0"/>
        <w:spacing w:line="480" w:lineRule="exact"/>
        <w:jc w:val="left"/>
        <w:rPr>
          <w:rFonts w:hAnsi="宋体" w:cs="Angsana New"/>
          <w:color w:val="auto"/>
          <w:sz w:val="24"/>
          <w:szCs w:val="24"/>
          <w:highlight w:val="none"/>
          <w:u w:val="single"/>
          <w:lang w:bidi="th-TH"/>
        </w:rPr>
      </w:pPr>
    </w:p>
    <w:p>
      <w:pPr>
        <w:pStyle w:val="12"/>
        <w:snapToGrid w:val="0"/>
        <w:spacing w:line="480" w:lineRule="exact"/>
        <w:jc w:val="left"/>
        <w:rPr>
          <w:rFonts w:hAnsi="宋体" w:cs="Angsana New"/>
          <w:color w:val="auto"/>
          <w:sz w:val="24"/>
          <w:szCs w:val="24"/>
          <w:highlight w:val="none"/>
          <w:u w:val="single"/>
          <w:lang w:bidi="th-TH"/>
        </w:rPr>
      </w:pPr>
    </w:p>
    <w:p>
      <w:pPr>
        <w:pStyle w:val="12"/>
        <w:snapToGrid w:val="0"/>
        <w:spacing w:line="480" w:lineRule="exact"/>
        <w:jc w:val="left"/>
        <w:rPr>
          <w:rFonts w:hAnsi="宋体" w:cs="Angsana New"/>
          <w:color w:val="auto"/>
          <w:sz w:val="24"/>
          <w:szCs w:val="24"/>
          <w:highlight w:val="none"/>
          <w:u w:val="single"/>
          <w:lang w:bidi="th-TH"/>
        </w:rPr>
      </w:pPr>
    </w:p>
    <w:p>
      <w:pPr>
        <w:pStyle w:val="12"/>
        <w:snapToGrid w:val="0"/>
        <w:spacing w:line="480" w:lineRule="exact"/>
        <w:jc w:val="left"/>
        <w:rPr>
          <w:rFonts w:hAnsi="宋体" w:cs="Angsana New"/>
          <w:color w:val="auto"/>
          <w:sz w:val="24"/>
          <w:szCs w:val="24"/>
          <w:highlight w:val="none"/>
          <w:u w:val="single"/>
          <w:lang w:bidi="th-TH"/>
        </w:rPr>
      </w:pPr>
    </w:p>
    <w:p>
      <w:pPr>
        <w:pStyle w:val="12"/>
        <w:snapToGrid w:val="0"/>
        <w:spacing w:line="480" w:lineRule="exact"/>
        <w:jc w:val="left"/>
        <w:rPr>
          <w:rFonts w:hAnsi="宋体" w:cs="Angsana New"/>
          <w:color w:val="auto"/>
          <w:sz w:val="24"/>
          <w:szCs w:val="24"/>
          <w:highlight w:val="none"/>
          <w:u w:val="single"/>
          <w:lang w:bidi="th-TH"/>
        </w:rPr>
      </w:pPr>
    </w:p>
    <w:p>
      <w:pPr>
        <w:pStyle w:val="12"/>
        <w:snapToGrid w:val="0"/>
        <w:spacing w:line="480" w:lineRule="exact"/>
        <w:jc w:val="left"/>
        <w:rPr>
          <w:rFonts w:hAnsi="宋体" w:cs="Angsana New"/>
          <w:color w:val="auto"/>
          <w:sz w:val="24"/>
          <w:szCs w:val="24"/>
          <w:highlight w:val="none"/>
          <w:u w:val="single"/>
          <w:lang w:bidi="th-TH"/>
        </w:rPr>
      </w:pPr>
    </w:p>
    <w:p>
      <w:pPr>
        <w:pStyle w:val="12"/>
        <w:snapToGrid w:val="0"/>
        <w:spacing w:line="480" w:lineRule="exact"/>
        <w:jc w:val="left"/>
        <w:rPr>
          <w:rFonts w:hAnsi="宋体" w:cs="Angsana New"/>
          <w:color w:val="auto"/>
          <w:sz w:val="24"/>
          <w:szCs w:val="24"/>
          <w:highlight w:val="none"/>
          <w:u w:val="single"/>
          <w:lang w:bidi="th-TH"/>
        </w:rPr>
      </w:pPr>
    </w:p>
    <w:p>
      <w:pPr>
        <w:pStyle w:val="12"/>
        <w:snapToGrid w:val="0"/>
        <w:spacing w:line="480" w:lineRule="exact"/>
        <w:jc w:val="left"/>
        <w:rPr>
          <w:rFonts w:hAnsi="宋体" w:cs="Angsana New"/>
          <w:color w:val="auto"/>
          <w:sz w:val="24"/>
          <w:szCs w:val="24"/>
          <w:highlight w:val="none"/>
          <w:u w:val="single"/>
          <w:lang w:bidi="th-TH"/>
        </w:rPr>
      </w:pPr>
    </w:p>
    <w:p>
      <w:pPr>
        <w:pStyle w:val="12"/>
        <w:snapToGrid w:val="0"/>
        <w:spacing w:line="480" w:lineRule="exact"/>
        <w:jc w:val="left"/>
        <w:rPr>
          <w:rFonts w:hAnsi="宋体" w:cs="Angsana New"/>
          <w:color w:val="auto"/>
          <w:sz w:val="24"/>
          <w:szCs w:val="24"/>
          <w:highlight w:val="none"/>
          <w:u w:val="single"/>
          <w:lang w:bidi="th-TH"/>
        </w:rPr>
      </w:pPr>
    </w:p>
    <w:p>
      <w:pPr>
        <w:spacing w:line="440" w:lineRule="exact"/>
        <w:jc w:val="left"/>
        <w:rPr>
          <w:rFonts w:ascii="宋体" w:hAnsi="宋体"/>
          <w:color w:val="auto"/>
          <w:sz w:val="24"/>
          <w:highlight w:val="none"/>
        </w:rPr>
      </w:pPr>
    </w:p>
    <w:p>
      <w:pPr>
        <w:spacing w:line="440" w:lineRule="exact"/>
        <w:jc w:val="left"/>
        <w:rPr>
          <w:rFonts w:ascii="宋体" w:hAnsi="宋体" w:cs="宋体"/>
          <w:b/>
          <w:bCs/>
          <w:color w:val="auto"/>
          <w:sz w:val="44"/>
          <w:szCs w:val="44"/>
          <w:highlight w:val="none"/>
        </w:rPr>
      </w:pPr>
      <w:r>
        <w:rPr>
          <w:rFonts w:hint="eastAsia" w:ascii="宋体" w:hAnsi="宋体"/>
          <w:color w:val="auto"/>
          <w:sz w:val="24"/>
          <w:highlight w:val="none"/>
        </w:rPr>
        <w:br w:type="page"/>
      </w:r>
      <w:r>
        <w:rPr>
          <w:rFonts w:hint="eastAsia" w:ascii="宋体" w:hAnsi="宋体"/>
          <w:color w:val="auto"/>
          <w:sz w:val="24"/>
          <w:highlight w:val="none"/>
        </w:rPr>
        <w:t>格式七：</w:t>
      </w: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盐城市大丰区政府招标采购供应商承诺书</w:t>
      </w:r>
    </w:p>
    <w:p>
      <w:pPr>
        <w:spacing w:line="400" w:lineRule="exact"/>
        <w:ind w:firstLine="600" w:firstLineChars="200"/>
        <w:rPr>
          <w:color w:val="auto"/>
          <w:sz w:val="30"/>
          <w:szCs w:val="30"/>
          <w:highlight w:val="none"/>
        </w:rPr>
      </w:pP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为营造公开、公平、公正、诚实守信的政府招标采购交易环境，树立诚信守法的投标人形象，本单位参加政府招标采购项目</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的招标采购活动，本人代表本单位作出以下承诺：</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（二）本单位无涉及政府招标采购活动的违法、违规不良记录，我公司及相关负责人无因存在重大隐患整改不力、发生有重大社会影响生产安全事故或其他严重违法违规行为而被列入失信联合惩戒的不良记录；</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（三）严格依照国家和省、市关于政府招标采购的法律、法规、规章、规范性文件，参加政府招标采购的投标活动；积极履行社会责任，促进廉政建设； </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（四）严格遵守即时信息公示规定，及时维护和更新盐城市政府采购网、公共资源交易平台中与本单位相关的信息；</w:t>
      </w:r>
    </w:p>
    <w:p>
      <w:pPr>
        <w:spacing w:line="360" w:lineRule="auto"/>
        <w:ind w:firstLine="367"/>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自我约束、自我管理，守合同、重信用，自觉维护政府招标采购交易的良好秩序，与参与本次政府招标采购活动的其他供应商不存在直接控股或管理关系，不参与围标串标、弄虚作假、骗取中标、干扰评标、违约毁约等行为；</w:t>
      </w:r>
    </w:p>
    <w:p>
      <w:pPr>
        <w:spacing w:line="360" w:lineRule="auto"/>
        <w:ind w:firstLine="367"/>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（六）自觉接受政府、行业组织、社会公众、新闻舆论的监督；</w:t>
      </w:r>
    </w:p>
    <w:p>
      <w:pPr>
        <w:spacing w:line="360" w:lineRule="auto"/>
        <w:ind w:firstLine="367"/>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360" w:lineRule="auto"/>
        <w:ind w:firstLine="367"/>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（八）本人已认真阅读了上述承诺，并向本单位员工作了宣传教育。</w:t>
      </w:r>
    </w:p>
    <w:p>
      <w:pPr>
        <w:pStyle w:val="27"/>
        <w:rPr>
          <w:rFonts w:asciiTheme="minorEastAsia" w:hAnsiTheme="minorEastAsia" w:eastAsiaTheme="minorEastAsia" w:cstheme="minorEastAsia"/>
          <w:color w:val="auto"/>
          <w:highlight w:val="none"/>
        </w:rPr>
      </w:pPr>
    </w:p>
    <w:p>
      <w:pPr>
        <w:pStyle w:val="27"/>
        <w:rPr>
          <w:rFonts w:asciiTheme="minorEastAsia" w:hAnsiTheme="minorEastAsia" w:eastAsiaTheme="minorEastAsia" w:cstheme="minorEastAsia"/>
          <w:color w:val="auto"/>
          <w:highlight w:val="none"/>
        </w:rPr>
      </w:pPr>
    </w:p>
    <w:p>
      <w:pPr>
        <w:spacing w:line="340" w:lineRule="exact"/>
        <w:ind w:firstLine="480" w:firstLineChars="200"/>
        <w:rPr>
          <w:rFonts w:asciiTheme="minorEastAsia" w:hAnsiTheme="minorEastAsia" w:eastAsiaTheme="minorEastAsia" w:cstheme="minorEastAsia"/>
          <w:color w:val="auto"/>
          <w:sz w:val="24"/>
          <w:highlight w:val="none"/>
        </w:rPr>
      </w:pPr>
    </w:p>
    <w:p>
      <w:pPr>
        <w:spacing w:line="3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法定代表人签名：                     单位名称（盖章）：</w:t>
      </w:r>
    </w:p>
    <w:p>
      <w:pPr>
        <w:spacing w:line="340" w:lineRule="exact"/>
        <w:rPr>
          <w:rFonts w:asciiTheme="minorEastAsia" w:hAnsiTheme="minorEastAsia" w:eastAsiaTheme="minorEastAsia" w:cstheme="minorEastAsia"/>
          <w:color w:val="auto"/>
          <w:sz w:val="24"/>
          <w:highlight w:val="none"/>
        </w:rPr>
      </w:pPr>
    </w:p>
    <w:p>
      <w:pPr>
        <w:pStyle w:val="12"/>
        <w:snapToGrid w:val="0"/>
        <w:spacing w:line="480" w:lineRule="exact"/>
        <w:jc w:val="right"/>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spacing w:line="360" w:lineRule="auto"/>
        <w:rPr>
          <w:rFonts w:asciiTheme="minorEastAsia" w:hAnsiTheme="minorEastAsia" w:eastAsiaTheme="minorEastAsia" w:cstheme="minorEastAsia"/>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br w:type="page"/>
      </w:r>
      <w:r>
        <w:rPr>
          <w:rFonts w:hint="eastAsia" w:ascii="宋体" w:hAnsi="宋体" w:cs="宋体"/>
          <w:color w:val="auto"/>
          <w:sz w:val="24"/>
          <w:highlight w:val="none"/>
        </w:rPr>
        <w:t>格式八：</w:t>
      </w:r>
    </w:p>
    <w:p>
      <w:pPr>
        <w:pStyle w:val="18"/>
        <w:ind w:firstLine="0" w:firstLineChars="0"/>
        <w:jc w:val="center"/>
        <w:rPr>
          <w:rFonts w:ascii="宋体" w:hAnsi="宋体" w:cs="宋体"/>
          <w:color w:val="auto"/>
          <w:sz w:val="32"/>
          <w:szCs w:val="32"/>
          <w:highlight w:val="none"/>
        </w:rPr>
      </w:pPr>
      <w:bookmarkStart w:id="462" w:name="_Toc103_WPSOffice_Level1"/>
      <w:bookmarkStart w:id="463" w:name="_Toc24158_WPSOffice_Level1"/>
      <w:bookmarkStart w:id="464" w:name="_Toc26894_WPSOffice_Level1"/>
      <w:bookmarkStart w:id="465" w:name="_Toc11169_WPSOffice_Level1"/>
    </w:p>
    <w:p>
      <w:pPr>
        <w:pStyle w:val="18"/>
        <w:ind w:firstLine="0" w:firstLineChars="0"/>
        <w:jc w:val="center"/>
        <w:rPr>
          <w:rFonts w:ascii="宋体" w:hAnsi="宋体" w:cs="宋体"/>
          <w:color w:val="auto"/>
          <w:sz w:val="32"/>
          <w:szCs w:val="32"/>
          <w:highlight w:val="none"/>
        </w:rPr>
      </w:pPr>
      <w:r>
        <w:rPr>
          <w:rFonts w:hint="eastAsia" w:ascii="宋体" w:hAnsi="宋体" w:cs="宋体"/>
          <w:color w:val="auto"/>
          <w:sz w:val="32"/>
          <w:szCs w:val="32"/>
          <w:highlight w:val="none"/>
        </w:rPr>
        <w:t>书面声明</w:t>
      </w:r>
      <w:bookmarkEnd w:id="462"/>
      <w:bookmarkEnd w:id="463"/>
      <w:bookmarkEnd w:id="464"/>
      <w:bookmarkEnd w:id="465"/>
    </w:p>
    <w:p>
      <w:pPr>
        <w:pStyle w:val="36"/>
        <w:adjustRightInd w:val="0"/>
        <w:spacing w:before="79" w:beforeLines="25" w:beforeAutospacing="0" w:after="79" w:afterLines="25" w:afterAutospacing="0" w:line="240" w:lineRule="auto"/>
        <w:ind w:firstLine="560" w:firstLineChars="200"/>
        <w:jc w:val="both"/>
        <w:rPr>
          <w:rFonts w:ascii="宋体" w:hAnsi="宋体" w:cs="宋体"/>
          <w:color w:val="auto"/>
          <w:kern w:val="2"/>
          <w:sz w:val="28"/>
          <w:szCs w:val="28"/>
          <w:highlight w:val="none"/>
        </w:rPr>
      </w:pPr>
      <w:r>
        <w:rPr>
          <w:rFonts w:hint="eastAsia" w:ascii="宋体" w:hAnsi="宋体" w:cs="宋体"/>
          <w:color w:val="auto"/>
          <w:kern w:val="2"/>
          <w:sz w:val="28"/>
          <w:szCs w:val="28"/>
          <w:highlight w:val="none"/>
        </w:rPr>
        <w:t>我单位具备《中华人民共和国政府采购法》第二十二条第(一)至(六)项条件。</w:t>
      </w:r>
    </w:p>
    <w:p>
      <w:pPr>
        <w:pStyle w:val="36"/>
        <w:adjustRightInd w:val="0"/>
        <w:spacing w:before="79" w:beforeLines="25" w:beforeAutospacing="0" w:after="79" w:afterLines="25" w:afterAutospacing="0" w:line="240" w:lineRule="auto"/>
        <w:ind w:firstLine="840" w:firstLineChars="300"/>
        <w:jc w:val="both"/>
        <w:rPr>
          <w:rFonts w:ascii="宋体" w:hAnsi="宋体" w:cs="宋体"/>
          <w:color w:val="auto"/>
          <w:kern w:val="2"/>
          <w:sz w:val="28"/>
          <w:szCs w:val="28"/>
          <w:highlight w:val="none"/>
        </w:rPr>
      </w:pPr>
      <w:r>
        <w:rPr>
          <w:rFonts w:hint="eastAsia" w:ascii="宋体" w:hAnsi="宋体" w:cs="宋体"/>
          <w:color w:val="auto"/>
          <w:kern w:val="2"/>
          <w:sz w:val="28"/>
          <w:szCs w:val="28"/>
          <w:highlight w:val="none"/>
        </w:rPr>
        <w:t>特此声明，如有虚假，贵方可取消我方参与本次项目投标资格。</w:t>
      </w:r>
    </w:p>
    <w:p>
      <w:pPr>
        <w:tabs>
          <w:tab w:val="left" w:pos="2814"/>
        </w:tabs>
        <w:spacing w:line="520" w:lineRule="exact"/>
        <w:ind w:firstLine="1920" w:firstLineChars="686"/>
        <w:rPr>
          <w:rFonts w:ascii="宋体" w:hAnsi="宋体" w:cs="宋体"/>
          <w:color w:val="auto"/>
          <w:sz w:val="28"/>
          <w:szCs w:val="28"/>
          <w:highlight w:val="none"/>
        </w:rPr>
      </w:pPr>
    </w:p>
    <w:p>
      <w:pPr>
        <w:tabs>
          <w:tab w:val="left" w:pos="2814"/>
        </w:tabs>
        <w:spacing w:line="520" w:lineRule="exact"/>
        <w:ind w:firstLine="1920" w:firstLineChars="686"/>
        <w:rPr>
          <w:rFonts w:ascii="宋体" w:hAnsi="宋体" w:cs="宋体"/>
          <w:color w:val="auto"/>
          <w:sz w:val="28"/>
          <w:szCs w:val="28"/>
          <w:highlight w:val="none"/>
        </w:rPr>
      </w:pPr>
      <w:r>
        <w:rPr>
          <w:rFonts w:hint="eastAsia" w:ascii="宋体" w:hAnsi="宋体" w:cs="宋体"/>
          <w:color w:val="auto"/>
          <w:sz w:val="28"/>
          <w:szCs w:val="28"/>
          <w:highlight w:val="none"/>
        </w:rPr>
        <w:t>投标人(盖章)：</w:t>
      </w:r>
    </w:p>
    <w:p>
      <w:pPr>
        <w:tabs>
          <w:tab w:val="left" w:pos="2814"/>
        </w:tabs>
        <w:spacing w:line="520" w:lineRule="exact"/>
        <w:ind w:left="-357" w:leftChars="-170" w:firstLine="2696" w:firstLineChars="1070"/>
        <w:rPr>
          <w:rFonts w:ascii="宋体" w:hAnsi="宋体" w:cs="宋体"/>
          <w:color w:val="auto"/>
          <w:w w:val="90"/>
          <w:sz w:val="28"/>
          <w:szCs w:val="28"/>
          <w:highlight w:val="none"/>
        </w:rPr>
      </w:pPr>
    </w:p>
    <w:p>
      <w:pPr>
        <w:pStyle w:val="36"/>
        <w:adjustRightInd w:val="0"/>
        <w:spacing w:before="79" w:beforeLines="25" w:beforeAutospacing="0" w:after="79" w:afterLines="25" w:afterAutospacing="0" w:line="240" w:lineRule="auto"/>
        <w:jc w:val="both"/>
        <w:rPr>
          <w:rFonts w:ascii="宋体" w:hAnsi="宋体" w:cs="宋体"/>
          <w:color w:val="auto"/>
          <w:kern w:val="2"/>
          <w:sz w:val="28"/>
          <w:szCs w:val="28"/>
          <w:highlight w:val="none"/>
        </w:rPr>
      </w:pPr>
      <w:r>
        <w:rPr>
          <w:rFonts w:hint="eastAsia" w:ascii="宋体" w:hAnsi="宋体" w:cs="宋体"/>
          <w:color w:val="auto"/>
          <w:kern w:val="2"/>
          <w:sz w:val="28"/>
          <w:szCs w:val="28"/>
          <w:highlight w:val="none"/>
        </w:rPr>
        <w:t>法定代表人或其授权委托人 (签字或盖章)：</w:t>
      </w:r>
    </w:p>
    <w:p>
      <w:pPr>
        <w:adjustRightInd w:val="0"/>
        <w:snapToGrid w:val="0"/>
        <w:spacing w:line="460" w:lineRule="exact"/>
        <w:rPr>
          <w:rFonts w:ascii="宋体" w:hAnsi="宋体" w:cs="宋体"/>
          <w:color w:val="auto"/>
          <w:w w:val="90"/>
          <w:sz w:val="30"/>
          <w:szCs w:val="30"/>
          <w:highlight w:val="none"/>
        </w:rPr>
      </w:pPr>
    </w:p>
    <w:p>
      <w:pPr>
        <w:pStyle w:val="36"/>
        <w:adjustRightInd w:val="0"/>
        <w:spacing w:before="79" w:beforeLines="25" w:beforeAutospacing="0" w:after="79" w:afterLines="25" w:afterAutospacing="0" w:line="240" w:lineRule="auto"/>
        <w:jc w:val="right"/>
        <w:rPr>
          <w:rFonts w:ascii="宋体" w:hAnsi="宋体" w:cs="宋体"/>
          <w:color w:val="auto"/>
          <w:kern w:val="2"/>
          <w:sz w:val="28"/>
          <w:szCs w:val="28"/>
          <w:highlight w:val="none"/>
        </w:rPr>
      </w:pPr>
      <w:r>
        <w:rPr>
          <w:rFonts w:hint="eastAsia" w:ascii="宋体" w:hAnsi="宋体" w:cs="宋体"/>
          <w:color w:val="auto"/>
          <w:kern w:val="2"/>
          <w:sz w:val="28"/>
          <w:szCs w:val="28"/>
          <w:highlight w:val="none"/>
        </w:rPr>
        <w:t>时间：  年  月  日</w:t>
      </w:r>
    </w:p>
    <w:p>
      <w:pPr>
        <w:pStyle w:val="36"/>
        <w:adjustRightInd w:val="0"/>
        <w:spacing w:before="79" w:beforeLines="25" w:beforeAutospacing="0" w:after="79" w:afterLines="25" w:afterAutospacing="0" w:line="240" w:lineRule="auto"/>
        <w:jc w:val="right"/>
        <w:rPr>
          <w:rFonts w:ascii="宋体" w:hAnsi="宋体" w:cs="宋体"/>
          <w:color w:val="auto"/>
          <w:kern w:val="2"/>
          <w:sz w:val="28"/>
          <w:szCs w:val="28"/>
          <w:highlight w:val="none"/>
        </w:rPr>
      </w:pPr>
    </w:p>
    <w:sectPr>
      <w:headerReference r:id="rId7" w:type="default"/>
      <w:footerReference r:id="rId8" w:type="default"/>
      <w:pgSz w:w="11905" w:h="16838"/>
      <w:pgMar w:top="1134" w:right="1304" w:bottom="1134" w:left="1304" w:header="850"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Angsana New">
    <w:panose1 w:val="02020603050405020304"/>
    <w:charset w:val="DE"/>
    <w:family w:val="roman"/>
    <w:pitch w:val="default"/>
    <w:sig w:usb0="81000003" w:usb1="00000000" w:usb2="00000000" w:usb3="00000000" w:csb0="00010001" w:csb1="00000000"/>
  </w:font>
  <w:font w:name="PMingLiU">
    <w:panose1 w:val="02020500000000000000"/>
    <w:charset w:val="88"/>
    <w:family w:val="roman"/>
    <w:pitch w:val="default"/>
    <w:sig w:usb0="A00002FF" w:usb1="28CFFCFA" w:usb2="00000016" w:usb3="00000000" w:csb0="00100001" w:csb1="00000000"/>
  </w:font>
  <w:font w:name="FangSong_GB2312-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 4" o:spid="_x0000_s1027"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Dm5NvJ0QEAAKUDAAAOAAAAAAAAAAEAIAAAACIB&#10;AABkcnMvZTJvRG9jLnhtbFBLBQYAAAAABgAGAFkBAABlBQAAAAA=&#10;">
          <v:path/>
          <v:fill on="f" focussize="0,0"/>
          <v:stroke on="f" weight="1.2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22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 2080" o:spid="_x0000_s1025"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AAJdppuQEAAFMDAAAOAAAAAAAAAAAAAAAAAC4CAABkcnMvZTJvRG9j&#10;LnhtbFBLAQItABQABgAIAAAAIQCqigsc2AAAAAUBAAAPAAAAAAAAAAAAAAAAABMEAABkcnMvZG93&#10;bnJldi54bWxQSwUGAAAAAAQABADzAAAAGAUAAAAA&#10;">
          <v:path/>
          <v:fill on="f" focussize="0,0"/>
          <v:stroke on="f" weight="1.2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33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0E3FC"/>
    <w:multiLevelType w:val="singleLevel"/>
    <w:tmpl w:val="D070E3FC"/>
    <w:lvl w:ilvl="0" w:tentative="0">
      <w:start w:val="3"/>
      <w:numFmt w:val="decimal"/>
      <w:suff w:val="nothing"/>
      <w:lvlText w:val="%1、"/>
      <w:lvlJc w:val="left"/>
    </w:lvl>
  </w:abstractNum>
  <w:abstractNum w:abstractNumId="1">
    <w:nsid w:val="56E67968"/>
    <w:multiLevelType w:val="singleLevel"/>
    <w:tmpl w:val="56E67968"/>
    <w:lvl w:ilvl="0" w:tentative="0">
      <w:start w:val="1"/>
      <w:numFmt w:val="chineseCounting"/>
      <w:suff w:val="nothing"/>
      <w:lvlText w:val="%1、"/>
      <w:lvlJc w:val="left"/>
    </w:lvl>
  </w:abstractNum>
  <w:abstractNum w:abstractNumId="2">
    <w:nsid w:val="6AF734D0"/>
    <w:multiLevelType w:val="singleLevel"/>
    <w:tmpl w:val="6AF734D0"/>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czZjUwZGJiMjMxMmU3Y2VkMzA2OGZjOTI0ZGRjOTgifQ=="/>
  </w:docVars>
  <w:rsids>
    <w:rsidRoot w:val="748B5574"/>
    <w:rsid w:val="00004AED"/>
    <w:rsid w:val="000219AD"/>
    <w:rsid w:val="00035D80"/>
    <w:rsid w:val="0005140F"/>
    <w:rsid w:val="00064907"/>
    <w:rsid w:val="00080FB8"/>
    <w:rsid w:val="000821A6"/>
    <w:rsid w:val="0008680F"/>
    <w:rsid w:val="00095F50"/>
    <w:rsid w:val="00097FFE"/>
    <w:rsid w:val="000B18EE"/>
    <w:rsid w:val="000B2153"/>
    <w:rsid w:val="000B732F"/>
    <w:rsid w:val="000C7589"/>
    <w:rsid w:val="000E1B69"/>
    <w:rsid w:val="000E58F2"/>
    <w:rsid w:val="000F18F7"/>
    <w:rsid w:val="000F74CE"/>
    <w:rsid w:val="00111028"/>
    <w:rsid w:val="00113D19"/>
    <w:rsid w:val="001162AF"/>
    <w:rsid w:val="001357B2"/>
    <w:rsid w:val="001549A5"/>
    <w:rsid w:val="00157A6A"/>
    <w:rsid w:val="00185F57"/>
    <w:rsid w:val="001A63E9"/>
    <w:rsid w:val="001B2A77"/>
    <w:rsid w:val="001B44F8"/>
    <w:rsid w:val="001B5ABA"/>
    <w:rsid w:val="001B674E"/>
    <w:rsid w:val="001D4173"/>
    <w:rsid w:val="0020410A"/>
    <w:rsid w:val="0020554A"/>
    <w:rsid w:val="002062B6"/>
    <w:rsid w:val="00207840"/>
    <w:rsid w:val="00216D96"/>
    <w:rsid w:val="00263BC5"/>
    <w:rsid w:val="00273E88"/>
    <w:rsid w:val="00281D52"/>
    <w:rsid w:val="002B302D"/>
    <w:rsid w:val="002C488F"/>
    <w:rsid w:val="002C511F"/>
    <w:rsid w:val="002C573A"/>
    <w:rsid w:val="002D3CDD"/>
    <w:rsid w:val="002D63EE"/>
    <w:rsid w:val="002E191B"/>
    <w:rsid w:val="0030377B"/>
    <w:rsid w:val="003109DD"/>
    <w:rsid w:val="00315DB6"/>
    <w:rsid w:val="00317EF1"/>
    <w:rsid w:val="003271A9"/>
    <w:rsid w:val="00334BE8"/>
    <w:rsid w:val="00335B22"/>
    <w:rsid w:val="00342E79"/>
    <w:rsid w:val="003616DA"/>
    <w:rsid w:val="003665F5"/>
    <w:rsid w:val="00387F0F"/>
    <w:rsid w:val="003971A3"/>
    <w:rsid w:val="003976DE"/>
    <w:rsid w:val="003D0DE2"/>
    <w:rsid w:val="003E3D58"/>
    <w:rsid w:val="003F2CA0"/>
    <w:rsid w:val="003F5D18"/>
    <w:rsid w:val="004009FB"/>
    <w:rsid w:val="0040654B"/>
    <w:rsid w:val="0041089D"/>
    <w:rsid w:val="004246CA"/>
    <w:rsid w:val="00463A4E"/>
    <w:rsid w:val="00485754"/>
    <w:rsid w:val="004A48C2"/>
    <w:rsid w:val="004C00E3"/>
    <w:rsid w:val="004D2947"/>
    <w:rsid w:val="004D3AFC"/>
    <w:rsid w:val="004D5890"/>
    <w:rsid w:val="004E0B5B"/>
    <w:rsid w:val="005243DB"/>
    <w:rsid w:val="00535FCB"/>
    <w:rsid w:val="005404D7"/>
    <w:rsid w:val="005563D3"/>
    <w:rsid w:val="0056191C"/>
    <w:rsid w:val="00567B98"/>
    <w:rsid w:val="00575660"/>
    <w:rsid w:val="00597D74"/>
    <w:rsid w:val="005A12F9"/>
    <w:rsid w:val="005A66FE"/>
    <w:rsid w:val="005D0D34"/>
    <w:rsid w:val="0060314E"/>
    <w:rsid w:val="006324A1"/>
    <w:rsid w:val="00633410"/>
    <w:rsid w:val="00633F32"/>
    <w:rsid w:val="00652F9C"/>
    <w:rsid w:val="00660581"/>
    <w:rsid w:val="00673196"/>
    <w:rsid w:val="00675306"/>
    <w:rsid w:val="00680478"/>
    <w:rsid w:val="006D2E58"/>
    <w:rsid w:val="006D34D1"/>
    <w:rsid w:val="007053B8"/>
    <w:rsid w:val="00727E41"/>
    <w:rsid w:val="007300BF"/>
    <w:rsid w:val="007359DF"/>
    <w:rsid w:val="00736453"/>
    <w:rsid w:val="007426B7"/>
    <w:rsid w:val="00744030"/>
    <w:rsid w:val="0075472C"/>
    <w:rsid w:val="00766FA5"/>
    <w:rsid w:val="0078523F"/>
    <w:rsid w:val="0079046F"/>
    <w:rsid w:val="00797A74"/>
    <w:rsid w:val="007A03AC"/>
    <w:rsid w:val="007A1580"/>
    <w:rsid w:val="007A58ED"/>
    <w:rsid w:val="007B7E94"/>
    <w:rsid w:val="007C5B8D"/>
    <w:rsid w:val="007D1986"/>
    <w:rsid w:val="007D37B9"/>
    <w:rsid w:val="007E31D4"/>
    <w:rsid w:val="008008B3"/>
    <w:rsid w:val="008114E7"/>
    <w:rsid w:val="00812F94"/>
    <w:rsid w:val="00816F22"/>
    <w:rsid w:val="00820642"/>
    <w:rsid w:val="008269D2"/>
    <w:rsid w:val="008317E8"/>
    <w:rsid w:val="008371CD"/>
    <w:rsid w:val="0085338B"/>
    <w:rsid w:val="0088465A"/>
    <w:rsid w:val="00885664"/>
    <w:rsid w:val="008861AD"/>
    <w:rsid w:val="008B2B2F"/>
    <w:rsid w:val="008C45B7"/>
    <w:rsid w:val="008F5D89"/>
    <w:rsid w:val="00900761"/>
    <w:rsid w:val="0091182D"/>
    <w:rsid w:val="00917C0E"/>
    <w:rsid w:val="00924445"/>
    <w:rsid w:val="00926D56"/>
    <w:rsid w:val="00931FE0"/>
    <w:rsid w:val="00942798"/>
    <w:rsid w:val="00943BA8"/>
    <w:rsid w:val="009509F8"/>
    <w:rsid w:val="00950B08"/>
    <w:rsid w:val="009562EE"/>
    <w:rsid w:val="00956994"/>
    <w:rsid w:val="009840D5"/>
    <w:rsid w:val="009A0373"/>
    <w:rsid w:val="009A1DF1"/>
    <w:rsid w:val="009D0EA8"/>
    <w:rsid w:val="009E7456"/>
    <w:rsid w:val="009F3428"/>
    <w:rsid w:val="009F57F7"/>
    <w:rsid w:val="00A16655"/>
    <w:rsid w:val="00A201EB"/>
    <w:rsid w:val="00A23BCB"/>
    <w:rsid w:val="00A257BE"/>
    <w:rsid w:val="00A3102C"/>
    <w:rsid w:val="00A44F26"/>
    <w:rsid w:val="00A648D6"/>
    <w:rsid w:val="00A65829"/>
    <w:rsid w:val="00A672AB"/>
    <w:rsid w:val="00A67A59"/>
    <w:rsid w:val="00A779C9"/>
    <w:rsid w:val="00A80516"/>
    <w:rsid w:val="00A92686"/>
    <w:rsid w:val="00A93E09"/>
    <w:rsid w:val="00AC526E"/>
    <w:rsid w:val="00AD52C4"/>
    <w:rsid w:val="00AF265B"/>
    <w:rsid w:val="00AF4854"/>
    <w:rsid w:val="00B036FC"/>
    <w:rsid w:val="00B302FF"/>
    <w:rsid w:val="00B35245"/>
    <w:rsid w:val="00B40479"/>
    <w:rsid w:val="00B44B01"/>
    <w:rsid w:val="00B52FB9"/>
    <w:rsid w:val="00B55E18"/>
    <w:rsid w:val="00B678EB"/>
    <w:rsid w:val="00B75370"/>
    <w:rsid w:val="00BA37BB"/>
    <w:rsid w:val="00BA6DB6"/>
    <w:rsid w:val="00BA767C"/>
    <w:rsid w:val="00BB4500"/>
    <w:rsid w:val="00BB5069"/>
    <w:rsid w:val="00BB690E"/>
    <w:rsid w:val="00BC07EE"/>
    <w:rsid w:val="00BC0EE0"/>
    <w:rsid w:val="00BD1732"/>
    <w:rsid w:val="00BD5F89"/>
    <w:rsid w:val="00BE1162"/>
    <w:rsid w:val="00BE2A17"/>
    <w:rsid w:val="00C0647D"/>
    <w:rsid w:val="00C10F82"/>
    <w:rsid w:val="00C17B02"/>
    <w:rsid w:val="00C2167D"/>
    <w:rsid w:val="00C225D8"/>
    <w:rsid w:val="00C3000B"/>
    <w:rsid w:val="00C31EF4"/>
    <w:rsid w:val="00C34C8A"/>
    <w:rsid w:val="00C5567A"/>
    <w:rsid w:val="00C92F2D"/>
    <w:rsid w:val="00CB2EA1"/>
    <w:rsid w:val="00CC65FC"/>
    <w:rsid w:val="00CE444E"/>
    <w:rsid w:val="00CF0A0D"/>
    <w:rsid w:val="00CF2882"/>
    <w:rsid w:val="00D328D1"/>
    <w:rsid w:val="00D50345"/>
    <w:rsid w:val="00D571BE"/>
    <w:rsid w:val="00D64BEC"/>
    <w:rsid w:val="00D6585A"/>
    <w:rsid w:val="00D94CA1"/>
    <w:rsid w:val="00D94E89"/>
    <w:rsid w:val="00D977FA"/>
    <w:rsid w:val="00DA5FA6"/>
    <w:rsid w:val="00DA6C71"/>
    <w:rsid w:val="00DC38E6"/>
    <w:rsid w:val="00DD4236"/>
    <w:rsid w:val="00DD49BB"/>
    <w:rsid w:val="00DE11F5"/>
    <w:rsid w:val="00E16D8C"/>
    <w:rsid w:val="00E26858"/>
    <w:rsid w:val="00E52035"/>
    <w:rsid w:val="00E67F28"/>
    <w:rsid w:val="00E73006"/>
    <w:rsid w:val="00E76686"/>
    <w:rsid w:val="00E91196"/>
    <w:rsid w:val="00E93E16"/>
    <w:rsid w:val="00EB4B9E"/>
    <w:rsid w:val="00ED4F9F"/>
    <w:rsid w:val="00ED6566"/>
    <w:rsid w:val="00ED6CC2"/>
    <w:rsid w:val="00EF0A95"/>
    <w:rsid w:val="00EF5EAF"/>
    <w:rsid w:val="00F02B69"/>
    <w:rsid w:val="00F149CC"/>
    <w:rsid w:val="00F319D4"/>
    <w:rsid w:val="00F3519F"/>
    <w:rsid w:val="00F52512"/>
    <w:rsid w:val="00F55341"/>
    <w:rsid w:val="00F67E25"/>
    <w:rsid w:val="00F82B86"/>
    <w:rsid w:val="00F82C8F"/>
    <w:rsid w:val="00F84811"/>
    <w:rsid w:val="00F91F96"/>
    <w:rsid w:val="00FA75F2"/>
    <w:rsid w:val="00FC2FA8"/>
    <w:rsid w:val="00FD14EF"/>
    <w:rsid w:val="00FD1ED2"/>
    <w:rsid w:val="00FD3EDA"/>
    <w:rsid w:val="00FF60DF"/>
    <w:rsid w:val="01437C9C"/>
    <w:rsid w:val="017468FC"/>
    <w:rsid w:val="0215034E"/>
    <w:rsid w:val="0236647E"/>
    <w:rsid w:val="02A36C44"/>
    <w:rsid w:val="02BE3A7E"/>
    <w:rsid w:val="02C154D6"/>
    <w:rsid w:val="02C57C70"/>
    <w:rsid w:val="030B2A3C"/>
    <w:rsid w:val="03192A63"/>
    <w:rsid w:val="038B1487"/>
    <w:rsid w:val="03EE3A96"/>
    <w:rsid w:val="042E0790"/>
    <w:rsid w:val="045A1E78"/>
    <w:rsid w:val="046643CE"/>
    <w:rsid w:val="04CF7C3C"/>
    <w:rsid w:val="055D5E81"/>
    <w:rsid w:val="05685F23"/>
    <w:rsid w:val="05A56D05"/>
    <w:rsid w:val="05DF2A78"/>
    <w:rsid w:val="06086E09"/>
    <w:rsid w:val="06452248"/>
    <w:rsid w:val="07A5520D"/>
    <w:rsid w:val="07AC2477"/>
    <w:rsid w:val="07DB28A2"/>
    <w:rsid w:val="086C7AD9"/>
    <w:rsid w:val="087B32CA"/>
    <w:rsid w:val="089112ED"/>
    <w:rsid w:val="097F383C"/>
    <w:rsid w:val="09835F85"/>
    <w:rsid w:val="09972933"/>
    <w:rsid w:val="09F71624"/>
    <w:rsid w:val="0A0D4EA4"/>
    <w:rsid w:val="0A243521"/>
    <w:rsid w:val="0B337B2F"/>
    <w:rsid w:val="0B531804"/>
    <w:rsid w:val="0B725F69"/>
    <w:rsid w:val="0C8A49D1"/>
    <w:rsid w:val="0CA3638A"/>
    <w:rsid w:val="0CAC0DEC"/>
    <w:rsid w:val="0D5B032D"/>
    <w:rsid w:val="0D705975"/>
    <w:rsid w:val="0E750E79"/>
    <w:rsid w:val="0E8F168F"/>
    <w:rsid w:val="0E972CD7"/>
    <w:rsid w:val="0ED31F30"/>
    <w:rsid w:val="0F144A26"/>
    <w:rsid w:val="0FCC240F"/>
    <w:rsid w:val="1022774D"/>
    <w:rsid w:val="1034712E"/>
    <w:rsid w:val="1039245B"/>
    <w:rsid w:val="104E0E73"/>
    <w:rsid w:val="106935D0"/>
    <w:rsid w:val="10DA6A96"/>
    <w:rsid w:val="11017AD2"/>
    <w:rsid w:val="118E286E"/>
    <w:rsid w:val="11E56582"/>
    <w:rsid w:val="123B170E"/>
    <w:rsid w:val="12A959C9"/>
    <w:rsid w:val="12BE7F4D"/>
    <w:rsid w:val="12F302E9"/>
    <w:rsid w:val="13394A5B"/>
    <w:rsid w:val="135A4867"/>
    <w:rsid w:val="138B75BB"/>
    <w:rsid w:val="141A24AA"/>
    <w:rsid w:val="147307B8"/>
    <w:rsid w:val="14C02804"/>
    <w:rsid w:val="15000D6C"/>
    <w:rsid w:val="15076514"/>
    <w:rsid w:val="154A4485"/>
    <w:rsid w:val="15D90AF3"/>
    <w:rsid w:val="1607714F"/>
    <w:rsid w:val="164F0587"/>
    <w:rsid w:val="165D6CB3"/>
    <w:rsid w:val="16F2564D"/>
    <w:rsid w:val="178B7A91"/>
    <w:rsid w:val="17EA0A1A"/>
    <w:rsid w:val="184B14B9"/>
    <w:rsid w:val="193F08F1"/>
    <w:rsid w:val="19AB7F01"/>
    <w:rsid w:val="1A1714F7"/>
    <w:rsid w:val="1A82124F"/>
    <w:rsid w:val="1ACD0947"/>
    <w:rsid w:val="1AFA648C"/>
    <w:rsid w:val="1B027E29"/>
    <w:rsid w:val="1B495A57"/>
    <w:rsid w:val="1BD63D25"/>
    <w:rsid w:val="1C441850"/>
    <w:rsid w:val="1CC25AC1"/>
    <w:rsid w:val="1CD50B3B"/>
    <w:rsid w:val="1DEA1796"/>
    <w:rsid w:val="1DED4DC0"/>
    <w:rsid w:val="1E0A5436"/>
    <w:rsid w:val="1E3D7AF5"/>
    <w:rsid w:val="1E5B5378"/>
    <w:rsid w:val="1E9F5123"/>
    <w:rsid w:val="1FBE22F8"/>
    <w:rsid w:val="1FFD4988"/>
    <w:rsid w:val="20166850"/>
    <w:rsid w:val="201F3653"/>
    <w:rsid w:val="202F346E"/>
    <w:rsid w:val="20B0050F"/>
    <w:rsid w:val="212A69C6"/>
    <w:rsid w:val="21F7307A"/>
    <w:rsid w:val="220628F4"/>
    <w:rsid w:val="228757E3"/>
    <w:rsid w:val="22AD2D70"/>
    <w:rsid w:val="22CF00F1"/>
    <w:rsid w:val="22F866E1"/>
    <w:rsid w:val="231376FF"/>
    <w:rsid w:val="2355143D"/>
    <w:rsid w:val="237C104D"/>
    <w:rsid w:val="23F004AE"/>
    <w:rsid w:val="243427AE"/>
    <w:rsid w:val="24432F68"/>
    <w:rsid w:val="245E77AB"/>
    <w:rsid w:val="24D8547B"/>
    <w:rsid w:val="25C41613"/>
    <w:rsid w:val="25EE433E"/>
    <w:rsid w:val="26215F4F"/>
    <w:rsid w:val="26343B7C"/>
    <w:rsid w:val="263631A5"/>
    <w:rsid w:val="265267D7"/>
    <w:rsid w:val="26D11221"/>
    <w:rsid w:val="27F82CDF"/>
    <w:rsid w:val="29654D2F"/>
    <w:rsid w:val="29763EBB"/>
    <w:rsid w:val="29E35EDF"/>
    <w:rsid w:val="2A2735F4"/>
    <w:rsid w:val="2A3C4B22"/>
    <w:rsid w:val="2A5933E7"/>
    <w:rsid w:val="2A662182"/>
    <w:rsid w:val="2A703001"/>
    <w:rsid w:val="2AF7102C"/>
    <w:rsid w:val="2B5519B2"/>
    <w:rsid w:val="2B89602D"/>
    <w:rsid w:val="2B92679C"/>
    <w:rsid w:val="2BAB4F30"/>
    <w:rsid w:val="2C1B3732"/>
    <w:rsid w:val="2C32191B"/>
    <w:rsid w:val="2C533594"/>
    <w:rsid w:val="2C534988"/>
    <w:rsid w:val="2C593FC0"/>
    <w:rsid w:val="2C8F634D"/>
    <w:rsid w:val="2CC15D7F"/>
    <w:rsid w:val="2DDD481F"/>
    <w:rsid w:val="2DEA131C"/>
    <w:rsid w:val="2E2F6D2F"/>
    <w:rsid w:val="2ECE52A9"/>
    <w:rsid w:val="2F487956"/>
    <w:rsid w:val="2F893CAE"/>
    <w:rsid w:val="2F8E3B91"/>
    <w:rsid w:val="300739E0"/>
    <w:rsid w:val="303E30AB"/>
    <w:rsid w:val="309D4424"/>
    <w:rsid w:val="30B21407"/>
    <w:rsid w:val="30CC6AB7"/>
    <w:rsid w:val="317E24A7"/>
    <w:rsid w:val="31A549E8"/>
    <w:rsid w:val="31D616B2"/>
    <w:rsid w:val="31F41EA5"/>
    <w:rsid w:val="32145C5B"/>
    <w:rsid w:val="3220530C"/>
    <w:rsid w:val="339B769D"/>
    <w:rsid w:val="33BB0DD6"/>
    <w:rsid w:val="345F1A2F"/>
    <w:rsid w:val="34761419"/>
    <w:rsid w:val="35254263"/>
    <w:rsid w:val="35AA386B"/>
    <w:rsid w:val="35B04BF9"/>
    <w:rsid w:val="36F079A3"/>
    <w:rsid w:val="36FD79CA"/>
    <w:rsid w:val="37525E35"/>
    <w:rsid w:val="379508A6"/>
    <w:rsid w:val="37DD15AA"/>
    <w:rsid w:val="37FB444A"/>
    <w:rsid w:val="38520284"/>
    <w:rsid w:val="385B709E"/>
    <w:rsid w:val="38A21F1B"/>
    <w:rsid w:val="38B14F10"/>
    <w:rsid w:val="38B90269"/>
    <w:rsid w:val="39557F91"/>
    <w:rsid w:val="398E6FFF"/>
    <w:rsid w:val="39B52A0B"/>
    <w:rsid w:val="39DF5AAD"/>
    <w:rsid w:val="39F96B6F"/>
    <w:rsid w:val="3A3F4ABC"/>
    <w:rsid w:val="3A4470E2"/>
    <w:rsid w:val="3AB31586"/>
    <w:rsid w:val="3AF83A6A"/>
    <w:rsid w:val="3B1A40FD"/>
    <w:rsid w:val="3B283915"/>
    <w:rsid w:val="3B68496C"/>
    <w:rsid w:val="3BB72291"/>
    <w:rsid w:val="3BE71FEA"/>
    <w:rsid w:val="3BF33969"/>
    <w:rsid w:val="3CB160DD"/>
    <w:rsid w:val="3CBE794A"/>
    <w:rsid w:val="3CD13DD3"/>
    <w:rsid w:val="3D1E2388"/>
    <w:rsid w:val="3D242F9D"/>
    <w:rsid w:val="3D552995"/>
    <w:rsid w:val="3D7D5606"/>
    <w:rsid w:val="3E2F09E5"/>
    <w:rsid w:val="3E846CF8"/>
    <w:rsid w:val="3F12422F"/>
    <w:rsid w:val="3F485547"/>
    <w:rsid w:val="3FB92CA7"/>
    <w:rsid w:val="403C5A07"/>
    <w:rsid w:val="42136F01"/>
    <w:rsid w:val="42D769E9"/>
    <w:rsid w:val="43191763"/>
    <w:rsid w:val="44C640B0"/>
    <w:rsid w:val="44E30949"/>
    <w:rsid w:val="45083078"/>
    <w:rsid w:val="45412714"/>
    <w:rsid w:val="45485320"/>
    <w:rsid w:val="45F22F66"/>
    <w:rsid w:val="462443E2"/>
    <w:rsid w:val="46AB6ED1"/>
    <w:rsid w:val="46B74E58"/>
    <w:rsid w:val="46F36A6E"/>
    <w:rsid w:val="47637D1D"/>
    <w:rsid w:val="47B93A32"/>
    <w:rsid w:val="47CB3F7E"/>
    <w:rsid w:val="48142DC6"/>
    <w:rsid w:val="48861F15"/>
    <w:rsid w:val="48A759E8"/>
    <w:rsid w:val="492F6D49"/>
    <w:rsid w:val="495B7193"/>
    <w:rsid w:val="49744407"/>
    <w:rsid w:val="4981483B"/>
    <w:rsid w:val="49DF7C80"/>
    <w:rsid w:val="49E031D3"/>
    <w:rsid w:val="4A002D19"/>
    <w:rsid w:val="4AB80380"/>
    <w:rsid w:val="4AC00629"/>
    <w:rsid w:val="4BBC2AA9"/>
    <w:rsid w:val="4C51330E"/>
    <w:rsid w:val="4CE34630"/>
    <w:rsid w:val="4D115A1A"/>
    <w:rsid w:val="4E944AD8"/>
    <w:rsid w:val="4E9F6505"/>
    <w:rsid w:val="4ED5067D"/>
    <w:rsid w:val="4F244236"/>
    <w:rsid w:val="4F4F373F"/>
    <w:rsid w:val="4FBE0032"/>
    <w:rsid w:val="4FD02490"/>
    <w:rsid w:val="4FE85264"/>
    <w:rsid w:val="4FE974BD"/>
    <w:rsid w:val="5033690F"/>
    <w:rsid w:val="50872262"/>
    <w:rsid w:val="50C03AEB"/>
    <w:rsid w:val="51165E00"/>
    <w:rsid w:val="5246001F"/>
    <w:rsid w:val="53590E2C"/>
    <w:rsid w:val="53D95058"/>
    <w:rsid w:val="54714A29"/>
    <w:rsid w:val="549D3677"/>
    <w:rsid w:val="54E029AD"/>
    <w:rsid w:val="553A2CA1"/>
    <w:rsid w:val="55D73547"/>
    <w:rsid w:val="565511F0"/>
    <w:rsid w:val="5697353F"/>
    <w:rsid w:val="56AB2E5F"/>
    <w:rsid w:val="579001E7"/>
    <w:rsid w:val="579A4DF2"/>
    <w:rsid w:val="57AB3A7E"/>
    <w:rsid w:val="57EF59A3"/>
    <w:rsid w:val="583829FC"/>
    <w:rsid w:val="592F7A5F"/>
    <w:rsid w:val="59360B38"/>
    <w:rsid w:val="593E7CA2"/>
    <w:rsid w:val="596C0CB3"/>
    <w:rsid w:val="59B16F5A"/>
    <w:rsid w:val="59B2243E"/>
    <w:rsid w:val="5A396718"/>
    <w:rsid w:val="5B4D345E"/>
    <w:rsid w:val="5B871DD5"/>
    <w:rsid w:val="5B917C3D"/>
    <w:rsid w:val="5C645C72"/>
    <w:rsid w:val="5CC02A08"/>
    <w:rsid w:val="5CE943C9"/>
    <w:rsid w:val="5D30766A"/>
    <w:rsid w:val="5D4C6E3D"/>
    <w:rsid w:val="5D50269A"/>
    <w:rsid w:val="5D8E3AF3"/>
    <w:rsid w:val="5DD15589"/>
    <w:rsid w:val="5EA14BF5"/>
    <w:rsid w:val="5EAC3900"/>
    <w:rsid w:val="5FD27396"/>
    <w:rsid w:val="60666B5B"/>
    <w:rsid w:val="608C39E9"/>
    <w:rsid w:val="60CE7B5E"/>
    <w:rsid w:val="61F555BE"/>
    <w:rsid w:val="62190688"/>
    <w:rsid w:val="62E91A20"/>
    <w:rsid w:val="637A1F7C"/>
    <w:rsid w:val="64960084"/>
    <w:rsid w:val="65053D6A"/>
    <w:rsid w:val="6530526B"/>
    <w:rsid w:val="655F53F8"/>
    <w:rsid w:val="656B0071"/>
    <w:rsid w:val="65AD68DC"/>
    <w:rsid w:val="66807B4C"/>
    <w:rsid w:val="669371A5"/>
    <w:rsid w:val="66D439F4"/>
    <w:rsid w:val="67395F4D"/>
    <w:rsid w:val="688D2B5D"/>
    <w:rsid w:val="690C0CC9"/>
    <w:rsid w:val="697F60E9"/>
    <w:rsid w:val="6A42336B"/>
    <w:rsid w:val="6A7A31EA"/>
    <w:rsid w:val="6A893059"/>
    <w:rsid w:val="6AAE7672"/>
    <w:rsid w:val="6AD870E3"/>
    <w:rsid w:val="6AF452AA"/>
    <w:rsid w:val="6B013226"/>
    <w:rsid w:val="6B6F4633"/>
    <w:rsid w:val="6B827C66"/>
    <w:rsid w:val="6BF3491C"/>
    <w:rsid w:val="6C230FE6"/>
    <w:rsid w:val="6C327B3B"/>
    <w:rsid w:val="6C4E327A"/>
    <w:rsid w:val="6CAE289F"/>
    <w:rsid w:val="6CB73B9C"/>
    <w:rsid w:val="6D125276"/>
    <w:rsid w:val="6D1303A1"/>
    <w:rsid w:val="6D657A9C"/>
    <w:rsid w:val="6D797D25"/>
    <w:rsid w:val="6D814F58"/>
    <w:rsid w:val="6D8F2D6B"/>
    <w:rsid w:val="6E6326D4"/>
    <w:rsid w:val="6E897151"/>
    <w:rsid w:val="6EBE2492"/>
    <w:rsid w:val="6F1129A8"/>
    <w:rsid w:val="6F1A48B6"/>
    <w:rsid w:val="6FA80114"/>
    <w:rsid w:val="70172374"/>
    <w:rsid w:val="70995A6A"/>
    <w:rsid w:val="715C11B6"/>
    <w:rsid w:val="71DC48C4"/>
    <w:rsid w:val="731A1B69"/>
    <w:rsid w:val="73492E90"/>
    <w:rsid w:val="737F2DBB"/>
    <w:rsid w:val="738D6022"/>
    <w:rsid w:val="739C6A04"/>
    <w:rsid w:val="73F43927"/>
    <w:rsid w:val="742F6AF6"/>
    <w:rsid w:val="744972D2"/>
    <w:rsid w:val="748B5574"/>
    <w:rsid w:val="752E2F2E"/>
    <w:rsid w:val="75551397"/>
    <w:rsid w:val="755A3C5E"/>
    <w:rsid w:val="757B27E3"/>
    <w:rsid w:val="75BC1B7A"/>
    <w:rsid w:val="767B20DE"/>
    <w:rsid w:val="76876CD5"/>
    <w:rsid w:val="769E5DCD"/>
    <w:rsid w:val="76C4633C"/>
    <w:rsid w:val="77436BAC"/>
    <w:rsid w:val="781A7A9D"/>
    <w:rsid w:val="782C46BF"/>
    <w:rsid w:val="78BC17EA"/>
    <w:rsid w:val="790F188F"/>
    <w:rsid w:val="79261003"/>
    <w:rsid w:val="79462067"/>
    <w:rsid w:val="794E3ADA"/>
    <w:rsid w:val="798B2638"/>
    <w:rsid w:val="79984D55"/>
    <w:rsid w:val="799E39E0"/>
    <w:rsid w:val="79F84CED"/>
    <w:rsid w:val="7A230AC3"/>
    <w:rsid w:val="7A24483B"/>
    <w:rsid w:val="7A884DCA"/>
    <w:rsid w:val="7A940B75"/>
    <w:rsid w:val="7ADE57E9"/>
    <w:rsid w:val="7B05355C"/>
    <w:rsid w:val="7B1962DE"/>
    <w:rsid w:val="7B220FCE"/>
    <w:rsid w:val="7B32404B"/>
    <w:rsid w:val="7B3E7251"/>
    <w:rsid w:val="7B6A2721"/>
    <w:rsid w:val="7CA1149C"/>
    <w:rsid w:val="7CB45275"/>
    <w:rsid w:val="7D6531A0"/>
    <w:rsid w:val="7EBA3727"/>
    <w:rsid w:val="7F947D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4"/>
    <w:link w:val="43"/>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autoRedefine/>
    <w:qFormat/>
    <w:uiPriority w:val="99"/>
    <w:pPr>
      <w:keepNext/>
      <w:keepLines/>
      <w:spacing w:before="20" w:after="20" w:line="415" w:lineRule="auto"/>
      <w:ind w:firstLine="137" w:firstLineChars="49"/>
      <w:outlineLvl w:val="2"/>
    </w:pPr>
    <w:rPr>
      <w:rFonts w:hAnsi="黑体" w:eastAsia="黑体"/>
      <w:sz w:val="24"/>
      <w:szCs w:val="20"/>
    </w:rPr>
  </w:style>
  <w:style w:type="paragraph" w:styleId="6">
    <w:name w:val="heading 6"/>
    <w:basedOn w:val="1"/>
    <w:next w:val="1"/>
    <w:link w:val="39"/>
    <w:autoRedefine/>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autoRedefine/>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40"/>
    <w:autoRedefine/>
    <w:qFormat/>
    <w:uiPriority w:val="0"/>
    <w:pPr>
      <w:ind w:firstLine="420"/>
    </w:pPr>
    <w:rPr>
      <w:b/>
      <w:sz w:val="24"/>
      <w:szCs w:val="20"/>
    </w:rPr>
  </w:style>
  <w:style w:type="paragraph" w:styleId="7">
    <w:name w:val="Document Map"/>
    <w:basedOn w:val="1"/>
    <w:link w:val="46"/>
    <w:autoRedefine/>
    <w:unhideWhenUsed/>
    <w:qFormat/>
    <w:uiPriority w:val="99"/>
    <w:pPr>
      <w:jc w:val="left"/>
    </w:pPr>
    <w:rPr>
      <w:rFonts w:ascii="宋体" w:hAnsi="宋体" w:cs="宋体"/>
      <w:kern w:val="0"/>
      <w:sz w:val="18"/>
      <w:szCs w:val="18"/>
      <w:lang w:eastAsia="en-US"/>
    </w:rPr>
  </w:style>
  <w:style w:type="paragraph" w:styleId="8">
    <w:name w:val="annotation text"/>
    <w:basedOn w:val="1"/>
    <w:autoRedefine/>
    <w:qFormat/>
    <w:uiPriority w:val="0"/>
    <w:pPr>
      <w:jc w:val="left"/>
    </w:pPr>
  </w:style>
  <w:style w:type="paragraph" w:styleId="9">
    <w:name w:val="Body Text"/>
    <w:basedOn w:val="1"/>
    <w:autoRedefine/>
    <w:qFormat/>
    <w:uiPriority w:val="0"/>
    <w:pPr>
      <w:spacing w:after="120"/>
    </w:pPr>
  </w:style>
  <w:style w:type="paragraph" w:styleId="10">
    <w:name w:val="Body Text Indent"/>
    <w:basedOn w:val="1"/>
    <w:next w:val="11"/>
    <w:autoRedefine/>
    <w:qFormat/>
    <w:uiPriority w:val="0"/>
    <w:pPr>
      <w:spacing w:line="360" w:lineRule="auto"/>
      <w:ind w:firstLine="420"/>
    </w:pPr>
    <w:rPr>
      <w:rFonts w:ascii="宋体"/>
      <w:sz w:val="24"/>
      <w:szCs w:val="20"/>
    </w:rPr>
  </w:style>
  <w:style w:type="paragraph" w:styleId="11">
    <w:name w:val="envelope return"/>
    <w:basedOn w:val="1"/>
    <w:autoRedefine/>
    <w:qFormat/>
    <w:uiPriority w:val="0"/>
    <w:pPr>
      <w:snapToGrid w:val="0"/>
    </w:pPr>
    <w:rPr>
      <w:rFonts w:ascii="Arial" w:hAnsi="Arial"/>
    </w:rPr>
  </w:style>
  <w:style w:type="paragraph" w:styleId="12">
    <w:name w:val="Plain Text"/>
    <w:basedOn w:val="1"/>
    <w:link w:val="41"/>
    <w:autoRedefine/>
    <w:qFormat/>
    <w:uiPriority w:val="99"/>
    <w:rPr>
      <w:rFonts w:ascii="宋体" w:hAnsi="Courier New"/>
      <w:sz w:val="28"/>
      <w:szCs w:val="20"/>
    </w:rPr>
  </w:style>
  <w:style w:type="paragraph" w:styleId="13">
    <w:name w:val="Balloon Text"/>
    <w:basedOn w:val="1"/>
    <w:link w:val="38"/>
    <w:autoRedefine/>
    <w:qFormat/>
    <w:uiPriority w:val="0"/>
    <w:rPr>
      <w:sz w:val="18"/>
      <w:szCs w:val="18"/>
    </w:rPr>
  </w:style>
  <w:style w:type="paragraph" w:styleId="14">
    <w:name w:val="footer"/>
    <w:basedOn w:val="1"/>
    <w:autoRedefine/>
    <w:qFormat/>
    <w:uiPriority w:val="99"/>
    <w:pPr>
      <w:tabs>
        <w:tab w:val="center" w:pos="4153"/>
        <w:tab w:val="right" w:pos="8306"/>
      </w:tabs>
      <w:snapToGrid w:val="0"/>
      <w:jc w:val="left"/>
    </w:pPr>
    <w:rPr>
      <w:sz w:val="18"/>
      <w:szCs w:val="20"/>
    </w:rPr>
  </w:style>
  <w:style w:type="paragraph" w:styleId="15">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16">
    <w:name w:val="Normal (Web)"/>
    <w:basedOn w:val="1"/>
    <w:autoRedefine/>
    <w:qFormat/>
    <w:uiPriority w:val="0"/>
    <w:pPr>
      <w:spacing w:beforeAutospacing="1" w:afterAutospacing="1"/>
      <w:jc w:val="left"/>
    </w:pPr>
    <w:rPr>
      <w:kern w:val="0"/>
      <w:sz w:val="24"/>
    </w:rPr>
  </w:style>
  <w:style w:type="paragraph" w:styleId="17">
    <w:name w:val="index 1"/>
    <w:basedOn w:val="1"/>
    <w:next w:val="1"/>
    <w:autoRedefine/>
    <w:qFormat/>
    <w:uiPriority w:val="0"/>
    <w:pPr>
      <w:ind w:left="210" w:hanging="210"/>
      <w:jc w:val="left"/>
    </w:pPr>
    <w:rPr>
      <w:szCs w:val="21"/>
    </w:rPr>
  </w:style>
  <w:style w:type="paragraph" w:styleId="18">
    <w:name w:val="Body Text First Indent"/>
    <w:basedOn w:val="9"/>
    <w:autoRedefine/>
    <w:unhideWhenUsed/>
    <w:qFormat/>
    <w:uiPriority w:val="99"/>
    <w:pPr>
      <w:ind w:firstLine="420" w:firstLineChars="100"/>
    </w:pPr>
  </w:style>
  <w:style w:type="paragraph" w:styleId="19">
    <w:name w:val="Body Text First Indent 2"/>
    <w:basedOn w:val="10"/>
    <w:next w:val="4"/>
    <w:autoRedefine/>
    <w:qFormat/>
    <w:uiPriority w:val="0"/>
    <w:pPr>
      <w:ind w:firstLineChars="200"/>
    </w:pPr>
    <w:rPr>
      <w:rFonts w:hAnsi="宋体"/>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basedOn w:val="22"/>
    <w:autoRedefine/>
    <w:qFormat/>
    <w:uiPriority w:val="0"/>
    <w:rPr>
      <w:color w:val="000000"/>
      <w:u w:val="none"/>
    </w:rPr>
  </w:style>
  <w:style w:type="character" w:styleId="24">
    <w:name w:val="Hyperlink"/>
    <w:autoRedefine/>
    <w:qFormat/>
    <w:uiPriority w:val="99"/>
    <w:rPr>
      <w:color w:val="0000FF"/>
      <w:u w:val="none"/>
    </w:rPr>
  </w:style>
  <w:style w:type="character" w:styleId="25">
    <w:name w:val="annotation reference"/>
    <w:basedOn w:val="22"/>
    <w:autoRedefine/>
    <w:qFormat/>
    <w:uiPriority w:val="0"/>
    <w:rPr>
      <w:sz w:val="21"/>
      <w:szCs w:val="21"/>
    </w:rPr>
  </w:style>
  <w:style w:type="paragraph" w:customStyle="1" w:styleId="26">
    <w:name w:val="正文1"/>
    <w:basedOn w:val="1"/>
    <w:next w:val="1"/>
    <w:autoRedefine/>
    <w:qFormat/>
    <w:uiPriority w:val="0"/>
    <w:pPr>
      <w:spacing w:line="360" w:lineRule="auto"/>
    </w:pPr>
    <w:rPr>
      <w:sz w:val="24"/>
    </w:rPr>
  </w:style>
  <w:style w:type="paragraph" w:customStyle="1" w:styleId="27">
    <w:name w:val="首行缩进"/>
    <w:basedOn w:val="1"/>
    <w:autoRedefine/>
    <w:qFormat/>
    <w:uiPriority w:val="0"/>
    <w:pPr>
      <w:spacing w:line="360" w:lineRule="auto"/>
      <w:ind w:firstLine="480" w:firstLineChars="200"/>
      <w:jc w:val="left"/>
    </w:pPr>
    <w:rPr>
      <w:rFonts w:ascii="宋体" w:hAnsi="宋体"/>
      <w:sz w:val="24"/>
    </w:rPr>
  </w:style>
  <w:style w:type="paragraph" w:customStyle="1" w:styleId="28">
    <w:name w:val="WPSOffice手动目录 1"/>
    <w:autoRedefine/>
    <w:qFormat/>
    <w:uiPriority w:val="0"/>
    <w:rPr>
      <w:rFonts w:ascii="Times New Roman" w:hAnsi="Times New Roman" w:eastAsia="宋体" w:cs="Times New Roman"/>
      <w:lang w:val="en-US" w:eastAsia="zh-CN" w:bidi="ar-SA"/>
    </w:rPr>
  </w:style>
  <w:style w:type="paragraph" w:customStyle="1" w:styleId="29">
    <w:name w:val="样式 标题 2 + 黑色 行距: 1.5 倍行距"/>
    <w:basedOn w:val="3"/>
    <w:autoRedefine/>
    <w:qFormat/>
    <w:uiPriority w:val="0"/>
    <w:pPr>
      <w:spacing w:line="360" w:lineRule="auto"/>
    </w:pPr>
    <w:rPr>
      <w:rFonts w:eastAsia="宋体" w:cs="宋体"/>
      <w:color w:val="000000"/>
    </w:rPr>
  </w:style>
  <w:style w:type="table" w:customStyle="1" w:styleId="30">
    <w:name w:val="Table Normal"/>
    <w:autoRedefine/>
    <w:unhideWhenUsed/>
    <w:qFormat/>
    <w:uiPriority w:val="0"/>
    <w:tblPr>
      <w:tblCellMar>
        <w:top w:w="0" w:type="dxa"/>
        <w:left w:w="0" w:type="dxa"/>
        <w:bottom w:w="0" w:type="dxa"/>
        <w:right w:w="0" w:type="dxa"/>
      </w:tblCellMar>
    </w:tblPr>
  </w:style>
  <w:style w:type="paragraph" w:customStyle="1" w:styleId="31">
    <w:name w:val="Body text|1"/>
    <w:basedOn w:val="1"/>
    <w:autoRedefine/>
    <w:qFormat/>
    <w:uiPriority w:val="0"/>
    <w:pPr>
      <w:spacing w:line="430" w:lineRule="auto"/>
      <w:ind w:firstLine="400"/>
    </w:pPr>
    <w:rPr>
      <w:rFonts w:ascii="宋体" w:hAnsi="宋体" w:cs="宋体"/>
      <w:sz w:val="20"/>
      <w:szCs w:val="20"/>
      <w:lang w:val="zh-TW" w:eastAsia="zh-TW" w:bidi="zh-TW"/>
    </w:rPr>
  </w:style>
  <w:style w:type="paragraph" w:customStyle="1" w:styleId="32">
    <w:name w:val="Table caption|1"/>
    <w:basedOn w:val="1"/>
    <w:autoRedefine/>
    <w:qFormat/>
    <w:uiPriority w:val="0"/>
    <w:pPr>
      <w:spacing w:line="442" w:lineRule="exact"/>
      <w:ind w:firstLine="440"/>
    </w:pPr>
    <w:rPr>
      <w:rFonts w:ascii="宋体" w:hAnsi="宋体" w:cs="宋体"/>
      <w:sz w:val="20"/>
      <w:szCs w:val="20"/>
      <w:lang w:val="zh-TW" w:eastAsia="zh-TW" w:bidi="zh-TW"/>
    </w:rPr>
  </w:style>
  <w:style w:type="paragraph" w:customStyle="1" w:styleId="33">
    <w:name w:val="Other|1"/>
    <w:basedOn w:val="1"/>
    <w:autoRedefine/>
    <w:qFormat/>
    <w:uiPriority w:val="0"/>
    <w:pPr>
      <w:jc w:val="center"/>
    </w:pPr>
    <w:rPr>
      <w:rFonts w:ascii="宋体" w:hAnsi="宋体" w:cs="宋体"/>
      <w:lang w:val="zh-TW" w:eastAsia="zh-TW" w:bidi="zh-TW"/>
    </w:rPr>
  </w:style>
  <w:style w:type="character" w:customStyle="1" w:styleId="34">
    <w:name w:val="标题 2 Char"/>
    <w:autoRedefine/>
    <w:qFormat/>
    <w:uiPriority w:val="0"/>
    <w:rPr>
      <w:rFonts w:ascii="Arial" w:hAnsi="Arial" w:eastAsia="黑体"/>
      <w:b/>
      <w:bCs/>
      <w:sz w:val="32"/>
      <w:szCs w:val="32"/>
    </w:rPr>
  </w:style>
  <w:style w:type="paragraph" w:customStyle="1" w:styleId="35">
    <w:name w:val="纯文本1"/>
    <w:basedOn w:val="1"/>
    <w:autoRedefine/>
    <w:qFormat/>
    <w:uiPriority w:val="0"/>
    <w:rPr>
      <w:rFonts w:ascii="宋体" w:hAnsi="Courier New"/>
      <w:sz w:val="28"/>
    </w:rPr>
  </w:style>
  <w:style w:type="paragraph" w:customStyle="1" w:styleId="36">
    <w:name w:val="普通(Web)4"/>
    <w:basedOn w:val="1"/>
    <w:autoRedefine/>
    <w:qFormat/>
    <w:uiPriority w:val="0"/>
    <w:pPr>
      <w:widowControl/>
      <w:spacing w:before="100" w:beforeAutospacing="1" w:after="100" w:afterAutospacing="1" w:line="375" w:lineRule="atLeast"/>
      <w:jc w:val="left"/>
    </w:pPr>
    <w:rPr>
      <w:rFonts w:ascii="ˎ̥" w:hAnsi="ˎ̥"/>
      <w:kern w:val="0"/>
      <w:sz w:val="24"/>
    </w:rPr>
  </w:style>
  <w:style w:type="paragraph" w:customStyle="1" w:styleId="37">
    <w:name w:val="中等深浅网格 1 - 强调文字颜色 21"/>
    <w:basedOn w:val="1"/>
    <w:autoRedefine/>
    <w:qFormat/>
    <w:uiPriority w:val="0"/>
    <w:pPr>
      <w:ind w:firstLine="420" w:firstLineChars="200"/>
    </w:pPr>
  </w:style>
  <w:style w:type="character" w:customStyle="1" w:styleId="38">
    <w:name w:val="批注框文本 字符"/>
    <w:basedOn w:val="22"/>
    <w:link w:val="13"/>
    <w:autoRedefine/>
    <w:qFormat/>
    <w:uiPriority w:val="0"/>
    <w:rPr>
      <w:kern w:val="2"/>
      <w:sz w:val="18"/>
      <w:szCs w:val="18"/>
    </w:rPr>
  </w:style>
  <w:style w:type="character" w:customStyle="1" w:styleId="39">
    <w:name w:val="标题 6 字符"/>
    <w:basedOn w:val="22"/>
    <w:link w:val="6"/>
    <w:autoRedefine/>
    <w:qFormat/>
    <w:uiPriority w:val="0"/>
    <w:rPr>
      <w:rFonts w:asciiTheme="majorHAnsi" w:hAnsiTheme="majorHAnsi" w:eastAsiaTheme="majorEastAsia" w:cstheme="majorBidi"/>
      <w:b/>
      <w:bCs/>
      <w:kern w:val="2"/>
      <w:sz w:val="24"/>
      <w:szCs w:val="24"/>
    </w:rPr>
  </w:style>
  <w:style w:type="character" w:customStyle="1" w:styleId="40">
    <w:name w:val="正文缩进 字符"/>
    <w:link w:val="4"/>
    <w:autoRedefine/>
    <w:qFormat/>
    <w:uiPriority w:val="0"/>
    <w:rPr>
      <w:b/>
      <w:kern w:val="2"/>
      <w:sz w:val="24"/>
    </w:rPr>
  </w:style>
  <w:style w:type="character" w:customStyle="1" w:styleId="41">
    <w:name w:val="纯文本 字符"/>
    <w:link w:val="12"/>
    <w:autoRedefine/>
    <w:qFormat/>
    <w:uiPriority w:val="99"/>
    <w:rPr>
      <w:rFonts w:ascii="宋体" w:hAnsi="Courier New"/>
      <w:kern w:val="2"/>
      <w:sz w:val="28"/>
    </w:rPr>
  </w:style>
  <w:style w:type="paragraph" w:customStyle="1" w:styleId="42">
    <w:name w:val="表格"/>
    <w:basedOn w:val="1"/>
    <w:autoRedefine/>
    <w:qFormat/>
    <w:uiPriority w:val="0"/>
    <w:pPr>
      <w:jc w:val="center"/>
      <w:textAlignment w:val="center"/>
    </w:pPr>
    <w:rPr>
      <w:rFonts w:ascii="华文细黑" w:hAnsi="华文细黑"/>
      <w:kern w:val="0"/>
    </w:rPr>
  </w:style>
  <w:style w:type="character" w:customStyle="1" w:styleId="43">
    <w:name w:val="标题 2 字符"/>
    <w:link w:val="3"/>
    <w:autoRedefine/>
    <w:qFormat/>
    <w:uiPriority w:val="0"/>
    <w:rPr>
      <w:rFonts w:ascii="Arial" w:hAnsi="Arial" w:eastAsia="黑体"/>
      <w:b/>
      <w:bCs/>
      <w:sz w:val="32"/>
      <w:szCs w:val="32"/>
    </w:rPr>
  </w:style>
  <w:style w:type="character" w:customStyle="1" w:styleId="44">
    <w:name w:val="font11"/>
    <w:basedOn w:val="22"/>
    <w:autoRedefine/>
    <w:qFormat/>
    <w:uiPriority w:val="0"/>
    <w:rPr>
      <w:rFonts w:hint="eastAsia" w:ascii="宋体" w:hAnsi="宋体" w:eastAsia="宋体" w:cs="宋体"/>
      <w:color w:val="000000"/>
      <w:sz w:val="20"/>
      <w:szCs w:val="20"/>
      <w:u w:val="none"/>
    </w:rPr>
  </w:style>
  <w:style w:type="paragraph" w:styleId="45">
    <w:name w:val="List Paragraph"/>
    <w:basedOn w:val="1"/>
    <w:autoRedefine/>
    <w:unhideWhenUsed/>
    <w:qFormat/>
    <w:uiPriority w:val="99"/>
    <w:pPr>
      <w:ind w:firstLine="420" w:firstLineChars="200"/>
    </w:pPr>
  </w:style>
  <w:style w:type="character" w:customStyle="1" w:styleId="46">
    <w:name w:val="文档结构图 字符"/>
    <w:basedOn w:val="22"/>
    <w:link w:val="7"/>
    <w:autoRedefine/>
    <w:qFormat/>
    <w:uiPriority w:val="99"/>
    <w:rPr>
      <w:rFonts w:ascii="宋体" w:hAnsi="宋体" w:cs="宋体"/>
      <w:sz w:val="18"/>
      <w:szCs w:val="18"/>
      <w:lang w:eastAsia="en-US"/>
    </w:rPr>
  </w:style>
  <w:style w:type="paragraph" w:customStyle="1" w:styleId="47">
    <w:name w:val="Default"/>
    <w:autoRedefine/>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5"/>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43</Pages>
  <Words>25852</Words>
  <Characters>28045</Characters>
  <Lines>225</Lines>
  <Paragraphs>63</Paragraphs>
  <TotalTime>1</TotalTime>
  <ScaleCrop>false</ScaleCrop>
  <LinksUpToDate>false</LinksUpToDate>
  <CharactersWithSpaces>29512</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2023-06-28T09:13:00Z</dcterms:created>
  <dc:creator>莉莉</dc:creator>
  <cp:lastModifiedBy>邰泽鹏</cp:lastModifiedBy>
  <cp:lastPrinted>2024-05-07T09:29:00Z</cp:lastPrinted>
  <dcterms:modified xsi:type="dcterms:W3CDTF">2024-05-10T08:05:22Z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6A4131A9E9AB46E4B5B93DFAFC04C790</vt:lpwstr>
  </property>
</Properties>
</file>