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900" w:lineRule="exact"/>
        <w:rPr>
          <w:rStyle w:val="18"/>
          <w:rFonts w:ascii="宋体" w:hAnsi="宋体"/>
          <w:b/>
          <w:color w:val="000000"/>
          <w:sz w:val="48"/>
          <w:szCs w:val="48"/>
        </w:rPr>
      </w:pPr>
    </w:p>
    <w:p>
      <w:pPr>
        <w:pStyle w:val="19"/>
        <w:rPr>
          <w:rStyle w:val="18"/>
        </w:rPr>
      </w:pPr>
      <w:r>
        <w:rPr>
          <w:rStyle w:val="18"/>
          <w:rFonts w:hint="eastAsia" w:ascii="黑体" w:hAnsi="黑体" w:eastAsia="黑体" w:cs="黑体"/>
          <w:bCs/>
          <w:sz w:val="48"/>
          <w:szCs w:val="48"/>
        </w:rPr>
        <w:t xml:space="preserve"> 粮食物流项目绿色储粮专项设备采购项目</w:t>
      </w:r>
    </w:p>
    <w:p>
      <w:pPr>
        <w:spacing w:line="360" w:lineRule="auto"/>
        <w:jc w:val="center"/>
        <w:rPr>
          <w:rStyle w:val="18"/>
          <w:rFonts w:ascii="宋体" w:hAnsi="宋体"/>
          <w:color w:val="000000"/>
          <w:sz w:val="72"/>
          <w:szCs w:val="72"/>
        </w:rPr>
      </w:pPr>
    </w:p>
    <w:p>
      <w:pPr>
        <w:pStyle w:val="11"/>
        <w:ind w:firstLine="720"/>
        <w:rPr>
          <w:rStyle w:val="18"/>
          <w:rFonts w:ascii="宋体" w:hAnsi="宋体"/>
          <w:color w:val="000000"/>
          <w:sz w:val="72"/>
          <w:szCs w:val="72"/>
        </w:rPr>
      </w:pPr>
    </w:p>
    <w:p>
      <w:pPr>
        <w:pStyle w:val="11"/>
        <w:ind w:firstLine="720"/>
        <w:rPr>
          <w:rStyle w:val="18"/>
          <w:rFonts w:ascii="宋体" w:hAnsi="宋体"/>
          <w:color w:val="000000"/>
          <w:sz w:val="72"/>
          <w:szCs w:val="72"/>
        </w:rPr>
      </w:pPr>
    </w:p>
    <w:p>
      <w:pPr>
        <w:spacing w:line="360" w:lineRule="auto"/>
        <w:jc w:val="center"/>
        <w:rPr>
          <w:rStyle w:val="18"/>
          <w:rFonts w:ascii="宋体" w:hAnsi="宋体"/>
          <w:b/>
          <w:color w:val="000000"/>
          <w:sz w:val="84"/>
          <w:szCs w:val="84"/>
        </w:rPr>
      </w:pPr>
      <w:r>
        <w:rPr>
          <w:rStyle w:val="18"/>
          <w:rFonts w:ascii="宋体" w:hAnsi="宋体"/>
          <w:b/>
          <w:color w:val="000000"/>
          <w:sz w:val="84"/>
          <w:szCs w:val="84"/>
        </w:rPr>
        <w:t>招 标 文 件</w:t>
      </w:r>
    </w:p>
    <w:p>
      <w:pPr>
        <w:spacing w:line="360" w:lineRule="auto"/>
        <w:jc w:val="center"/>
        <w:rPr>
          <w:rStyle w:val="18"/>
          <w:rFonts w:ascii="宋体" w:hAnsi="宋体"/>
          <w:b/>
          <w:color w:val="000000"/>
          <w:sz w:val="32"/>
          <w:szCs w:val="32"/>
        </w:rPr>
      </w:pPr>
    </w:p>
    <w:p>
      <w:pPr>
        <w:spacing w:line="360" w:lineRule="auto"/>
        <w:jc w:val="center"/>
        <w:rPr>
          <w:rStyle w:val="18"/>
          <w:rFonts w:ascii="宋体" w:hAnsi="宋体"/>
          <w:color w:val="000000"/>
          <w:sz w:val="28"/>
          <w:szCs w:val="28"/>
        </w:rPr>
      </w:pPr>
    </w:p>
    <w:p>
      <w:pPr>
        <w:spacing w:line="360" w:lineRule="auto"/>
        <w:rPr>
          <w:rStyle w:val="18"/>
          <w:rFonts w:ascii="宋体" w:hAnsi="宋体"/>
          <w:color w:val="000000"/>
          <w:sz w:val="28"/>
          <w:szCs w:val="28"/>
        </w:rPr>
      </w:pPr>
    </w:p>
    <w:p>
      <w:pPr>
        <w:pStyle w:val="19"/>
        <w:rPr>
          <w:rStyle w:val="18"/>
        </w:rPr>
      </w:pPr>
    </w:p>
    <w:p>
      <w:pPr>
        <w:spacing w:line="360" w:lineRule="auto"/>
        <w:jc w:val="center"/>
        <w:rPr>
          <w:rStyle w:val="18"/>
          <w:rFonts w:ascii="宋体" w:hAnsi="宋体"/>
          <w:color w:val="000000"/>
          <w:sz w:val="28"/>
          <w:szCs w:val="28"/>
        </w:rPr>
      </w:pPr>
    </w:p>
    <w:p>
      <w:pPr>
        <w:spacing w:line="360" w:lineRule="auto"/>
        <w:jc w:val="center"/>
        <w:rPr>
          <w:rStyle w:val="18"/>
          <w:rFonts w:ascii="宋体" w:hAnsi="宋体"/>
          <w:color w:val="000000"/>
          <w:sz w:val="28"/>
          <w:szCs w:val="28"/>
        </w:rPr>
      </w:pPr>
    </w:p>
    <w:p>
      <w:pPr>
        <w:spacing w:line="720" w:lineRule="auto"/>
        <w:ind w:right="-170" w:firstLine="627" w:firstLineChars="196"/>
        <w:rPr>
          <w:rStyle w:val="18"/>
          <w:rFonts w:ascii="宋体" w:hAnsi="宋体"/>
          <w:b/>
          <w:color w:val="000000"/>
          <w:sz w:val="28"/>
          <w:szCs w:val="28"/>
        </w:rPr>
      </w:pPr>
      <w:r>
        <w:rPr>
          <w:rStyle w:val="18"/>
          <w:rFonts w:ascii="宋体" w:hAnsi="宋体"/>
          <w:b/>
          <w:color w:val="000000"/>
          <w:sz w:val="32"/>
          <w:szCs w:val="32"/>
        </w:rPr>
        <w:t>招  标  人：</w:t>
      </w:r>
      <w:r>
        <w:rPr>
          <w:rStyle w:val="18"/>
          <w:rFonts w:ascii="宋体" w:hAnsi="宋体"/>
          <w:b/>
          <w:color w:val="000000"/>
          <w:sz w:val="32"/>
          <w:szCs w:val="32"/>
          <w:u w:val="single" w:color="000000"/>
        </w:rPr>
        <w:t xml:space="preserve">  </w:t>
      </w:r>
      <w:r>
        <w:rPr>
          <w:rStyle w:val="18"/>
          <w:rFonts w:ascii="宋体" w:hAnsi="宋体"/>
          <w:b/>
          <w:color w:val="000000"/>
          <w:sz w:val="28"/>
          <w:szCs w:val="28"/>
          <w:u w:val="single" w:color="000000"/>
        </w:rPr>
        <w:t xml:space="preserve"> </w:t>
      </w:r>
      <w:r>
        <w:rPr>
          <w:rStyle w:val="18"/>
          <w:rFonts w:hint="eastAsia" w:ascii="宋体" w:hAnsi="宋体"/>
          <w:b/>
          <w:color w:val="000000"/>
          <w:sz w:val="28"/>
          <w:szCs w:val="28"/>
          <w:u w:val="single" w:color="000000"/>
        </w:rPr>
        <w:t xml:space="preserve">    盐城市瑞丰谷物有限公司</w:t>
      </w:r>
      <w:r>
        <w:rPr>
          <w:rStyle w:val="18"/>
          <w:rFonts w:ascii="宋体" w:hAnsi="宋体"/>
          <w:b/>
          <w:color w:val="000000"/>
          <w:sz w:val="28"/>
          <w:szCs w:val="28"/>
          <w:u w:val="single" w:color="000000"/>
        </w:rPr>
        <w:t xml:space="preserve">   </w:t>
      </w:r>
      <w:r>
        <w:rPr>
          <w:rStyle w:val="18"/>
          <w:rFonts w:hint="eastAsia" w:ascii="宋体" w:hAnsi="宋体"/>
          <w:b/>
          <w:color w:val="000000"/>
          <w:sz w:val="28"/>
          <w:szCs w:val="28"/>
          <w:u w:val="single" w:color="000000"/>
        </w:rPr>
        <w:t xml:space="preserve"> </w:t>
      </w:r>
      <w:r>
        <w:rPr>
          <w:rStyle w:val="18"/>
          <w:rFonts w:ascii="宋体" w:hAnsi="宋体"/>
          <w:b/>
          <w:color w:val="000000"/>
          <w:sz w:val="28"/>
          <w:szCs w:val="28"/>
          <w:u w:val="single" w:color="000000"/>
        </w:rPr>
        <w:t>（盖章）</w:t>
      </w:r>
    </w:p>
    <w:p>
      <w:pPr>
        <w:spacing w:line="720" w:lineRule="auto"/>
        <w:ind w:right="-170" w:firstLine="627" w:firstLineChars="196"/>
        <w:rPr>
          <w:rStyle w:val="18"/>
          <w:rFonts w:ascii="宋体" w:hAnsi="宋体"/>
          <w:b/>
          <w:color w:val="000000"/>
          <w:sz w:val="32"/>
          <w:szCs w:val="32"/>
          <w:u w:val="single" w:color="000000"/>
        </w:rPr>
      </w:pPr>
      <w:r>
        <w:rPr>
          <w:rStyle w:val="18"/>
          <w:rFonts w:hint="eastAsia" w:ascii="宋体" w:hAnsi="宋体"/>
          <w:b/>
          <w:color w:val="000000"/>
          <w:sz w:val="32"/>
          <w:szCs w:val="32"/>
        </w:rPr>
        <w:t>招</w:t>
      </w:r>
      <w:r>
        <w:rPr>
          <w:rStyle w:val="18"/>
          <w:rFonts w:ascii="宋体" w:hAnsi="宋体"/>
          <w:b/>
          <w:color w:val="000000"/>
          <w:sz w:val="32"/>
          <w:szCs w:val="32"/>
        </w:rPr>
        <w:t>标代理机构：</w:t>
      </w:r>
      <w:r>
        <w:rPr>
          <w:rStyle w:val="18"/>
          <w:rFonts w:ascii="宋体" w:hAnsi="宋体"/>
          <w:b/>
          <w:color w:val="000000"/>
          <w:sz w:val="28"/>
          <w:szCs w:val="28"/>
          <w:u w:val="single" w:color="000000"/>
        </w:rPr>
        <w:t xml:space="preserve"> </w:t>
      </w:r>
      <w:r>
        <w:rPr>
          <w:rStyle w:val="18"/>
          <w:rFonts w:ascii="宋体" w:hAnsi="宋体"/>
          <w:b/>
          <w:color w:val="000000"/>
          <w:sz w:val="24"/>
          <w:u w:val="single" w:color="000000"/>
          <w:lang w:val="zh-CN"/>
        </w:rPr>
        <w:t>江苏仁禾中衡工程咨询房地产估价有限公司</w:t>
      </w:r>
      <w:r>
        <w:rPr>
          <w:rStyle w:val="18"/>
          <w:rFonts w:ascii="宋体" w:hAnsi="宋体"/>
          <w:b/>
          <w:color w:val="000000"/>
          <w:sz w:val="28"/>
          <w:szCs w:val="28"/>
          <w:u w:val="single" w:color="000000"/>
          <w:lang w:val="zh-CN"/>
        </w:rPr>
        <w:t>（盖章）</w:t>
      </w:r>
    </w:p>
    <w:p>
      <w:pPr>
        <w:spacing w:line="720" w:lineRule="auto"/>
        <w:ind w:firstLine="640" w:firstLineChars="200"/>
        <w:rPr>
          <w:rStyle w:val="18"/>
          <w:rFonts w:ascii="宋体" w:hAnsi="宋体" w:cs="Times New Roman"/>
          <w:b/>
          <w:bCs/>
          <w:color w:val="000000"/>
          <w:sz w:val="32"/>
          <w:szCs w:val="32"/>
        </w:rPr>
      </w:pPr>
      <w:r>
        <w:rPr>
          <w:rStyle w:val="18"/>
          <w:rFonts w:ascii="宋体" w:hAnsi="宋体"/>
          <w:b/>
          <w:color w:val="000000"/>
          <w:sz w:val="32"/>
          <w:szCs w:val="32"/>
        </w:rPr>
        <w:t xml:space="preserve">日     期 ： </w:t>
      </w:r>
      <w:r>
        <w:rPr>
          <w:rStyle w:val="18"/>
          <w:rFonts w:ascii="宋体" w:hAnsi="宋体"/>
          <w:b/>
          <w:color w:val="000000"/>
          <w:sz w:val="32"/>
          <w:szCs w:val="32"/>
          <w:u w:val="single" w:color="000000"/>
        </w:rPr>
        <w:t xml:space="preserve">    </w:t>
      </w:r>
      <w:r>
        <w:rPr>
          <w:rStyle w:val="18"/>
          <w:rFonts w:ascii="宋体" w:hAnsi="宋体"/>
          <w:b/>
          <w:color w:val="000000"/>
          <w:sz w:val="28"/>
          <w:szCs w:val="28"/>
          <w:u w:val="single" w:color="000000"/>
        </w:rPr>
        <w:t xml:space="preserve">      2021年</w:t>
      </w:r>
      <w:r>
        <w:rPr>
          <w:rStyle w:val="18"/>
          <w:rFonts w:hint="eastAsia" w:ascii="宋体" w:hAnsi="宋体"/>
          <w:b/>
          <w:color w:val="000000"/>
          <w:sz w:val="28"/>
          <w:szCs w:val="28"/>
          <w:u w:val="single" w:color="000000"/>
        </w:rPr>
        <w:t>2</w:t>
      </w:r>
      <w:r>
        <w:rPr>
          <w:rStyle w:val="18"/>
          <w:rFonts w:ascii="宋体" w:hAnsi="宋体"/>
          <w:b/>
          <w:color w:val="000000"/>
          <w:sz w:val="28"/>
          <w:szCs w:val="28"/>
          <w:u w:val="single" w:color="000000"/>
        </w:rPr>
        <w:t xml:space="preserve">月   </w:t>
      </w:r>
      <w:r>
        <w:rPr>
          <w:rStyle w:val="18"/>
          <w:rFonts w:ascii="宋体" w:hAnsi="宋体"/>
          <w:b/>
          <w:color w:val="000000"/>
          <w:sz w:val="32"/>
          <w:szCs w:val="32"/>
          <w:u w:val="single" w:color="000000"/>
        </w:rPr>
        <w:t xml:space="preserve">           </w:t>
      </w:r>
      <w:r>
        <w:rPr>
          <w:rStyle w:val="18"/>
          <w:rFonts w:hint="eastAsia" w:ascii="宋体" w:hAnsi="宋体"/>
          <w:b/>
          <w:color w:val="000000"/>
          <w:sz w:val="32"/>
          <w:szCs w:val="32"/>
          <w:u w:val="single" w:color="000000"/>
        </w:rPr>
        <w:t xml:space="preserve"> </w:t>
      </w:r>
      <w:r>
        <w:rPr>
          <w:rStyle w:val="18"/>
          <w:rFonts w:ascii="宋体" w:hAnsi="宋体"/>
          <w:b/>
          <w:color w:val="000000"/>
          <w:sz w:val="32"/>
          <w:szCs w:val="32"/>
          <w:u w:val="single" w:color="000000"/>
        </w:rPr>
        <w:t xml:space="preserve">    </w:t>
      </w:r>
    </w:p>
    <w:p>
      <w:pPr>
        <w:jc w:val="center"/>
        <w:rPr>
          <w:rStyle w:val="18"/>
          <w:rFonts w:ascii="宋体" w:hAnsi="宋体" w:cs="Times New Roman"/>
          <w:b/>
          <w:bCs/>
          <w:color w:val="000000"/>
          <w:sz w:val="32"/>
          <w:szCs w:val="32"/>
        </w:rPr>
        <w:sectPr>
          <w:footerReference r:id="rId6" w:type="first"/>
          <w:headerReference r:id="rId3" w:type="default"/>
          <w:footerReference r:id="rId4" w:type="default"/>
          <w:footerReference r:id="rId5" w:type="even"/>
          <w:pgSz w:w="11906" w:h="16838"/>
          <w:pgMar w:top="1418" w:right="1418" w:bottom="1418" w:left="1418" w:header="851" w:footer="992" w:gutter="0"/>
          <w:pgNumType w:start="0"/>
          <w:cols w:space="425" w:num="1"/>
          <w:titlePg/>
          <w:docGrid w:type="linesAndChars" w:linePitch="312" w:charSpace="0"/>
        </w:sectPr>
      </w:pPr>
    </w:p>
    <w:p>
      <w:pPr>
        <w:jc w:val="center"/>
        <w:rPr>
          <w:b/>
          <w:bCs/>
          <w:color w:val="000000" w:themeColor="text1"/>
          <w:sz w:val="30"/>
          <w:szCs w:val="30"/>
          <w14:textFill>
            <w14:solidFill>
              <w14:schemeClr w14:val="tx1"/>
            </w14:solidFill>
          </w14:textFill>
        </w:rPr>
      </w:pPr>
      <w:r>
        <w:rPr>
          <w:rFonts w:hint="eastAsia"/>
          <w:b/>
          <w:bCs/>
          <w:color w:val="000000" w:themeColor="text1"/>
          <w:sz w:val="30"/>
          <w:szCs w:val="30"/>
          <w14:textFill>
            <w14:solidFill>
              <w14:schemeClr w14:val="tx1"/>
            </w14:solidFill>
          </w14:textFill>
        </w:rPr>
        <w:t>不见面开标须知</w:t>
      </w:r>
    </w:p>
    <w:p>
      <w:pPr>
        <w:spacing w:line="360" w:lineRule="auto"/>
        <w:rPr>
          <w:color w:val="000000" w:themeColor="text1"/>
          <w:sz w:val="24"/>
          <w14:textFill>
            <w14:solidFill>
              <w14:schemeClr w14:val="tx1"/>
            </w14:solidFill>
          </w14:textFill>
        </w:rPr>
      </w:pP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各潜在投标单位：</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根据《国务院办公厅转发国家发展改革委关于深化公共资源交易平台整合共享指导意见的通知》（国办函〔2019〕41号）、国家发改委发布《关于积极应对疫情创新做好招投标工作保障经济平稳运行的通知》等文件精神，全面逐步推行不见面投标开标等招投标活动。</w:t>
      </w:r>
      <w:r>
        <w:rPr>
          <w:color w:val="000000" w:themeColor="text1"/>
          <w:sz w:val="24"/>
          <w14:textFill>
            <w14:solidFill>
              <w14:schemeClr w14:val="tx1"/>
            </w14:solidFill>
          </w14:textFill>
        </w:rPr>
        <w:t>结合当前疫情防控要求，本</w:t>
      </w:r>
      <w:r>
        <w:rPr>
          <w:rFonts w:hint="eastAsia"/>
          <w:color w:val="000000" w:themeColor="text1"/>
          <w:sz w:val="24"/>
          <w14:textFill>
            <w14:solidFill>
              <w14:schemeClr w14:val="tx1"/>
            </w14:solidFill>
          </w14:textFill>
        </w:rPr>
        <w:t>项目开标方式为</w:t>
      </w:r>
      <w:r>
        <w:rPr>
          <w:color w:val="000000" w:themeColor="text1"/>
          <w:sz w:val="24"/>
          <w14:textFill>
            <w14:solidFill>
              <w14:schemeClr w14:val="tx1"/>
            </w14:solidFill>
          </w14:textFill>
        </w:rPr>
        <w:t>不见面</w:t>
      </w:r>
      <w:r>
        <w:rPr>
          <w:rFonts w:hint="eastAsia"/>
          <w:color w:val="000000" w:themeColor="text1"/>
          <w:sz w:val="24"/>
          <w14:textFill>
            <w14:solidFill>
              <w14:schemeClr w14:val="tx1"/>
            </w14:solidFill>
          </w14:textFill>
        </w:rPr>
        <w:t>纸质文件</w:t>
      </w:r>
      <w:r>
        <w:rPr>
          <w:color w:val="000000" w:themeColor="text1"/>
          <w:sz w:val="24"/>
          <w14:textFill>
            <w14:solidFill>
              <w14:schemeClr w14:val="tx1"/>
            </w14:solidFill>
          </w14:textFill>
        </w:rPr>
        <w:t>开标</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开标当日，投标人无需到达开标现场，仅需在任意地点通过 PC端或移动端的“腾讯会议”及相应的配套硬件设备参加开标会议</w:t>
      </w:r>
      <w:r>
        <w:rPr>
          <w:rFonts w:hint="eastAsia"/>
          <w:color w:val="000000" w:themeColor="text1"/>
          <w:sz w:val="24"/>
          <w14:textFill>
            <w14:solidFill>
              <w14:schemeClr w14:val="tx1"/>
            </w14:solidFill>
          </w14:textFill>
        </w:rPr>
        <w:t>。</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参加会议的方法（必选）：电脑或智能手机可以搜索下载并安装“腾讯会议”，注册完成后点击“加入会议”，输入会议号“</w:t>
      </w:r>
      <w:r>
        <w:rPr>
          <w:rFonts w:hint="eastAsia"/>
          <w:color w:val="000000" w:themeColor="text1"/>
          <w:sz w:val="24"/>
          <w:u w:val="single"/>
          <w14:textFill>
            <w14:solidFill>
              <w14:schemeClr w14:val="tx1"/>
            </w14:solidFill>
          </w14:textFill>
        </w:rPr>
        <w:t xml:space="preserve">287-943-147   </w:t>
      </w:r>
      <w:r>
        <w:rPr>
          <w:color w:val="000000" w:themeColor="text1"/>
          <w:sz w:val="24"/>
          <w14:textFill>
            <w14:solidFill>
              <w14:schemeClr w14:val="tx1"/>
            </w14:solidFill>
          </w14:textFill>
        </w:rPr>
        <w:t>”，“您的姓名”按“</w:t>
      </w:r>
      <w:r>
        <w:rPr>
          <w:b/>
          <w:bCs/>
          <w:color w:val="000000" w:themeColor="text1"/>
          <w:sz w:val="24"/>
          <w14:textFill>
            <w14:solidFill>
              <w14:schemeClr w14:val="tx1"/>
            </w14:solidFill>
          </w14:textFill>
        </w:rPr>
        <w:t>单位</w:t>
      </w:r>
      <w:r>
        <w:rPr>
          <w:rFonts w:hint="eastAsia"/>
          <w:b/>
          <w:bCs/>
          <w:color w:val="000000" w:themeColor="text1"/>
          <w:sz w:val="24"/>
          <w14:textFill>
            <w14:solidFill>
              <w14:schemeClr w14:val="tx1"/>
            </w14:solidFill>
          </w14:textFill>
        </w:rPr>
        <w:t>简</w:t>
      </w:r>
      <w:r>
        <w:rPr>
          <w:b/>
          <w:bCs/>
          <w:color w:val="000000" w:themeColor="text1"/>
          <w:sz w:val="24"/>
          <w14:textFill>
            <w14:solidFill>
              <w14:schemeClr w14:val="tx1"/>
            </w14:solidFill>
          </w14:textFill>
        </w:rPr>
        <w:t>称+授权委托人姓名</w:t>
      </w:r>
      <w:r>
        <w:rPr>
          <w:color w:val="000000" w:themeColor="text1"/>
          <w:sz w:val="24"/>
          <w14:textFill>
            <w14:solidFill>
              <w14:schemeClr w14:val="tx1"/>
            </w14:solidFill>
          </w14:textFill>
        </w:rPr>
        <w:t>”格式填写，然后点击“加入会议”。会议系统将在投标截止时间前10分钟开放。</w:t>
      </w: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2、投标文件递交地点：盐城市大丰区丰华国际大厦1楼大厅咨询台，北门进。（大丰区飞达东路100号）</w:t>
      </w: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招标代理联系人：金燕      联系电话：15161955460</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2.1投标文件提交开始及截止时间：</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纸质投标文件的递交开始时间：2021年3 月</w:t>
      </w:r>
      <w:r>
        <w:rPr>
          <w:rFonts w:hint="eastAsia"/>
          <w:color w:val="000000" w:themeColor="text1"/>
          <w:sz w:val="24"/>
          <w:lang w:val="en-US" w:eastAsia="zh-CN"/>
          <w14:textFill>
            <w14:solidFill>
              <w14:schemeClr w14:val="tx1"/>
            </w14:solidFill>
          </w14:textFill>
        </w:rPr>
        <w:t>1</w:t>
      </w:r>
      <w:r>
        <w:rPr>
          <w:rFonts w:hint="eastAsia"/>
          <w:color w:val="000000" w:themeColor="text1"/>
          <w:sz w:val="24"/>
          <w14:textFill>
            <w14:solidFill>
              <w14:schemeClr w14:val="tx1"/>
            </w14:solidFill>
          </w14:textFill>
        </w:rPr>
        <w:t xml:space="preserve"> 日 </w:t>
      </w:r>
      <w:r>
        <w:rPr>
          <w:rFonts w:hint="eastAsia"/>
          <w:color w:val="000000" w:themeColor="text1"/>
          <w:sz w:val="24"/>
          <w:lang w:val="en-US" w:eastAsia="zh-CN"/>
          <w14:textFill>
            <w14:solidFill>
              <w14:schemeClr w14:val="tx1"/>
            </w14:solidFill>
          </w14:textFill>
        </w:rPr>
        <w:t>8</w:t>
      </w:r>
      <w:r>
        <w:rPr>
          <w:rFonts w:hint="eastAsia"/>
          <w:color w:val="000000" w:themeColor="text1"/>
          <w:sz w:val="24"/>
          <w14:textFill>
            <w14:solidFill>
              <w14:schemeClr w14:val="tx1"/>
            </w14:solidFill>
          </w14:textFill>
        </w:rPr>
        <w:t xml:space="preserve">时 </w:t>
      </w:r>
      <w:r>
        <w:rPr>
          <w:rFonts w:hint="eastAsia"/>
          <w:color w:val="000000" w:themeColor="text1"/>
          <w:sz w:val="24"/>
          <w:lang w:val="en-US" w:eastAsia="zh-CN"/>
          <w14:textFill>
            <w14:solidFill>
              <w14:schemeClr w14:val="tx1"/>
            </w14:solidFill>
          </w14:textFill>
        </w:rPr>
        <w:t>30</w:t>
      </w:r>
      <w:r>
        <w:rPr>
          <w:rFonts w:hint="eastAsia"/>
          <w:color w:val="000000" w:themeColor="text1"/>
          <w:sz w:val="24"/>
          <w14:textFill>
            <w14:solidFill>
              <w14:schemeClr w14:val="tx1"/>
            </w14:solidFill>
          </w14:textFill>
        </w:rPr>
        <w:t xml:space="preserve"> 分。</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纸质投标文件的递交截止时间、投标保证金缴纳截止时间：2021年 </w:t>
      </w:r>
      <w:r>
        <w:rPr>
          <w:rFonts w:hint="eastAsia"/>
          <w:color w:val="000000" w:themeColor="text1"/>
          <w:sz w:val="24"/>
          <w:lang w:val="en-US" w:eastAsia="zh-CN"/>
          <w14:textFill>
            <w14:solidFill>
              <w14:schemeClr w14:val="tx1"/>
            </w14:solidFill>
          </w14:textFill>
        </w:rPr>
        <w:t>3</w:t>
      </w:r>
      <w:r>
        <w:rPr>
          <w:rFonts w:hint="eastAsia"/>
          <w:color w:val="000000" w:themeColor="text1"/>
          <w:sz w:val="24"/>
          <w14:textFill>
            <w14:solidFill>
              <w14:schemeClr w14:val="tx1"/>
            </w14:solidFill>
          </w14:textFill>
        </w:rPr>
        <w:t xml:space="preserve"> 月</w:t>
      </w:r>
      <w:r>
        <w:rPr>
          <w:rFonts w:hint="eastAsia"/>
          <w:color w:val="000000" w:themeColor="text1"/>
          <w:sz w:val="24"/>
          <w:lang w:val="en-US" w:eastAsia="zh-CN"/>
          <w14:textFill>
            <w14:solidFill>
              <w14:schemeClr w14:val="tx1"/>
            </w14:solidFill>
          </w14:textFill>
        </w:rPr>
        <w:t>1</w:t>
      </w:r>
      <w:r>
        <w:rPr>
          <w:rFonts w:hint="eastAsia"/>
          <w:color w:val="000000" w:themeColor="text1"/>
          <w:sz w:val="24"/>
          <w14:textFill>
            <w14:solidFill>
              <w14:schemeClr w14:val="tx1"/>
            </w14:solidFill>
          </w14:textFill>
        </w:rPr>
        <w:t xml:space="preserve"> 日9时，逾期提交的文件拒绝接受。</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开标时间：2021年 3 月 </w:t>
      </w:r>
      <w:r>
        <w:rPr>
          <w:rFonts w:hint="eastAsia"/>
          <w:color w:val="000000" w:themeColor="text1"/>
          <w:sz w:val="24"/>
          <w:lang w:val="en-US" w:eastAsia="zh-CN"/>
          <w14:textFill>
            <w14:solidFill>
              <w14:schemeClr w14:val="tx1"/>
            </w14:solidFill>
          </w14:textFill>
        </w:rPr>
        <w:t>1</w:t>
      </w:r>
      <w:r>
        <w:rPr>
          <w:rFonts w:hint="eastAsia"/>
          <w:color w:val="000000" w:themeColor="text1"/>
          <w:sz w:val="24"/>
          <w14:textFill>
            <w14:solidFill>
              <w14:schemeClr w14:val="tx1"/>
            </w14:solidFill>
          </w14:textFill>
        </w:rPr>
        <w:t xml:space="preserve"> 日9 时</w:t>
      </w:r>
      <w:r>
        <w:rPr>
          <w:rFonts w:hint="eastAsia"/>
          <w:b/>
          <w:color w:val="000000" w:themeColor="text1"/>
          <w:sz w:val="24"/>
          <w14:textFill>
            <w14:solidFill>
              <w14:schemeClr w14:val="tx1"/>
            </w14:solidFill>
          </w14:textFill>
        </w:rPr>
        <w:t>。</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3、开标程序</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1 招标人按下列程序进行开标：</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（1）宣布开标纪律；</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（2）由招标人代表随机抽取确定评标基准价计算系数（如有）；</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（3）拆封投标文件并唱标；</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（4）开标会议结束。</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4、因本</w:t>
      </w:r>
      <w:r>
        <w:rPr>
          <w:rFonts w:hint="eastAsia"/>
          <w:bCs/>
          <w:color w:val="000000" w:themeColor="text1"/>
          <w:sz w:val="24"/>
          <w14:textFill>
            <w14:solidFill>
              <w14:schemeClr w14:val="tx1"/>
            </w14:solidFill>
          </w14:textFill>
        </w:rPr>
        <w:t>项目</w:t>
      </w:r>
      <w:r>
        <w:rPr>
          <w:rFonts w:hint="eastAsia"/>
          <w:color w:val="000000" w:themeColor="text1"/>
          <w:sz w:val="24"/>
          <w14:textFill>
            <w14:solidFill>
              <w14:schemeClr w14:val="tx1"/>
            </w14:solidFill>
          </w14:textFill>
        </w:rPr>
        <w:t xml:space="preserve">采用不见面纸质开标模式，故招标人特别说明如下： </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4.1投标人投标文件的编制和递交，应依照招标文件的规定进行。如未按招标文件要求编制、递交投标文件，将可能导致废标，其后果由投标人自负。</w:t>
      </w:r>
      <w:r>
        <w:rPr>
          <w:rFonts w:hint="eastAsia"/>
          <w:b/>
          <w:bCs/>
          <w:color w:val="000000" w:themeColor="text1"/>
          <w:sz w:val="24"/>
          <w14:textFill>
            <w14:solidFill>
              <w14:schemeClr w14:val="tx1"/>
            </w14:solidFill>
          </w14:textFill>
        </w:rPr>
        <w:t>特别说明：由于本项目时间紧、任务重，又恰逢防控新型冠状病毒肺炎疫情期，因某种原因无法在规定的时间内递交投标文件的，视同放弃此次投标机会，不得向招标人、监管部门、招标代理机构等所有相关部门追责。</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4.2开标当日，投标人提交纸质投标文件后可离开，不需要到开标现场参加开标会，开标会议视频按第1条方法进行。</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4.3开标时间前10分钟，招标人、招标代理机构提前进入开标会议系统，播放测试音频，各投标人的授权委托人或法人代表于规定时间内进入开标会议系统收听观看实时音视频交互并及时在讨论组中反馈，未按时加入开标会议系统的或未能在开标会议系统内全程参与交互的，视为放弃交互和放弃对开标全过程提疑的权利，投标人无法看到唱标、开标结果等实时情况，导致的一切后果由投标人承担。</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4.4开标全过程中，各投标人参与远程交互的授权委托人或法人代表应始终为同一个人，中途不得更换，在废标、澄清、提疑等特殊情况下需要交互时，投标人一端参与交互的人员将均被视为是投标人的授权委托人或法人代表，投标人不得以不承认交互人员的资格或身份等为借口抵赖推脱，投标人自行承担随意更换人员所导致的一切后果。 </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4.5为顺利实现本项目开评标的远程交互，建议投标人配置能够实现远程音视频通话的高配置笔记本电脑、进入开标会议后确保网络通畅、稳定，为保证交互效果，建议投标人选择封闭安静的地点参与远程交互。因投标人自身软硬件配备不齐全或发生故障等问题而导致在交互过程中出现不稳定或中断等情况的，由投标人自身承担一切后果。 </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5、友情提醒：投标人如对上述腾讯会议软件等有疑问的，请尽早和软件公司的服务人员或其他专业人员联系，他们会根据投标人要求，提供必要的培训和技术支持。</w:t>
      </w:r>
    </w:p>
    <w:p>
      <w:pPr>
        <w:spacing w:line="360" w:lineRule="auto"/>
        <w:ind w:firstLine="482" w:firstLineChars="20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腾讯客服联系方式：0755-83765566</w:t>
      </w:r>
    </w:p>
    <w:p>
      <w:pPr>
        <w:spacing w:line="360" w:lineRule="auto"/>
        <w:ind w:firstLine="482" w:firstLineChars="20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招标代理业务技术支持联系人：金燕        联系电话：15161955460</w:t>
      </w:r>
    </w:p>
    <w:p>
      <w:pPr>
        <w:spacing w:line="360" w:lineRule="auto"/>
        <w:ind w:firstLine="4080" w:firstLineChars="1700"/>
        <w:rPr>
          <w:color w:val="000000" w:themeColor="text1"/>
          <w:sz w:val="24"/>
          <w14:textFill>
            <w14:solidFill>
              <w14:schemeClr w14:val="tx1"/>
            </w14:solidFill>
          </w14:textFill>
        </w:rPr>
      </w:pPr>
    </w:p>
    <w:p>
      <w:pPr>
        <w:pStyle w:val="2"/>
        <w:rPr>
          <w:rFonts w:ascii="宋体" w:hAnsi="宋体"/>
          <w:color w:val="000000" w:themeColor="text1"/>
          <w14:textFill>
            <w14:solidFill>
              <w14:schemeClr w14:val="tx1"/>
            </w14:solidFill>
          </w14:textFill>
        </w:rPr>
      </w:pPr>
    </w:p>
    <w:p>
      <w:pPr>
        <w:pStyle w:val="2"/>
        <w:jc w:val="right"/>
        <w:rPr>
          <w:rFonts w:ascii="宋体" w:hAnsi="宋体"/>
          <w:color w:val="000000" w:themeColor="text1"/>
          <w14:textFill>
            <w14:solidFill>
              <w14:schemeClr w14:val="tx1"/>
            </w14:solidFill>
          </w14:textFill>
        </w:rPr>
      </w:pPr>
    </w:p>
    <w:p>
      <w:pPr>
        <w:spacing w:line="360" w:lineRule="auto"/>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招标人：盐城市瑞丰谷物有限公司</w:t>
      </w:r>
    </w:p>
    <w:p>
      <w:pPr>
        <w:spacing w:line="360" w:lineRule="auto"/>
        <w:jc w:val="right"/>
        <w:rPr>
          <w:color w:val="000000" w:themeColor="text1"/>
          <w:spacing w:val="-4"/>
          <w:sz w:val="24"/>
          <w14:textFill>
            <w14:solidFill>
              <w14:schemeClr w14:val="tx1"/>
            </w14:solidFill>
          </w14:textFill>
        </w:rPr>
      </w:pPr>
      <w:r>
        <w:rPr>
          <w:rFonts w:hint="eastAsia"/>
          <w:color w:val="000000" w:themeColor="text1"/>
          <w:sz w:val="24"/>
          <w14:textFill>
            <w14:solidFill>
              <w14:schemeClr w14:val="tx1"/>
            </w14:solidFill>
          </w14:textFill>
        </w:rPr>
        <w:t>招标代理：江苏仁禾中衡工程咨询房地产估价有限公司</w:t>
      </w:r>
    </w:p>
    <w:p>
      <w:pPr>
        <w:spacing w:line="360" w:lineRule="auto"/>
        <w:jc w:val="center"/>
        <w:rPr>
          <w:rStyle w:val="18"/>
          <w:rFonts w:ascii="宋体" w:hAnsi="宋体" w:cs="宋体"/>
          <w:b/>
          <w:bCs/>
          <w:sz w:val="32"/>
          <w:szCs w:val="32"/>
        </w:rPr>
        <w:sectPr>
          <w:headerReference r:id="rId7" w:type="default"/>
          <w:footerReference r:id="rId8" w:type="default"/>
          <w:pgSz w:w="11906" w:h="16838"/>
          <w:pgMar w:top="1134" w:right="1134" w:bottom="1134" w:left="1620" w:header="851" w:footer="992" w:gutter="0"/>
          <w:cols w:space="425" w:num="1"/>
          <w:docGrid w:type="lines" w:linePitch="312" w:charSpace="0"/>
        </w:sectPr>
      </w:pPr>
    </w:p>
    <w:p>
      <w:pPr>
        <w:spacing w:line="360" w:lineRule="auto"/>
        <w:jc w:val="center"/>
        <w:rPr>
          <w:rStyle w:val="18"/>
          <w:rFonts w:ascii="宋体" w:hAnsi="宋体" w:cs="宋体"/>
          <w:b/>
          <w:bCs/>
          <w:sz w:val="32"/>
          <w:szCs w:val="32"/>
        </w:rPr>
      </w:pPr>
      <w:r>
        <w:rPr>
          <w:rStyle w:val="18"/>
          <w:rFonts w:ascii="宋体" w:hAnsi="宋体" w:cs="宋体"/>
          <w:b/>
          <w:bCs/>
          <w:sz w:val="32"/>
          <w:szCs w:val="32"/>
        </w:rPr>
        <w:t>招标文件备案表</w:t>
      </w:r>
    </w:p>
    <w:p>
      <w:pPr>
        <w:jc w:val="center"/>
        <w:rPr>
          <w:rStyle w:val="18"/>
          <w:rFonts w:ascii="宋体" w:hAnsi="宋体" w:cs="宋体"/>
          <w:b/>
          <w:bCs/>
          <w:sz w:val="32"/>
          <w:szCs w:val="32"/>
        </w:rPr>
      </w:pPr>
    </w:p>
    <w:tbl>
      <w:tblPr>
        <w:tblStyle w:val="12"/>
        <w:tblW w:w="964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64"/>
        <w:gridCol w:w="67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0" w:hRule="atLeast"/>
          <w:jc w:val="center"/>
        </w:trPr>
        <w:tc>
          <w:tcPr>
            <w:tcW w:w="2864"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 w:val="24"/>
              </w:rPr>
            </w:pPr>
            <w:r>
              <w:rPr>
                <w:rStyle w:val="18"/>
                <w:rFonts w:ascii="宋体" w:hAnsi="宋体"/>
                <w:sz w:val="24"/>
              </w:rPr>
              <w:t>招标人及</w:t>
            </w:r>
          </w:p>
          <w:p>
            <w:pPr>
              <w:jc w:val="center"/>
              <w:rPr>
                <w:rStyle w:val="18"/>
                <w:rFonts w:ascii="宋体" w:hAnsi="宋体"/>
                <w:sz w:val="24"/>
              </w:rPr>
            </w:pPr>
            <w:r>
              <w:rPr>
                <w:rStyle w:val="18"/>
                <w:rFonts w:ascii="宋体" w:hAnsi="宋体"/>
                <w:sz w:val="24"/>
              </w:rPr>
              <w:t>招标代理机构名称</w:t>
            </w:r>
          </w:p>
        </w:tc>
        <w:tc>
          <w:tcPr>
            <w:tcW w:w="6783"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 w:val="24"/>
              </w:rPr>
            </w:pPr>
            <w:r>
              <w:rPr>
                <w:rStyle w:val="18"/>
                <w:rFonts w:ascii="宋体" w:hAnsi="宋体"/>
                <w:sz w:val="24"/>
              </w:rPr>
              <w:t>招标人：</w:t>
            </w:r>
            <w:r>
              <w:rPr>
                <w:rStyle w:val="18"/>
                <w:rFonts w:hint="eastAsia" w:ascii="宋体" w:hAnsi="宋体"/>
                <w:sz w:val="24"/>
              </w:rPr>
              <w:t>盐城市瑞丰谷物有限公司</w:t>
            </w:r>
            <w:r>
              <w:rPr>
                <w:rStyle w:val="18"/>
                <w:rFonts w:ascii="宋体" w:hAnsi="宋体"/>
                <w:sz w:val="24"/>
              </w:rPr>
              <w:t xml:space="preserve"> </w:t>
            </w:r>
          </w:p>
          <w:p>
            <w:pPr>
              <w:jc w:val="center"/>
              <w:rPr>
                <w:rStyle w:val="18"/>
                <w:rFonts w:ascii="宋体" w:hAnsi="宋体"/>
                <w:sz w:val="24"/>
              </w:rPr>
            </w:pPr>
            <w:r>
              <w:rPr>
                <w:rStyle w:val="18"/>
                <w:rFonts w:ascii="宋体" w:hAnsi="宋体"/>
                <w:sz w:val="24"/>
              </w:rPr>
              <w:t xml:space="preserve">招标代理机构：江苏仁禾中衡工程咨询房地产估价有限公司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jc w:val="center"/>
        </w:trPr>
        <w:tc>
          <w:tcPr>
            <w:tcW w:w="2864"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 w:val="24"/>
              </w:rPr>
            </w:pPr>
            <w:r>
              <w:rPr>
                <w:rStyle w:val="18"/>
                <w:rFonts w:ascii="宋体" w:hAnsi="宋体"/>
                <w:sz w:val="24"/>
              </w:rPr>
              <w:t>招标内容</w:t>
            </w:r>
          </w:p>
        </w:tc>
        <w:tc>
          <w:tcPr>
            <w:tcW w:w="6783" w:type="dxa"/>
            <w:tcBorders>
              <w:top w:val="single" w:color="000000" w:sz="4" w:space="0"/>
              <w:left w:val="single" w:color="000000" w:sz="4" w:space="0"/>
              <w:bottom w:val="single" w:color="000000" w:sz="4" w:space="0"/>
              <w:right w:val="single" w:color="000000" w:sz="4" w:space="0"/>
            </w:tcBorders>
            <w:vAlign w:val="center"/>
          </w:tcPr>
          <w:p>
            <w:pPr>
              <w:spacing w:line="640" w:lineRule="exact"/>
              <w:jc w:val="center"/>
              <w:rPr>
                <w:rStyle w:val="18"/>
                <w:rFonts w:ascii="宋体" w:hAnsi="宋体"/>
                <w:sz w:val="24"/>
              </w:rPr>
            </w:pPr>
            <w:r>
              <w:rPr>
                <w:rStyle w:val="18"/>
                <w:rFonts w:hint="eastAsia" w:ascii="宋体" w:hAnsi="宋体"/>
                <w:sz w:val="24"/>
              </w:rPr>
              <w:t>粮食物流项目绿色储粮专项设备采购项目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jc w:val="center"/>
        </w:trPr>
        <w:tc>
          <w:tcPr>
            <w:tcW w:w="2864"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 w:val="24"/>
              </w:rPr>
            </w:pPr>
            <w:r>
              <w:rPr>
                <w:rStyle w:val="18"/>
                <w:rFonts w:ascii="宋体" w:hAnsi="宋体"/>
                <w:sz w:val="24"/>
              </w:rPr>
              <w:t>项目编号</w:t>
            </w:r>
          </w:p>
        </w:tc>
        <w:tc>
          <w:tcPr>
            <w:tcW w:w="6783"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 w:val="24"/>
              </w:rPr>
            </w:pPr>
            <w:r>
              <w:rPr>
                <w:rStyle w:val="18"/>
                <w:rFonts w:hint="eastAsia" w:ascii="宋体" w:hAnsi="宋体"/>
                <w:sz w:val="24"/>
                <w:szCs w:val="22"/>
              </w:rPr>
              <w:t>DFCG20210034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6" w:hRule="atLeast"/>
          <w:jc w:val="center"/>
        </w:trPr>
        <w:tc>
          <w:tcPr>
            <w:tcW w:w="9647" w:type="dxa"/>
            <w:gridSpan w:val="2"/>
            <w:tcBorders>
              <w:top w:val="single" w:color="000000" w:sz="4" w:space="0"/>
              <w:left w:val="single" w:color="000000" w:sz="4" w:space="0"/>
              <w:bottom w:val="single" w:color="000000" w:sz="4" w:space="0"/>
              <w:right w:val="single" w:color="000000" w:sz="4" w:space="0"/>
            </w:tcBorders>
          </w:tcPr>
          <w:p>
            <w:pPr>
              <w:spacing w:line="640" w:lineRule="exact"/>
              <w:rPr>
                <w:rStyle w:val="18"/>
                <w:rFonts w:ascii="宋体" w:hAnsi="宋体"/>
                <w:sz w:val="24"/>
              </w:rPr>
            </w:pPr>
          </w:p>
          <w:p>
            <w:pPr>
              <w:spacing w:line="640" w:lineRule="exact"/>
              <w:ind w:firstLine="555"/>
              <w:rPr>
                <w:rStyle w:val="18"/>
                <w:rFonts w:ascii="宋体" w:hAnsi="宋体"/>
                <w:sz w:val="24"/>
              </w:rPr>
            </w:pPr>
            <w:r>
              <w:rPr>
                <w:rStyle w:val="18"/>
                <w:rFonts w:ascii="宋体" w:hAnsi="宋体"/>
                <w:sz w:val="24"/>
              </w:rPr>
              <w:t>此文件审查工作已结束，于2021年</w:t>
            </w:r>
            <w:r>
              <w:rPr>
                <w:rStyle w:val="18"/>
                <w:rFonts w:hint="eastAsia" w:ascii="宋体" w:hAnsi="宋体"/>
                <w:sz w:val="24"/>
              </w:rPr>
              <w:t xml:space="preserve"> 2</w:t>
            </w:r>
            <w:r>
              <w:rPr>
                <w:rStyle w:val="18"/>
                <w:rFonts w:ascii="宋体" w:hAnsi="宋体"/>
                <w:sz w:val="24"/>
              </w:rPr>
              <w:t xml:space="preserve">  月</w:t>
            </w:r>
            <w:r>
              <w:rPr>
                <w:rStyle w:val="18"/>
                <w:rFonts w:hint="eastAsia" w:ascii="宋体" w:hAnsi="宋体"/>
                <w:sz w:val="24"/>
                <w:lang w:val="en-US" w:eastAsia="zh-CN"/>
              </w:rPr>
              <w:t>8</w:t>
            </w:r>
            <w:r>
              <w:rPr>
                <w:rStyle w:val="18"/>
                <w:rFonts w:ascii="宋体" w:hAnsi="宋体"/>
                <w:sz w:val="24"/>
              </w:rPr>
              <w:t xml:space="preserve"> 日备案。</w:t>
            </w:r>
          </w:p>
          <w:p>
            <w:pPr>
              <w:spacing w:line="640" w:lineRule="exact"/>
              <w:ind w:firstLine="555"/>
              <w:rPr>
                <w:rStyle w:val="18"/>
                <w:rFonts w:ascii="宋体" w:hAnsi="宋体"/>
                <w:sz w:val="24"/>
              </w:rPr>
            </w:pPr>
          </w:p>
          <w:p>
            <w:pPr>
              <w:spacing w:line="640" w:lineRule="exact"/>
              <w:ind w:firstLine="555"/>
              <w:rPr>
                <w:rStyle w:val="18"/>
                <w:rFonts w:ascii="宋体" w:hAnsi="宋体"/>
                <w:sz w:val="24"/>
              </w:rPr>
            </w:pPr>
          </w:p>
          <w:p>
            <w:pPr>
              <w:spacing w:line="640" w:lineRule="exact"/>
              <w:ind w:firstLine="555"/>
              <w:rPr>
                <w:rStyle w:val="18"/>
                <w:rFonts w:ascii="宋体" w:hAnsi="宋体"/>
                <w:sz w:val="24"/>
              </w:rPr>
            </w:pPr>
          </w:p>
          <w:p>
            <w:pPr>
              <w:spacing w:line="640" w:lineRule="exact"/>
              <w:ind w:firstLine="555"/>
              <w:rPr>
                <w:rStyle w:val="18"/>
                <w:rFonts w:ascii="宋体" w:hAnsi="宋体"/>
                <w:sz w:val="24"/>
              </w:rPr>
            </w:pPr>
            <w:r>
              <w:rPr>
                <w:rStyle w:val="18"/>
                <w:rFonts w:ascii="宋体" w:hAnsi="宋体"/>
                <w:sz w:val="24"/>
              </w:rPr>
              <w:t xml:space="preserve">                                        监管部门（盖章）：</w:t>
            </w:r>
          </w:p>
          <w:p>
            <w:pPr>
              <w:spacing w:line="640" w:lineRule="exact"/>
              <w:rPr>
                <w:rStyle w:val="18"/>
                <w:rFonts w:ascii="宋体" w:hAnsi="宋体"/>
                <w:sz w:val="24"/>
              </w:rPr>
            </w:pPr>
          </w:p>
          <w:p>
            <w:pPr>
              <w:spacing w:line="640" w:lineRule="exact"/>
              <w:ind w:firstLine="556"/>
              <w:rPr>
                <w:rStyle w:val="18"/>
                <w:rFonts w:ascii="宋体" w:hAnsi="宋体"/>
                <w:sz w:val="24"/>
              </w:rPr>
            </w:pPr>
          </w:p>
        </w:tc>
      </w:tr>
    </w:tbl>
    <w:p>
      <w:pPr>
        <w:spacing w:line="360" w:lineRule="auto"/>
        <w:jc w:val="center"/>
        <w:rPr>
          <w:rStyle w:val="18"/>
          <w:rFonts w:ascii="宋体" w:hAnsi="宋体"/>
          <w:sz w:val="48"/>
          <w:szCs w:val="48"/>
        </w:rPr>
      </w:pPr>
      <w:r>
        <w:rPr>
          <w:sz w:val="20"/>
        </w:rPr>
        <w:br w:type="page"/>
      </w:r>
    </w:p>
    <w:p>
      <w:pPr>
        <w:spacing w:line="360" w:lineRule="auto"/>
        <w:jc w:val="center"/>
        <w:rPr>
          <w:rStyle w:val="18"/>
          <w:rFonts w:ascii="宋体" w:hAnsi="宋体"/>
          <w:sz w:val="48"/>
          <w:szCs w:val="48"/>
        </w:rPr>
      </w:pPr>
      <w:r>
        <w:rPr>
          <w:rStyle w:val="18"/>
          <w:rFonts w:ascii="宋体" w:hAnsi="宋体"/>
          <w:sz w:val="48"/>
          <w:szCs w:val="48"/>
        </w:rPr>
        <w:t>目  录</w:t>
      </w:r>
    </w:p>
    <w:p>
      <w:pPr>
        <w:spacing w:line="300" w:lineRule="exact"/>
        <w:rPr>
          <w:rStyle w:val="18"/>
          <w:rFonts w:ascii="宋体" w:hAnsi="宋体"/>
          <w:sz w:val="48"/>
          <w:szCs w:val="48"/>
        </w:rPr>
      </w:pPr>
    </w:p>
    <w:sdt>
      <w:sdtPr>
        <w:rPr>
          <w:rFonts w:ascii="宋体" w:hAnsi="宋体" w:eastAsia="宋体" w:cstheme="minorBidi"/>
          <w:kern w:val="2"/>
          <w:sz w:val="21"/>
          <w:szCs w:val="24"/>
          <w:lang w:val="en-US" w:eastAsia="zh-CN" w:bidi="ar-SA"/>
        </w:rPr>
        <w:id w:val="147472919"/>
        <w15:color w:val="DBDBDB"/>
        <w:docPartObj>
          <w:docPartGallery w:val="Table of Contents"/>
          <w:docPartUnique/>
        </w:docPartObj>
      </w:sdtPr>
      <w:sdtEndPr>
        <w:rPr>
          <w:rFonts w:ascii="Times New Roman" w:hAnsi="Times New Roman" w:eastAsia="宋体" w:cstheme="minorBidi"/>
          <w:kern w:val="2"/>
          <w:sz w:val="24"/>
          <w:szCs w:val="24"/>
          <w:lang w:val="en-US" w:eastAsia="zh-CN" w:bidi="ar-SA"/>
        </w:rPr>
      </w:sdtEndPr>
      <w:sdtContent>
        <w:p>
          <w:pPr>
            <w:spacing w:before="0" w:beforeLines="0" w:after="0" w:afterLines="0" w:line="240" w:lineRule="auto"/>
            <w:ind w:left="0" w:leftChars="0" w:right="0" w:rightChars="0" w:firstLine="0" w:firstLineChars="0"/>
            <w:jc w:val="center"/>
          </w:pPr>
        </w:p>
        <w:p>
          <w:pPr>
            <w:pStyle w:val="20"/>
            <w:keepNext w:val="0"/>
            <w:keepLines w:val="0"/>
            <w:pageBreakBefore w:val="0"/>
            <w:widowControl/>
            <w:tabs>
              <w:tab w:val="right" w:leader="dot" w:pos="9152"/>
            </w:tabs>
            <w:kinsoku/>
            <w:wordWrap/>
            <w:overflowPunct/>
            <w:topLinePunct w:val="0"/>
            <w:autoSpaceDE/>
            <w:autoSpaceDN/>
            <w:bidi w:val="0"/>
            <w:adjustRightInd/>
            <w:snapToGrid/>
            <w:spacing w:line="500" w:lineRule="exact"/>
          </w:pPr>
          <w:r>
            <w:fldChar w:fldCharType="begin"/>
          </w:r>
          <w:r>
            <w:instrText xml:space="preserve">TOC \o "1-1" \h \u </w:instrText>
          </w:r>
          <w:r>
            <w:fldChar w:fldCharType="separate"/>
          </w:r>
          <w:r>
            <w:fldChar w:fldCharType="begin"/>
          </w:r>
          <w:r>
            <w:instrText xml:space="preserve"> HYPERLINK \l _Toc25544 </w:instrText>
          </w:r>
          <w:r>
            <w:fldChar w:fldCharType="separate"/>
          </w:r>
          <w:r>
            <w:rPr>
              <w:rFonts w:ascii="宋体" w:hAnsi="宋体" w:cs="宋体"/>
            </w:rPr>
            <w:t>第一章  招标公告</w:t>
          </w:r>
          <w:r>
            <w:tab/>
          </w:r>
          <w:r>
            <w:fldChar w:fldCharType="begin"/>
          </w:r>
          <w:r>
            <w:instrText xml:space="preserve"> PAGEREF _Toc25544 </w:instrText>
          </w:r>
          <w:r>
            <w:fldChar w:fldCharType="separate"/>
          </w:r>
          <w:r>
            <w:t>5</w:t>
          </w:r>
          <w:r>
            <w:fldChar w:fldCharType="end"/>
          </w:r>
          <w:r>
            <w:fldChar w:fldCharType="end"/>
          </w:r>
        </w:p>
        <w:p>
          <w:pPr>
            <w:pStyle w:val="20"/>
            <w:keepNext w:val="0"/>
            <w:keepLines w:val="0"/>
            <w:pageBreakBefore w:val="0"/>
            <w:widowControl/>
            <w:tabs>
              <w:tab w:val="right" w:leader="dot" w:pos="9152"/>
            </w:tabs>
            <w:kinsoku/>
            <w:wordWrap/>
            <w:overflowPunct/>
            <w:topLinePunct w:val="0"/>
            <w:autoSpaceDE/>
            <w:autoSpaceDN/>
            <w:bidi w:val="0"/>
            <w:adjustRightInd/>
            <w:snapToGrid/>
            <w:spacing w:line="500" w:lineRule="exact"/>
          </w:pPr>
          <w:r>
            <w:fldChar w:fldCharType="begin"/>
          </w:r>
          <w:r>
            <w:instrText xml:space="preserve"> HYPERLINK \l _Toc23518 </w:instrText>
          </w:r>
          <w:r>
            <w:fldChar w:fldCharType="separate"/>
          </w:r>
          <w:r>
            <w:rPr>
              <w:rFonts w:ascii="宋体" w:hAnsi="宋体" w:cs="宋体"/>
            </w:rPr>
            <w:t>第二章  投标人须知</w:t>
          </w:r>
          <w:r>
            <w:tab/>
          </w:r>
          <w:r>
            <w:fldChar w:fldCharType="begin"/>
          </w:r>
          <w:r>
            <w:instrText xml:space="preserve"> PAGEREF _Toc23518 </w:instrText>
          </w:r>
          <w:r>
            <w:fldChar w:fldCharType="separate"/>
          </w:r>
          <w:r>
            <w:t>8</w:t>
          </w:r>
          <w:r>
            <w:fldChar w:fldCharType="end"/>
          </w:r>
          <w:r>
            <w:fldChar w:fldCharType="end"/>
          </w:r>
        </w:p>
        <w:p>
          <w:pPr>
            <w:pStyle w:val="20"/>
            <w:keepNext w:val="0"/>
            <w:keepLines w:val="0"/>
            <w:pageBreakBefore w:val="0"/>
            <w:widowControl/>
            <w:tabs>
              <w:tab w:val="right" w:leader="dot" w:pos="9152"/>
            </w:tabs>
            <w:kinsoku/>
            <w:wordWrap/>
            <w:overflowPunct/>
            <w:topLinePunct w:val="0"/>
            <w:autoSpaceDE/>
            <w:autoSpaceDN/>
            <w:bidi w:val="0"/>
            <w:adjustRightInd/>
            <w:snapToGrid/>
            <w:spacing w:line="500" w:lineRule="exact"/>
          </w:pPr>
          <w:r>
            <w:fldChar w:fldCharType="begin"/>
          </w:r>
          <w:r>
            <w:instrText xml:space="preserve"> HYPERLINK \l _Toc23822 </w:instrText>
          </w:r>
          <w:r>
            <w:fldChar w:fldCharType="separate"/>
          </w:r>
          <w:r>
            <w:rPr>
              <w:rFonts w:hint="eastAsia" w:ascii="宋体" w:hAnsi="宋体" w:cs="宋体"/>
            </w:rPr>
            <w:t xml:space="preserve">第三章 </w:t>
          </w:r>
          <w:r>
            <w:rPr>
              <w:rFonts w:ascii="宋体" w:hAnsi="宋体" w:cs="宋体"/>
            </w:rPr>
            <w:t>评标办法（综合评分法）</w:t>
          </w:r>
          <w:r>
            <w:tab/>
          </w:r>
          <w:r>
            <w:fldChar w:fldCharType="begin"/>
          </w:r>
          <w:r>
            <w:instrText xml:space="preserve"> PAGEREF _Toc23822 </w:instrText>
          </w:r>
          <w:r>
            <w:fldChar w:fldCharType="separate"/>
          </w:r>
          <w:r>
            <w:t>22</w:t>
          </w:r>
          <w:r>
            <w:fldChar w:fldCharType="end"/>
          </w:r>
          <w:r>
            <w:fldChar w:fldCharType="end"/>
          </w:r>
        </w:p>
        <w:p>
          <w:pPr>
            <w:pStyle w:val="20"/>
            <w:keepNext w:val="0"/>
            <w:keepLines w:val="0"/>
            <w:pageBreakBefore w:val="0"/>
            <w:widowControl/>
            <w:tabs>
              <w:tab w:val="right" w:leader="dot" w:pos="9152"/>
            </w:tabs>
            <w:kinsoku/>
            <w:wordWrap/>
            <w:overflowPunct/>
            <w:topLinePunct w:val="0"/>
            <w:autoSpaceDE/>
            <w:autoSpaceDN/>
            <w:bidi w:val="0"/>
            <w:adjustRightInd/>
            <w:snapToGrid/>
            <w:spacing w:line="500" w:lineRule="exact"/>
          </w:pPr>
          <w:r>
            <w:fldChar w:fldCharType="begin"/>
          </w:r>
          <w:r>
            <w:instrText xml:space="preserve"> HYPERLINK \l _Toc27224 </w:instrText>
          </w:r>
          <w:r>
            <w:fldChar w:fldCharType="separate"/>
          </w:r>
          <w:r>
            <w:rPr>
              <w:rFonts w:ascii="宋体" w:hAnsi="宋体" w:cs="宋体"/>
            </w:rPr>
            <w:t>第四章 合同条款及格式</w:t>
          </w:r>
          <w:r>
            <w:tab/>
          </w:r>
          <w:r>
            <w:fldChar w:fldCharType="begin"/>
          </w:r>
          <w:r>
            <w:instrText xml:space="preserve"> PAGEREF _Toc27224 </w:instrText>
          </w:r>
          <w:r>
            <w:fldChar w:fldCharType="separate"/>
          </w:r>
          <w:r>
            <w:t>27</w:t>
          </w:r>
          <w:r>
            <w:fldChar w:fldCharType="end"/>
          </w:r>
          <w:r>
            <w:fldChar w:fldCharType="end"/>
          </w:r>
        </w:p>
        <w:p>
          <w:pPr>
            <w:pStyle w:val="20"/>
            <w:keepNext w:val="0"/>
            <w:keepLines w:val="0"/>
            <w:pageBreakBefore w:val="0"/>
            <w:widowControl/>
            <w:tabs>
              <w:tab w:val="right" w:leader="dot" w:pos="9152"/>
            </w:tabs>
            <w:kinsoku/>
            <w:wordWrap/>
            <w:overflowPunct/>
            <w:topLinePunct w:val="0"/>
            <w:autoSpaceDE/>
            <w:autoSpaceDN/>
            <w:bidi w:val="0"/>
            <w:adjustRightInd/>
            <w:snapToGrid/>
            <w:spacing w:line="500" w:lineRule="exact"/>
          </w:pPr>
          <w:r>
            <w:fldChar w:fldCharType="begin"/>
          </w:r>
          <w:r>
            <w:instrText xml:space="preserve"> HYPERLINK \l _Toc26712 </w:instrText>
          </w:r>
          <w:r>
            <w:fldChar w:fldCharType="separate"/>
          </w:r>
          <w:r>
            <w:rPr>
              <w:rFonts w:hAnsi="宋体"/>
            </w:rPr>
            <w:t>第五章 货物需求</w:t>
          </w:r>
          <w:r>
            <w:tab/>
          </w:r>
          <w:r>
            <w:fldChar w:fldCharType="begin"/>
          </w:r>
          <w:r>
            <w:instrText xml:space="preserve"> PAGEREF _Toc26712 </w:instrText>
          </w:r>
          <w:r>
            <w:fldChar w:fldCharType="separate"/>
          </w:r>
          <w:r>
            <w:t>31</w:t>
          </w:r>
          <w:r>
            <w:fldChar w:fldCharType="end"/>
          </w:r>
          <w:r>
            <w:fldChar w:fldCharType="end"/>
          </w:r>
        </w:p>
        <w:p>
          <w:pPr>
            <w:pStyle w:val="20"/>
            <w:keepNext w:val="0"/>
            <w:keepLines w:val="0"/>
            <w:pageBreakBefore w:val="0"/>
            <w:widowControl/>
            <w:tabs>
              <w:tab w:val="right" w:leader="dot" w:pos="9152"/>
            </w:tabs>
            <w:kinsoku/>
            <w:wordWrap/>
            <w:overflowPunct/>
            <w:topLinePunct w:val="0"/>
            <w:autoSpaceDE/>
            <w:autoSpaceDN/>
            <w:bidi w:val="0"/>
            <w:adjustRightInd/>
            <w:snapToGrid/>
            <w:spacing w:line="500" w:lineRule="exact"/>
          </w:pPr>
          <w:r>
            <w:fldChar w:fldCharType="begin"/>
          </w:r>
          <w:r>
            <w:instrText xml:space="preserve"> HYPERLINK \l _Toc13167 </w:instrText>
          </w:r>
          <w:r>
            <w:fldChar w:fldCharType="separate"/>
          </w:r>
          <w:r>
            <w:rPr>
              <w:rFonts w:hAnsi="宋体"/>
            </w:rPr>
            <w:t xml:space="preserve">第六章 </w:t>
          </w:r>
          <w:r>
            <w:rPr>
              <w:rFonts w:hint="eastAsia" w:hAnsi="宋体"/>
            </w:rPr>
            <w:t>投标文件格式</w:t>
          </w:r>
          <w:r>
            <w:tab/>
          </w:r>
          <w:r>
            <w:fldChar w:fldCharType="begin"/>
          </w:r>
          <w:r>
            <w:instrText xml:space="preserve"> PAGEREF _Toc13167 </w:instrText>
          </w:r>
          <w:r>
            <w:fldChar w:fldCharType="separate"/>
          </w:r>
          <w:r>
            <w:t>56</w:t>
          </w:r>
          <w:r>
            <w:fldChar w:fldCharType="end"/>
          </w:r>
          <w:r>
            <w:fldChar w:fldCharType="end"/>
          </w:r>
        </w:p>
        <w:p>
          <w:pPr>
            <w:pStyle w:val="20"/>
            <w:keepNext w:val="0"/>
            <w:keepLines w:val="0"/>
            <w:pageBreakBefore w:val="0"/>
            <w:widowControl/>
            <w:tabs>
              <w:tab w:val="right" w:leader="dot" w:pos="9152"/>
            </w:tabs>
            <w:kinsoku/>
            <w:wordWrap/>
            <w:overflowPunct/>
            <w:topLinePunct w:val="0"/>
            <w:autoSpaceDE/>
            <w:autoSpaceDN/>
            <w:bidi w:val="0"/>
            <w:adjustRightInd/>
            <w:snapToGrid/>
            <w:spacing w:line="500" w:lineRule="exact"/>
          </w:pPr>
          <w:r>
            <w:fldChar w:fldCharType="begin"/>
          </w:r>
          <w:r>
            <w:instrText xml:space="preserve"> HYPERLINK \l _Toc7893 </w:instrText>
          </w:r>
          <w:r>
            <w:fldChar w:fldCharType="separate"/>
          </w:r>
          <w:r>
            <w:rPr>
              <w:rFonts w:hint="eastAsia" w:ascii="宋体" w:hAnsi="宋体"/>
              <w:szCs w:val="44"/>
            </w:rPr>
            <w:t>（项目名称及标段）</w:t>
          </w:r>
          <w:r>
            <w:tab/>
          </w:r>
          <w:r>
            <w:fldChar w:fldCharType="begin"/>
          </w:r>
          <w:r>
            <w:instrText xml:space="preserve"> PAGEREF _Toc7893 </w:instrText>
          </w:r>
          <w:r>
            <w:fldChar w:fldCharType="separate"/>
          </w:r>
          <w:r>
            <w:t>56</w:t>
          </w:r>
          <w:r>
            <w:fldChar w:fldCharType="end"/>
          </w:r>
          <w:r>
            <w:fldChar w:fldCharType="end"/>
          </w:r>
        </w:p>
        <w:p>
          <w:pPr>
            <w:pStyle w:val="20"/>
            <w:keepNext w:val="0"/>
            <w:keepLines w:val="0"/>
            <w:pageBreakBefore w:val="0"/>
            <w:widowControl/>
            <w:tabs>
              <w:tab w:val="right" w:leader="dot" w:pos="9152"/>
            </w:tabs>
            <w:kinsoku/>
            <w:wordWrap/>
            <w:overflowPunct/>
            <w:topLinePunct w:val="0"/>
            <w:autoSpaceDE/>
            <w:autoSpaceDN/>
            <w:bidi w:val="0"/>
            <w:adjustRightInd/>
            <w:snapToGrid/>
            <w:spacing w:line="500" w:lineRule="exact"/>
          </w:pPr>
          <w:r>
            <w:fldChar w:fldCharType="begin"/>
          </w:r>
          <w:r>
            <w:instrText xml:space="preserve"> HYPERLINK \l _Toc25292 </w:instrText>
          </w:r>
          <w:r>
            <w:fldChar w:fldCharType="separate"/>
          </w:r>
          <w:r>
            <w:rPr>
              <w:rFonts w:hint="eastAsia" w:ascii="黑体" w:hAnsi="黑体" w:eastAsia="黑体"/>
              <w:szCs w:val="96"/>
            </w:rPr>
            <w:t>投 标 文 件</w:t>
          </w:r>
          <w:r>
            <w:tab/>
          </w:r>
          <w:r>
            <w:fldChar w:fldCharType="begin"/>
          </w:r>
          <w:r>
            <w:instrText xml:space="preserve"> PAGEREF _Toc25292 </w:instrText>
          </w:r>
          <w:r>
            <w:fldChar w:fldCharType="separate"/>
          </w:r>
          <w:r>
            <w:t>56</w:t>
          </w:r>
          <w:r>
            <w:fldChar w:fldCharType="end"/>
          </w:r>
          <w:r>
            <w:fldChar w:fldCharType="end"/>
          </w:r>
        </w:p>
        <w:p>
          <w:pPr>
            <w:pStyle w:val="20"/>
            <w:keepNext w:val="0"/>
            <w:keepLines w:val="0"/>
            <w:pageBreakBefore w:val="0"/>
            <w:widowControl/>
            <w:tabs>
              <w:tab w:val="right" w:leader="dot" w:pos="9152"/>
            </w:tabs>
            <w:kinsoku/>
            <w:wordWrap/>
            <w:overflowPunct/>
            <w:topLinePunct w:val="0"/>
            <w:autoSpaceDE/>
            <w:autoSpaceDN/>
            <w:bidi w:val="0"/>
            <w:adjustRightInd/>
            <w:snapToGrid/>
            <w:spacing w:line="500" w:lineRule="exact"/>
          </w:pPr>
          <w:r>
            <w:fldChar w:fldCharType="begin"/>
          </w:r>
          <w:r>
            <w:instrText xml:space="preserve"> HYPERLINK \l _Toc32736 </w:instrText>
          </w:r>
          <w:r>
            <w:fldChar w:fldCharType="separate"/>
          </w:r>
          <w:r>
            <w:rPr>
              <w:rFonts w:hint="eastAsia" w:ascii="宋体" w:hAnsi="宋体"/>
              <w:szCs w:val="28"/>
            </w:rPr>
            <w:t>日期：     年    月     日</w:t>
          </w:r>
          <w:r>
            <w:tab/>
          </w:r>
          <w:r>
            <w:fldChar w:fldCharType="begin"/>
          </w:r>
          <w:r>
            <w:instrText xml:space="preserve"> PAGEREF _Toc32736 </w:instrText>
          </w:r>
          <w:r>
            <w:fldChar w:fldCharType="separate"/>
          </w:r>
          <w:r>
            <w:t>56</w:t>
          </w:r>
          <w:r>
            <w:fldChar w:fldCharType="end"/>
          </w:r>
          <w:r>
            <w:fldChar w:fldCharType="end"/>
          </w:r>
        </w:p>
        <w:p>
          <w:pPr>
            <w:pStyle w:val="20"/>
            <w:keepNext w:val="0"/>
            <w:keepLines w:val="0"/>
            <w:pageBreakBefore w:val="0"/>
            <w:widowControl/>
            <w:tabs>
              <w:tab w:val="right" w:leader="dot" w:pos="9152"/>
            </w:tabs>
            <w:kinsoku/>
            <w:wordWrap/>
            <w:overflowPunct/>
            <w:topLinePunct w:val="0"/>
            <w:autoSpaceDE/>
            <w:autoSpaceDN/>
            <w:bidi w:val="0"/>
            <w:adjustRightInd/>
            <w:snapToGrid/>
            <w:spacing w:line="500" w:lineRule="exact"/>
          </w:pPr>
          <w:r>
            <w:fldChar w:fldCharType="begin"/>
          </w:r>
          <w:r>
            <w:instrText xml:space="preserve"> HYPERLINK \l _Toc15213 </w:instrText>
          </w:r>
          <w:r>
            <w:fldChar w:fldCharType="separate"/>
          </w:r>
          <w:r>
            <w:rPr>
              <w:rFonts w:ascii="宋体" w:hAnsi="宋体"/>
            </w:rPr>
            <w:t>1.投标函</w:t>
          </w:r>
          <w:r>
            <w:tab/>
          </w:r>
          <w:r>
            <w:fldChar w:fldCharType="begin"/>
          </w:r>
          <w:r>
            <w:instrText xml:space="preserve"> PAGEREF _Toc15213 </w:instrText>
          </w:r>
          <w:r>
            <w:fldChar w:fldCharType="separate"/>
          </w:r>
          <w:r>
            <w:t>57</w:t>
          </w:r>
          <w:r>
            <w:fldChar w:fldCharType="end"/>
          </w:r>
          <w:r>
            <w:fldChar w:fldCharType="end"/>
          </w:r>
        </w:p>
        <w:p>
          <w:pPr>
            <w:pStyle w:val="20"/>
            <w:keepNext w:val="0"/>
            <w:keepLines w:val="0"/>
            <w:pageBreakBefore w:val="0"/>
            <w:widowControl/>
            <w:tabs>
              <w:tab w:val="right" w:leader="dot" w:pos="9152"/>
            </w:tabs>
            <w:kinsoku/>
            <w:wordWrap/>
            <w:overflowPunct/>
            <w:topLinePunct w:val="0"/>
            <w:autoSpaceDE/>
            <w:autoSpaceDN/>
            <w:bidi w:val="0"/>
            <w:adjustRightInd/>
            <w:snapToGrid/>
            <w:spacing w:line="500" w:lineRule="exact"/>
          </w:pPr>
          <w:r>
            <w:fldChar w:fldCharType="begin"/>
          </w:r>
          <w:r>
            <w:instrText xml:space="preserve"> HYPERLINK \l _Toc10073 </w:instrText>
          </w:r>
          <w:r>
            <w:fldChar w:fldCharType="separate"/>
          </w:r>
          <w:r>
            <w:rPr>
              <w:rFonts w:ascii="宋体" w:hAnsi="宋体"/>
            </w:rPr>
            <w:t>2.投标报价明细表</w:t>
          </w:r>
          <w:r>
            <w:tab/>
          </w:r>
          <w:r>
            <w:fldChar w:fldCharType="begin"/>
          </w:r>
          <w:r>
            <w:instrText xml:space="preserve"> PAGEREF _Toc10073 </w:instrText>
          </w:r>
          <w:r>
            <w:fldChar w:fldCharType="separate"/>
          </w:r>
          <w:r>
            <w:t>58</w:t>
          </w:r>
          <w:r>
            <w:fldChar w:fldCharType="end"/>
          </w:r>
          <w:r>
            <w:fldChar w:fldCharType="end"/>
          </w:r>
        </w:p>
        <w:p>
          <w:pPr>
            <w:pStyle w:val="20"/>
            <w:keepNext w:val="0"/>
            <w:keepLines w:val="0"/>
            <w:pageBreakBefore w:val="0"/>
            <w:widowControl/>
            <w:tabs>
              <w:tab w:val="right" w:leader="dot" w:pos="9152"/>
            </w:tabs>
            <w:kinsoku/>
            <w:wordWrap/>
            <w:overflowPunct/>
            <w:topLinePunct w:val="0"/>
            <w:autoSpaceDE/>
            <w:autoSpaceDN/>
            <w:bidi w:val="0"/>
            <w:adjustRightInd/>
            <w:snapToGrid/>
            <w:spacing w:line="500" w:lineRule="exact"/>
          </w:pPr>
          <w:r>
            <w:fldChar w:fldCharType="begin"/>
          </w:r>
          <w:r>
            <w:instrText xml:space="preserve"> HYPERLINK \l _Toc17158 </w:instrText>
          </w:r>
          <w:r>
            <w:fldChar w:fldCharType="separate"/>
          </w:r>
          <w:r>
            <w:rPr>
              <w:rFonts w:ascii="宋体" w:hAnsi="宋体" w:eastAsia="宋体" w:cs="宋体"/>
            </w:rPr>
            <w:t>4.授权委托书</w:t>
          </w:r>
          <w:r>
            <w:tab/>
          </w:r>
          <w:r>
            <w:fldChar w:fldCharType="begin"/>
          </w:r>
          <w:r>
            <w:instrText xml:space="preserve"> PAGEREF _Toc17158 </w:instrText>
          </w:r>
          <w:r>
            <w:fldChar w:fldCharType="separate"/>
          </w:r>
          <w:r>
            <w:t>60</w:t>
          </w:r>
          <w:r>
            <w:fldChar w:fldCharType="end"/>
          </w:r>
          <w:r>
            <w:fldChar w:fldCharType="end"/>
          </w:r>
        </w:p>
        <w:p>
          <w:pPr>
            <w:pStyle w:val="20"/>
            <w:keepNext w:val="0"/>
            <w:keepLines w:val="0"/>
            <w:pageBreakBefore w:val="0"/>
            <w:widowControl/>
            <w:tabs>
              <w:tab w:val="right" w:leader="dot" w:pos="9152"/>
            </w:tabs>
            <w:kinsoku/>
            <w:wordWrap/>
            <w:overflowPunct/>
            <w:topLinePunct w:val="0"/>
            <w:autoSpaceDE/>
            <w:autoSpaceDN/>
            <w:bidi w:val="0"/>
            <w:adjustRightInd/>
            <w:snapToGrid/>
            <w:spacing w:line="500" w:lineRule="exact"/>
          </w:pPr>
          <w:r>
            <w:fldChar w:fldCharType="begin"/>
          </w:r>
          <w:r>
            <w:instrText xml:space="preserve"> HYPERLINK \l _Toc24605 </w:instrText>
          </w:r>
          <w:r>
            <w:fldChar w:fldCharType="separate"/>
          </w:r>
          <w:r>
            <w:rPr>
              <w:rFonts w:ascii="宋体" w:hAnsi="宋体"/>
              <w:bCs/>
              <w:kern w:val="0"/>
              <w:szCs w:val="32"/>
            </w:rPr>
            <w:t>5.法定代表人身份证明</w:t>
          </w:r>
          <w:r>
            <w:tab/>
          </w:r>
          <w:r>
            <w:fldChar w:fldCharType="begin"/>
          </w:r>
          <w:r>
            <w:instrText xml:space="preserve"> PAGEREF _Toc24605 </w:instrText>
          </w:r>
          <w:r>
            <w:fldChar w:fldCharType="separate"/>
          </w:r>
          <w:r>
            <w:t>61</w:t>
          </w:r>
          <w:r>
            <w:fldChar w:fldCharType="end"/>
          </w:r>
          <w:r>
            <w:fldChar w:fldCharType="end"/>
          </w:r>
        </w:p>
        <w:p>
          <w:pPr>
            <w:pStyle w:val="20"/>
            <w:keepNext w:val="0"/>
            <w:keepLines w:val="0"/>
            <w:pageBreakBefore w:val="0"/>
            <w:widowControl/>
            <w:tabs>
              <w:tab w:val="right" w:leader="dot" w:pos="9152"/>
            </w:tabs>
            <w:kinsoku/>
            <w:wordWrap/>
            <w:overflowPunct/>
            <w:topLinePunct w:val="0"/>
            <w:autoSpaceDE/>
            <w:autoSpaceDN/>
            <w:bidi w:val="0"/>
            <w:adjustRightInd/>
            <w:snapToGrid/>
            <w:spacing w:line="500" w:lineRule="exact"/>
          </w:pPr>
          <w:r>
            <w:fldChar w:fldCharType="begin"/>
          </w:r>
          <w:r>
            <w:instrText xml:space="preserve"> HYPERLINK \l _Toc19759 </w:instrText>
          </w:r>
          <w:r>
            <w:fldChar w:fldCharType="separate"/>
          </w:r>
          <w:r>
            <w:rPr>
              <w:rFonts w:ascii="宋体" w:hAnsi="宋体"/>
            </w:rPr>
            <w:t>6.申请人基本情况</w:t>
          </w:r>
          <w:r>
            <w:tab/>
          </w:r>
          <w:r>
            <w:fldChar w:fldCharType="begin"/>
          </w:r>
          <w:r>
            <w:instrText xml:space="preserve"> PAGEREF _Toc19759 </w:instrText>
          </w:r>
          <w:r>
            <w:fldChar w:fldCharType="separate"/>
          </w:r>
          <w:r>
            <w:t>62</w:t>
          </w:r>
          <w:r>
            <w:fldChar w:fldCharType="end"/>
          </w:r>
          <w:r>
            <w:fldChar w:fldCharType="end"/>
          </w:r>
        </w:p>
        <w:p>
          <w:pPr>
            <w:pStyle w:val="20"/>
            <w:keepNext w:val="0"/>
            <w:keepLines w:val="0"/>
            <w:pageBreakBefore w:val="0"/>
            <w:widowControl/>
            <w:tabs>
              <w:tab w:val="right" w:leader="dot" w:pos="9152"/>
            </w:tabs>
            <w:kinsoku/>
            <w:wordWrap/>
            <w:overflowPunct/>
            <w:topLinePunct w:val="0"/>
            <w:autoSpaceDE/>
            <w:autoSpaceDN/>
            <w:bidi w:val="0"/>
            <w:adjustRightInd/>
            <w:snapToGrid/>
            <w:spacing w:line="500" w:lineRule="exact"/>
          </w:pPr>
          <w:r>
            <w:fldChar w:fldCharType="begin"/>
          </w:r>
          <w:r>
            <w:instrText xml:space="preserve"> HYPERLINK \l _Toc15075 </w:instrText>
          </w:r>
          <w:r>
            <w:fldChar w:fldCharType="separate"/>
          </w:r>
          <w:r>
            <w:rPr>
              <w:rFonts w:hint="eastAsia" w:ascii="宋体" w:hAnsi="宋体" w:eastAsia="宋体" w:cs="宋体"/>
            </w:rPr>
            <w:t>8</w:t>
          </w:r>
          <w:r>
            <w:rPr>
              <w:rFonts w:ascii="宋体" w:hAnsi="宋体" w:eastAsia="宋体" w:cs="宋体"/>
            </w:rPr>
            <w:t>.为完成本项目投标人认为所需要的其它资料</w:t>
          </w:r>
          <w:r>
            <w:tab/>
          </w:r>
          <w:r>
            <w:fldChar w:fldCharType="begin"/>
          </w:r>
          <w:r>
            <w:instrText xml:space="preserve"> PAGEREF _Toc15075 </w:instrText>
          </w:r>
          <w:r>
            <w:fldChar w:fldCharType="separate"/>
          </w:r>
          <w:r>
            <w:t>64</w:t>
          </w:r>
          <w:r>
            <w:fldChar w:fldCharType="end"/>
          </w:r>
          <w:r>
            <w:fldChar w:fldCharType="end"/>
          </w:r>
        </w:p>
        <w:p>
          <w:pPr>
            <w:pStyle w:val="20"/>
            <w:keepNext w:val="0"/>
            <w:keepLines w:val="0"/>
            <w:pageBreakBefore w:val="0"/>
            <w:widowControl/>
            <w:tabs>
              <w:tab w:val="right" w:leader="dot" w:pos="9152"/>
            </w:tabs>
            <w:kinsoku/>
            <w:wordWrap/>
            <w:overflowPunct/>
            <w:topLinePunct w:val="0"/>
            <w:autoSpaceDE/>
            <w:autoSpaceDN/>
            <w:bidi w:val="0"/>
            <w:adjustRightInd/>
            <w:snapToGrid/>
            <w:spacing w:line="500" w:lineRule="exact"/>
          </w:pPr>
          <w:r>
            <w:fldChar w:fldCharType="begin"/>
          </w:r>
          <w:r>
            <w:instrText xml:space="preserve"> HYPERLINK \l _Toc3389 </w:instrText>
          </w:r>
          <w:r>
            <w:fldChar w:fldCharType="separate"/>
          </w:r>
          <w:r>
            <w:rPr>
              <w:rFonts w:ascii="宋体" w:hAnsi="宋体" w:eastAsia="宋体"/>
              <w:szCs w:val="22"/>
            </w:rPr>
            <w:t>评分要点索引表</w:t>
          </w:r>
          <w:r>
            <w:tab/>
          </w:r>
          <w:r>
            <w:fldChar w:fldCharType="begin"/>
          </w:r>
          <w:r>
            <w:instrText xml:space="preserve"> PAGEREF _Toc3389 </w:instrText>
          </w:r>
          <w:r>
            <w:fldChar w:fldCharType="separate"/>
          </w:r>
          <w:r>
            <w:t>65</w:t>
          </w:r>
          <w:r>
            <w:fldChar w:fldCharType="end"/>
          </w:r>
          <w:r>
            <w:fldChar w:fldCharType="end"/>
          </w:r>
        </w:p>
        <w:p>
          <w:pPr>
            <w:pStyle w:val="20"/>
            <w:keepNext w:val="0"/>
            <w:keepLines w:val="0"/>
            <w:pageBreakBefore w:val="0"/>
            <w:widowControl/>
            <w:tabs>
              <w:tab w:val="right" w:leader="dot" w:pos="9152"/>
            </w:tabs>
            <w:kinsoku/>
            <w:wordWrap/>
            <w:overflowPunct/>
            <w:topLinePunct w:val="0"/>
            <w:autoSpaceDE/>
            <w:autoSpaceDN/>
            <w:bidi w:val="0"/>
            <w:adjustRightInd/>
            <w:snapToGrid/>
            <w:spacing w:line="500" w:lineRule="exact"/>
          </w:pPr>
          <w:r>
            <w:fldChar w:fldCharType="begin"/>
          </w:r>
          <w:r>
            <w:instrText xml:space="preserve"> HYPERLINK \l _Toc21822 </w:instrText>
          </w:r>
          <w:r>
            <w:fldChar w:fldCharType="separate"/>
          </w:r>
          <w:r>
            <w:rPr>
              <w:rFonts w:ascii="宋体" w:hAnsi="宋体" w:eastAsia="宋体" w:cs="宋体"/>
            </w:rPr>
            <w:t>开标一览表</w:t>
          </w:r>
          <w:r>
            <w:tab/>
          </w:r>
          <w:r>
            <w:fldChar w:fldCharType="begin"/>
          </w:r>
          <w:r>
            <w:instrText xml:space="preserve"> PAGEREF _Toc21822 </w:instrText>
          </w:r>
          <w:r>
            <w:fldChar w:fldCharType="separate"/>
          </w:r>
          <w:r>
            <w:t>66</w:t>
          </w:r>
          <w:r>
            <w:fldChar w:fldCharType="end"/>
          </w:r>
          <w:r>
            <w:fldChar w:fldCharType="end"/>
          </w:r>
        </w:p>
        <w:p>
          <w:pPr>
            <w:pStyle w:val="20"/>
            <w:keepNext w:val="0"/>
            <w:keepLines w:val="0"/>
            <w:pageBreakBefore w:val="0"/>
            <w:widowControl/>
            <w:tabs>
              <w:tab w:val="right" w:leader="dot" w:pos="9152"/>
            </w:tabs>
            <w:kinsoku/>
            <w:wordWrap/>
            <w:overflowPunct/>
            <w:topLinePunct w:val="0"/>
            <w:autoSpaceDE/>
            <w:autoSpaceDN/>
            <w:bidi w:val="0"/>
            <w:adjustRightInd/>
            <w:snapToGrid/>
            <w:spacing w:line="500" w:lineRule="exact"/>
          </w:pPr>
          <w:r>
            <w:fldChar w:fldCharType="begin"/>
          </w:r>
          <w:r>
            <w:instrText xml:space="preserve"> HYPERLINK \l _Toc19391 </w:instrText>
          </w:r>
          <w:r>
            <w:fldChar w:fldCharType="separate"/>
          </w:r>
          <w:r>
            <w:rPr>
              <w:rFonts w:ascii="宋体" w:hAnsi="宋体"/>
            </w:rPr>
            <w:t>需附：法定代表人或委托代理人身份证复印件及授权委托书</w:t>
          </w:r>
          <w:r>
            <w:tab/>
          </w:r>
          <w:r>
            <w:fldChar w:fldCharType="begin"/>
          </w:r>
          <w:r>
            <w:instrText xml:space="preserve"> PAGEREF _Toc19391 </w:instrText>
          </w:r>
          <w:r>
            <w:fldChar w:fldCharType="separate"/>
          </w:r>
          <w:r>
            <w:t>66</w:t>
          </w:r>
          <w:r>
            <w:fldChar w:fldCharType="end"/>
          </w:r>
          <w:r>
            <w:fldChar w:fldCharType="end"/>
          </w:r>
        </w:p>
        <w:p>
          <w:pPr>
            <w:pStyle w:val="11"/>
            <w:keepNext w:val="0"/>
            <w:keepLines w:val="0"/>
            <w:pageBreakBefore w:val="0"/>
            <w:widowControl/>
            <w:kinsoku/>
            <w:wordWrap/>
            <w:overflowPunct/>
            <w:topLinePunct w:val="0"/>
            <w:autoSpaceDE/>
            <w:autoSpaceDN/>
            <w:bidi w:val="0"/>
            <w:adjustRightInd/>
            <w:snapToGrid/>
            <w:spacing w:line="500" w:lineRule="exact"/>
            <w:ind w:firstLine="0" w:firstLineChars="0"/>
          </w:pPr>
          <w:r>
            <w:fldChar w:fldCharType="end"/>
          </w:r>
        </w:p>
      </w:sdtContent>
    </w:sdt>
    <w:p/>
    <w:p/>
    <w:p/>
    <w:p/>
    <w:p/>
    <w:p>
      <w:pPr>
        <w:pStyle w:val="2"/>
      </w:pPr>
    </w:p>
    <w:p>
      <w:pPr>
        <w:pStyle w:val="2"/>
      </w:pPr>
    </w:p>
    <w:p>
      <w:pPr>
        <w:pStyle w:val="2"/>
      </w:pPr>
    </w:p>
    <w:p>
      <w:pPr>
        <w:pStyle w:val="2"/>
      </w:pPr>
    </w:p>
    <w:p>
      <w:pPr>
        <w:pStyle w:val="2"/>
      </w:pPr>
    </w:p>
    <w:p>
      <w:pPr>
        <w:pStyle w:val="2"/>
      </w:pPr>
    </w:p>
    <w:p>
      <w:pPr>
        <w:pStyle w:val="2"/>
      </w:pPr>
    </w:p>
    <w:p>
      <w:pPr>
        <w:pStyle w:val="2"/>
      </w:pPr>
    </w:p>
    <w:p>
      <w:pPr>
        <w:pStyle w:val="21"/>
        <w:outlineLvl w:val="0"/>
        <w:rPr>
          <w:rStyle w:val="18"/>
          <w:rFonts w:ascii="宋体" w:hAnsi="宋体" w:cs="宋体"/>
        </w:rPr>
      </w:pPr>
      <w:bookmarkStart w:id="0" w:name="_Toc31444"/>
      <w:bookmarkStart w:id="1" w:name="_Toc25544"/>
      <w:bookmarkStart w:id="2" w:name="_Toc5316"/>
      <w:r>
        <w:rPr>
          <w:rStyle w:val="18"/>
          <w:rFonts w:ascii="宋体" w:hAnsi="宋体" w:cs="宋体"/>
        </w:rPr>
        <w:t>第一章  招标公告</w:t>
      </w:r>
      <w:bookmarkEnd w:id="0"/>
      <w:bookmarkEnd w:id="1"/>
      <w:bookmarkEnd w:id="2"/>
    </w:p>
    <w:p>
      <w:pPr>
        <w:rPr>
          <w:rStyle w:val="18"/>
        </w:rPr>
      </w:pPr>
    </w:p>
    <w:p>
      <w:pPr>
        <w:spacing w:line="360" w:lineRule="auto"/>
        <w:ind w:firstLine="480" w:firstLineChars="200"/>
        <w:jc w:val="left"/>
        <w:rPr>
          <w:rStyle w:val="18"/>
          <w:rFonts w:ascii="宋体" w:hAnsi="宋体"/>
          <w:sz w:val="24"/>
        </w:rPr>
      </w:pPr>
      <w:r>
        <w:rPr>
          <w:rStyle w:val="18"/>
          <w:rFonts w:ascii="宋体" w:hAnsi="宋体"/>
          <w:kern w:val="0"/>
          <w:sz w:val="24"/>
        </w:rPr>
        <w:t>项目概况：</w:t>
      </w:r>
      <w:r>
        <w:rPr>
          <w:rStyle w:val="18"/>
          <w:rFonts w:hint="eastAsia" w:ascii="宋体" w:hAnsi="宋体"/>
          <w:sz w:val="24"/>
          <w:u w:val="single"/>
        </w:rPr>
        <w:t>粮食物流项目绿色储粮专项设备采购项目</w:t>
      </w:r>
      <w:r>
        <w:rPr>
          <w:rStyle w:val="18"/>
          <w:rFonts w:ascii="宋体" w:hAnsi="宋体"/>
          <w:kern w:val="0"/>
          <w:sz w:val="24"/>
        </w:rPr>
        <w:t>的潜在投标人应在大丰公共资源交易平台(http://221.231.122.12/dfhy/)获取招标文件，</w:t>
      </w:r>
      <w:r>
        <w:rPr>
          <w:rStyle w:val="18"/>
          <w:rFonts w:hint="eastAsia" w:ascii="宋体" w:hAnsi="宋体"/>
          <w:sz w:val="24"/>
        </w:rPr>
        <w:t>并于2021年3月</w:t>
      </w:r>
      <w:r>
        <w:rPr>
          <w:rStyle w:val="18"/>
          <w:rFonts w:hint="eastAsia" w:ascii="宋体" w:hAnsi="宋体"/>
          <w:sz w:val="24"/>
          <w:lang w:val="en-US" w:eastAsia="zh-CN"/>
        </w:rPr>
        <w:t>1</w:t>
      </w:r>
      <w:r>
        <w:rPr>
          <w:rStyle w:val="18"/>
          <w:rFonts w:hint="eastAsia" w:ascii="宋体" w:hAnsi="宋体"/>
          <w:sz w:val="24"/>
        </w:rPr>
        <w:t>日</w:t>
      </w:r>
      <w:r>
        <w:rPr>
          <w:rStyle w:val="18"/>
          <w:rFonts w:hint="eastAsia" w:ascii="宋体" w:hAnsi="宋体"/>
          <w:sz w:val="24"/>
          <w:lang w:val="en-US" w:eastAsia="zh-CN"/>
        </w:rPr>
        <w:t>9</w:t>
      </w:r>
      <w:r>
        <w:rPr>
          <w:rStyle w:val="18"/>
          <w:rFonts w:hint="eastAsia" w:ascii="宋体" w:hAnsi="宋体"/>
          <w:sz w:val="24"/>
        </w:rPr>
        <w:t>时</w:t>
      </w:r>
      <w:r>
        <w:rPr>
          <w:rStyle w:val="18"/>
          <w:rFonts w:hint="eastAsia" w:ascii="宋体" w:hAnsi="宋体"/>
          <w:sz w:val="24"/>
          <w:lang w:val="en-US" w:eastAsia="zh-CN"/>
        </w:rPr>
        <w:t>00</w:t>
      </w:r>
      <w:r>
        <w:rPr>
          <w:rStyle w:val="18"/>
          <w:rFonts w:hint="eastAsia" w:ascii="宋体" w:hAnsi="宋体"/>
          <w:sz w:val="24"/>
        </w:rPr>
        <w:t xml:space="preserve"> 分（北京时间）前递交投标文件。</w:t>
      </w:r>
    </w:p>
    <w:p>
      <w:pPr>
        <w:shd w:val="clear" w:color="auto" w:fill="FFFFFF"/>
        <w:spacing w:line="360" w:lineRule="auto"/>
        <w:ind w:firstLine="480"/>
        <w:jc w:val="left"/>
        <w:rPr>
          <w:rStyle w:val="18"/>
          <w:rFonts w:ascii="宋体" w:hAnsi="宋体"/>
          <w:sz w:val="24"/>
        </w:rPr>
      </w:pPr>
      <w:r>
        <w:rPr>
          <w:rStyle w:val="14"/>
          <w:rFonts w:ascii="宋体" w:hAnsi="宋体" w:cs="宋体"/>
          <w:kern w:val="0"/>
          <w:sz w:val="24"/>
        </w:rPr>
        <w:t>一、项目基本情况</w:t>
      </w:r>
    </w:p>
    <w:p>
      <w:pPr>
        <w:shd w:val="clear" w:color="auto" w:fill="FFFFFF"/>
        <w:spacing w:line="360" w:lineRule="auto"/>
        <w:ind w:firstLine="480"/>
        <w:jc w:val="left"/>
        <w:rPr>
          <w:rStyle w:val="18"/>
          <w:rFonts w:ascii="宋体" w:hAnsi="宋体"/>
          <w:sz w:val="24"/>
        </w:rPr>
      </w:pPr>
      <w:r>
        <w:rPr>
          <w:rStyle w:val="18"/>
          <w:rFonts w:ascii="宋体" w:hAnsi="宋体"/>
          <w:kern w:val="0"/>
          <w:sz w:val="24"/>
        </w:rPr>
        <w:t>1、项目编号：</w:t>
      </w:r>
      <w:r>
        <w:rPr>
          <w:rStyle w:val="18"/>
          <w:rFonts w:ascii="宋体" w:hAnsi="宋体"/>
          <w:kern w:val="0"/>
          <w:sz w:val="24"/>
          <w:szCs w:val="22"/>
          <w:u w:val="single"/>
        </w:rPr>
        <w:t>DFCG20210034</w:t>
      </w:r>
    </w:p>
    <w:p>
      <w:pPr>
        <w:shd w:val="clear" w:color="auto" w:fill="FFFFFF"/>
        <w:spacing w:line="360" w:lineRule="auto"/>
        <w:ind w:firstLine="480"/>
        <w:jc w:val="left"/>
        <w:rPr>
          <w:rStyle w:val="18"/>
          <w:rFonts w:ascii="宋体" w:hAnsi="宋体"/>
          <w:sz w:val="24"/>
          <w:u w:val="single"/>
        </w:rPr>
      </w:pPr>
      <w:r>
        <w:rPr>
          <w:rStyle w:val="18"/>
          <w:rFonts w:ascii="宋体" w:hAnsi="宋体"/>
          <w:kern w:val="0"/>
          <w:sz w:val="24"/>
        </w:rPr>
        <w:t>2、项目名称：</w:t>
      </w:r>
      <w:r>
        <w:rPr>
          <w:rStyle w:val="18"/>
          <w:rFonts w:hint="eastAsia" w:ascii="宋体" w:hAnsi="宋体"/>
          <w:sz w:val="24"/>
          <w:u w:val="single"/>
        </w:rPr>
        <w:t>粮食物流项目绿色储粮专项设备采购项目</w:t>
      </w:r>
    </w:p>
    <w:p>
      <w:pPr>
        <w:shd w:val="clear" w:color="auto" w:fill="FFFFFF"/>
        <w:spacing w:line="360" w:lineRule="auto"/>
        <w:ind w:firstLine="480"/>
        <w:jc w:val="left"/>
        <w:rPr>
          <w:rStyle w:val="18"/>
          <w:rFonts w:ascii="宋体" w:hAnsi="宋体"/>
          <w:sz w:val="24"/>
        </w:rPr>
      </w:pPr>
      <w:r>
        <w:rPr>
          <w:rStyle w:val="18"/>
          <w:rFonts w:ascii="宋体" w:hAnsi="宋体"/>
          <w:kern w:val="0"/>
          <w:sz w:val="24"/>
        </w:rPr>
        <w:t>3、预算金额：</w:t>
      </w:r>
      <w:r>
        <w:rPr>
          <w:rStyle w:val="18"/>
          <w:rFonts w:hint="eastAsia" w:ascii="宋体" w:hAnsi="宋体"/>
          <w:kern w:val="0"/>
          <w:sz w:val="24"/>
          <w:u w:val="single"/>
        </w:rPr>
        <w:t>653</w:t>
      </w:r>
      <w:r>
        <w:rPr>
          <w:rStyle w:val="18"/>
          <w:rFonts w:ascii="宋体" w:hAnsi="宋体"/>
          <w:kern w:val="0"/>
          <w:sz w:val="24"/>
          <w:u w:val="single"/>
        </w:rPr>
        <w:t>万元</w:t>
      </w:r>
    </w:p>
    <w:p>
      <w:pPr>
        <w:shd w:val="clear" w:color="auto" w:fill="FFFFFF"/>
        <w:spacing w:line="360" w:lineRule="auto"/>
        <w:ind w:firstLine="480"/>
        <w:jc w:val="left"/>
        <w:rPr>
          <w:rStyle w:val="18"/>
          <w:rFonts w:ascii="宋体" w:hAnsi="宋体"/>
          <w:sz w:val="24"/>
        </w:rPr>
      </w:pPr>
      <w:r>
        <w:rPr>
          <w:rStyle w:val="18"/>
          <w:rFonts w:ascii="宋体" w:hAnsi="宋体"/>
          <w:kern w:val="0"/>
          <w:sz w:val="24"/>
        </w:rPr>
        <w:t>4、最高限价：</w:t>
      </w:r>
      <w:r>
        <w:rPr>
          <w:rStyle w:val="18"/>
          <w:rFonts w:hint="eastAsia" w:ascii="宋体" w:hAnsi="宋体"/>
          <w:kern w:val="0"/>
          <w:sz w:val="24"/>
          <w:u w:val="single"/>
        </w:rPr>
        <w:t>613.82</w:t>
      </w:r>
      <w:r>
        <w:rPr>
          <w:rStyle w:val="18"/>
          <w:rFonts w:ascii="宋体" w:hAnsi="宋体"/>
          <w:kern w:val="0"/>
          <w:sz w:val="24"/>
          <w:u w:val="single"/>
        </w:rPr>
        <w:t>万元</w:t>
      </w:r>
    </w:p>
    <w:p>
      <w:pPr>
        <w:shd w:val="clear" w:color="auto" w:fill="FFFFFF"/>
        <w:spacing w:line="360" w:lineRule="auto"/>
        <w:ind w:firstLine="480"/>
        <w:jc w:val="left"/>
        <w:rPr>
          <w:rStyle w:val="18"/>
          <w:rFonts w:ascii="宋体" w:hAnsi="宋体"/>
          <w:sz w:val="24"/>
          <w:u w:val="single"/>
        </w:rPr>
      </w:pPr>
      <w:r>
        <w:rPr>
          <w:rStyle w:val="18"/>
          <w:rFonts w:ascii="宋体" w:hAnsi="宋体"/>
          <w:kern w:val="0"/>
          <w:sz w:val="24"/>
        </w:rPr>
        <w:t>5、采购需求：</w:t>
      </w:r>
      <w:r>
        <w:rPr>
          <w:rStyle w:val="18"/>
          <w:rFonts w:hint="eastAsia" w:ascii="宋体" w:hAnsi="宋体"/>
          <w:sz w:val="24"/>
          <w:u w:val="single"/>
        </w:rPr>
        <w:t>具</w:t>
      </w:r>
      <w:bookmarkStart w:id="72" w:name="_GoBack"/>
      <w:r>
        <w:rPr>
          <w:rStyle w:val="18"/>
          <w:rFonts w:hint="eastAsia" w:ascii="宋体" w:hAnsi="宋体"/>
          <w:sz w:val="24"/>
          <w:u w:val="single"/>
        </w:rPr>
        <w:t>体建设内容包括低温储粮系统、通风熏蒸系统、氮气气调系统、粮情检测系统等</w:t>
      </w:r>
      <w:bookmarkEnd w:id="72"/>
      <w:r>
        <w:rPr>
          <w:rStyle w:val="18"/>
          <w:rFonts w:hint="eastAsia" w:ascii="宋体" w:hAnsi="宋体"/>
          <w:sz w:val="24"/>
          <w:u w:val="single"/>
        </w:rPr>
        <w:t>，详见《招标需求》</w:t>
      </w:r>
    </w:p>
    <w:p>
      <w:pPr>
        <w:shd w:val="clear" w:color="auto" w:fill="FFFFFF"/>
        <w:spacing w:line="360" w:lineRule="auto"/>
        <w:ind w:firstLine="480"/>
        <w:jc w:val="left"/>
        <w:rPr>
          <w:rStyle w:val="18"/>
          <w:rFonts w:ascii="宋体" w:hAnsi="宋体"/>
          <w:sz w:val="24"/>
          <w:szCs w:val="22"/>
          <w:u w:val="single"/>
        </w:rPr>
      </w:pPr>
      <w:r>
        <w:rPr>
          <w:rStyle w:val="18"/>
          <w:rFonts w:ascii="宋体" w:hAnsi="宋体"/>
          <w:kern w:val="0"/>
          <w:sz w:val="24"/>
        </w:rPr>
        <w:t>6、项目完成期限：</w:t>
      </w:r>
      <w:r>
        <w:rPr>
          <w:rStyle w:val="18"/>
          <w:rFonts w:hint="eastAsia" w:ascii="宋体" w:hAnsi="宋体"/>
          <w:sz w:val="24"/>
          <w:szCs w:val="22"/>
          <w:u w:val="single"/>
        </w:rPr>
        <w:t>合同签订后70日历天内完成所有设备、系统安装及调试并经验收合格工作且均不影响项目总工期目标。</w:t>
      </w:r>
    </w:p>
    <w:p>
      <w:pPr>
        <w:shd w:val="clear" w:color="auto" w:fill="FFFFFF"/>
        <w:spacing w:line="360" w:lineRule="auto"/>
        <w:ind w:firstLine="480"/>
        <w:jc w:val="left"/>
        <w:rPr>
          <w:rStyle w:val="18"/>
          <w:rFonts w:ascii="宋体" w:hAnsi="宋体"/>
          <w:sz w:val="24"/>
        </w:rPr>
      </w:pPr>
      <w:r>
        <w:rPr>
          <w:rStyle w:val="18"/>
          <w:rFonts w:ascii="宋体" w:hAnsi="宋体"/>
          <w:kern w:val="0"/>
          <w:sz w:val="24"/>
        </w:rPr>
        <w:t>7、本项目不接受联合体投标。</w:t>
      </w:r>
    </w:p>
    <w:p>
      <w:pPr>
        <w:shd w:val="clear" w:color="auto" w:fill="FFFFFF"/>
        <w:spacing w:line="360" w:lineRule="auto"/>
        <w:ind w:firstLine="480"/>
        <w:jc w:val="left"/>
        <w:rPr>
          <w:rStyle w:val="18"/>
          <w:rFonts w:ascii="宋体" w:hAnsi="宋体"/>
          <w:sz w:val="24"/>
        </w:rPr>
      </w:pPr>
      <w:r>
        <w:rPr>
          <w:rStyle w:val="14"/>
          <w:rFonts w:ascii="宋体" w:hAnsi="宋体" w:cs="宋体"/>
          <w:kern w:val="0"/>
          <w:sz w:val="24"/>
        </w:rPr>
        <w:t>二、申请人的资格要求：</w:t>
      </w:r>
    </w:p>
    <w:p>
      <w:pPr>
        <w:shd w:val="clear" w:color="auto" w:fill="FFFFFF"/>
        <w:spacing w:line="360" w:lineRule="auto"/>
        <w:ind w:firstLine="480"/>
        <w:jc w:val="left"/>
        <w:rPr>
          <w:rStyle w:val="18"/>
          <w:rFonts w:ascii="宋体" w:hAnsi="宋体"/>
          <w:sz w:val="24"/>
        </w:rPr>
      </w:pPr>
      <w:r>
        <w:rPr>
          <w:rStyle w:val="18"/>
          <w:rFonts w:ascii="宋体" w:hAnsi="宋体"/>
          <w:kern w:val="0"/>
          <w:sz w:val="24"/>
        </w:rPr>
        <w:t>1、投标人须满足《中华人民共和国政府采购法》第二十二条规定；</w:t>
      </w:r>
    </w:p>
    <w:p>
      <w:pPr>
        <w:shd w:val="clear" w:color="auto" w:fill="FFFFFF"/>
        <w:spacing w:line="360" w:lineRule="auto"/>
        <w:ind w:firstLine="480"/>
        <w:jc w:val="left"/>
      </w:pPr>
      <w:r>
        <w:rPr>
          <w:rStyle w:val="18"/>
          <w:rFonts w:ascii="宋体" w:hAnsi="宋体"/>
          <w:kern w:val="0"/>
          <w:sz w:val="24"/>
        </w:rPr>
        <w:t>（1）</w:t>
      </w:r>
      <w:r>
        <w:rPr>
          <w:rFonts w:ascii="宋体" w:hAnsi="宋体" w:cs="宋体"/>
          <w:color w:val="000000"/>
          <w:sz w:val="24"/>
        </w:rPr>
        <w:t>投标人具有建筑机电安装工程专业承包叁级或机电工程施工总承包叁级</w:t>
      </w:r>
      <w:r>
        <w:rPr>
          <w:rFonts w:hint="eastAsia" w:ascii="宋体" w:hAnsi="宋体" w:cs="宋体"/>
          <w:color w:val="000000"/>
          <w:sz w:val="24"/>
        </w:rPr>
        <w:t>的</w:t>
      </w:r>
      <w:r>
        <w:rPr>
          <w:rStyle w:val="18"/>
          <w:rFonts w:ascii="宋体" w:hAnsi="宋体"/>
          <w:kern w:val="0"/>
          <w:sz w:val="24"/>
        </w:rPr>
        <w:t>独立法人资格，具有独立订立合同的能力，近三年内没有严重违约和重大质量问题，未处于被责令停业、财产被接管、冻结、破产等状态；</w:t>
      </w:r>
    </w:p>
    <w:p>
      <w:pPr>
        <w:shd w:val="clear" w:color="auto" w:fill="FFFFFF"/>
        <w:spacing w:line="360" w:lineRule="auto"/>
        <w:ind w:firstLine="480"/>
        <w:jc w:val="left"/>
        <w:rPr>
          <w:rStyle w:val="18"/>
          <w:rFonts w:ascii="宋体" w:hAnsi="宋体"/>
          <w:kern w:val="0"/>
          <w:sz w:val="24"/>
        </w:rPr>
      </w:pPr>
      <w:r>
        <w:rPr>
          <w:rStyle w:val="18"/>
          <w:rFonts w:ascii="宋体" w:hAnsi="宋体"/>
          <w:kern w:val="0"/>
          <w:sz w:val="24"/>
        </w:rPr>
        <w:t>（2）投标人应保证招标人在使用该采购设备或其任何一部分时不受第三方提出侵犯其专利权、版权、商标权和工业设计权等知识产权的起诉。一旦出现侵权，一律由投标人承担全部责任；</w:t>
      </w:r>
    </w:p>
    <w:p>
      <w:pPr>
        <w:shd w:val="clear" w:color="auto" w:fill="FFFFFF"/>
        <w:spacing w:line="360" w:lineRule="auto"/>
        <w:ind w:firstLine="480"/>
        <w:jc w:val="left"/>
        <w:rPr>
          <w:rStyle w:val="18"/>
          <w:rFonts w:ascii="宋体" w:hAnsi="宋体"/>
          <w:kern w:val="0"/>
          <w:sz w:val="24"/>
        </w:rPr>
      </w:pPr>
      <w:r>
        <w:rPr>
          <w:rStyle w:val="18"/>
          <w:rFonts w:ascii="宋体" w:hAnsi="宋体"/>
          <w:kern w:val="0"/>
          <w:sz w:val="24"/>
        </w:rPr>
        <w:t>（3）单位负责人为同一人或者存在直接控股、管理关系的不同供应商，不得同时参加本项目采购活动。</w:t>
      </w:r>
    </w:p>
    <w:p>
      <w:pPr>
        <w:shd w:val="clear" w:color="auto" w:fill="FFFFFF"/>
        <w:spacing w:line="360" w:lineRule="auto"/>
        <w:ind w:firstLine="480"/>
        <w:jc w:val="left"/>
        <w:rPr>
          <w:rStyle w:val="18"/>
          <w:rFonts w:ascii="宋体" w:hAnsi="宋体"/>
          <w:sz w:val="24"/>
        </w:rPr>
      </w:pPr>
      <w:r>
        <w:rPr>
          <w:rStyle w:val="18"/>
          <w:rFonts w:ascii="宋体" w:hAnsi="宋体"/>
          <w:kern w:val="0"/>
          <w:sz w:val="24"/>
        </w:rPr>
        <w:t>2、采购人谢绝投标人以联合体形式投标。</w:t>
      </w:r>
    </w:p>
    <w:p>
      <w:pPr>
        <w:shd w:val="clear" w:color="auto" w:fill="FFFFFF"/>
        <w:spacing w:line="360" w:lineRule="auto"/>
        <w:ind w:firstLine="480"/>
        <w:jc w:val="left"/>
        <w:rPr>
          <w:rStyle w:val="18"/>
          <w:rFonts w:ascii="宋体" w:hAnsi="宋体"/>
          <w:sz w:val="24"/>
        </w:rPr>
      </w:pPr>
      <w:r>
        <w:rPr>
          <w:rStyle w:val="14"/>
          <w:rFonts w:ascii="宋体" w:hAnsi="宋体" w:cs="宋体"/>
          <w:kern w:val="0"/>
          <w:sz w:val="24"/>
        </w:rPr>
        <w:t>三、获取招标文件</w:t>
      </w:r>
    </w:p>
    <w:p>
      <w:pPr>
        <w:shd w:val="clear" w:color="auto" w:fill="FFFFFF"/>
        <w:spacing w:line="360" w:lineRule="auto"/>
        <w:ind w:firstLine="480"/>
        <w:jc w:val="left"/>
        <w:rPr>
          <w:rStyle w:val="18"/>
          <w:rFonts w:ascii="宋体" w:hAnsi="宋体"/>
          <w:kern w:val="0"/>
          <w:sz w:val="24"/>
        </w:rPr>
      </w:pPr>
      <w:r>
        <w:rPr>
          <w:rStyle w:val="18"/>
          <w:rFonts w:hint="eastAsia" w:ascii="宋体" w:hAnsi="宋体"/>
          <w:kern w:val="0"/>
          <w:sz w:val="24"/>
        </w:rPr>
        <w:t>1、各潜在投标人采用网上方式报名及下载招标文件，具体步骤如下：</w:t>
      </w:r>
    </w:p>
    <w:p>
      <w:pPr>
        <w:shd w:val="clear" w:color="auto" w:fill="FFFFFF"/>
        <w:spacing w:line="360" w:lineRule="auto"/>
        <w:ind w:firstLine="480"/>
        <w:jc w:val="left"/>
        <w:rPr>
          <w:rStyle w:val="18"/>
          <w:rFonts w:ascii="宋体" w:hAnsi="宋体"/>
          <w:kern w:val="0"/>
          <w:sz w:val="24"/>
        </w:rPr>
      </w:pPr>
      <w:r>
        <w:rPr>
          <w:rStyle w:val="18"/>
          <w:rFonts w:hint="eastAsia" w:ascii="宋体" w:hAnsi="宋体"/>
          <w:kern w:val="0"/>
          <w:sz w:val="24"/>
        </w:rPr>
        <w:t>⑴各潜在投标人（供应商）下载采购类项目网上报名操作指南（网址：http://ggzy.dafeng.gov.cn/dfweb/InfoDetail/?InfoID=8a98b92b-4bd3-4d80-afcf-ddb1d664dfbf&amp;CategoryNum=029）；</w:t>
      </w:r>
    </w:p>
    <w:p>
      <w:pPr>
        <w:shd w:val="clear" w:color="auto" w:fill="FFFFFF"/>
        <w:spacing w:line="360" w:lineRule="auto"/>
        <w:ind w:firstLine="480"/>
        <w:jc w:val="left"/>
        <w:rPr>
          <w:rStyle w:val="18"/>
          <w:rFonts w:ascii="宋体" w:hAnsi="宋体"/>
          <w:kern w:val="0"/>
          <w:sz w:val="24"/>
        </w:rPr>
      </w:pPr>
      <w:r>
        <w:rPr>
          <w:rStyle w:val="18"/>
          <w:rFonts w:hint="eastAsia" w:ascii="宋体" w:hAnsi="宋体"/>
          <w:kern w:val="0"/>
          <w:sz w:val="24"/>
        </w:rPr>
        <w:t>⑵各潜在投标人根据网上报名操作指南进行操作，仔细阅读采购类项目网上报名操作指南，认真掌握操作方法(请牢记登录名和密码)，确保信息准确无误，如填报错误,后果由投标单位自行承担；</w:t>
      </w:r>
    </w:p>
    <w:p>
      <w:pPr>
        <w:shd w:val="clear" w:color="auto" w:fill="FFFFFF"/>
        <w:spacing w:line="360" w:lineRule="auto"/>
        <w:ind w:firstLine="480"/>
        <w:jc w:val="left"/>
        <w:rPr>
          <w:rStyle w:val="18"/>
          <w:rFonts w:ascii="宋体" w:hAnsi="宋体"/>
          <w:kern w:val="0"/>
          <w:sz w:val="24"/>
        </w:rPr>
      </w:pPr>
      <w:r>
        <w:rPr>
          <w:rStyle w:val="18"/>
          <w:rFonts w:hint="eastAsia" w:ascii="宋体" w:hAnsi="宋体"/>
          <w:kern w:val="0"/>
          <w:sz w:val="24"/>
        </w:rPr>
        <w:t>⑶各潜在投标人（供应商）在交纳招标文件工本费并下载招标文件后，报名视为成功。若未交纳招标文件工本费或未在报名系统下载招标文件，均视为未报名 (本项目招标文件售价：详见报名系统)；</w:t>
      </w:r>
    </w:p>
    <w:p>
      <w:pPr>
        <w:shd w:val="clear" w:color="auto" w:fill="FFFFFF"/>
        <w:spacing w:line="360" w:lineRule="auto"/>
        <w:ind w:firstLine="480"/>
        <w:jc w:val="left"/>
        <w:rPr>
          <w:rStyle w:val="18"/>
          <w:rFonts w:ascii="宋体" w:hAnsi="宋体"/>
          <w:kern w:val="0"/>
          <w:sz w:val="24"/>
        </w:rPr>
      </w:pPr>
      <w:r>
        <w:rPr>
          <w:rStyle w:val="18"/>
          <w:rFonts w:hint="eastAsia" w:ascii="宋体" w:hAnsi="宋体"/>
          <w:kern w:val="0"/>
          <w:sz w:val="24"/>
        </w:rPr>
        <w:t>⑷登录大丰公共资源交易平台-点击查看“招投标常见问题”，或者拨打0515-83927018，或者加入QQ群（问题解决群）：384422310；</w:t>
      </w:r>
    </w:p>
    <w:p>
      <w:pPr>
        <w:shd w:val="clear" w:color="auto" w:fill="FFFFFF"/>
        <w:spacing w:line="360" w:lineRule="auto"/>
        <w:ind w:firstLine="480"/>
        <w:jc w:val="left"/>
        <w:rPr>
          <w:rStyle w:val="18"/>
          <w:rFonts w:ascii="宋体" w:hAnsi="宋体"/>
          <w:kern w:val="0"/>
          <w:sz w:val="24"/>
        </w:rPr>
      </w:pPr>
      <w:r>
        <w:rPr>
          <w:rStyle w:val="18"/>
          <w:rFonts w:hint="eastAsia" w:ascii="宋体" w:hAnsi="宋体"/>
          <w:kern w:val="0"/>
          <w:sz w:val="24"/>
        </w:rPr>
        <w:t>⑸售价：250元/份。</w:t>
      </w:r>
    </w:p>
    <w:p>
      <w:pPr>
        <w:shd w:val="clear" w:color="auto" w:fill="FFFFFF"/>
        <w:spacing w:line="360" w:lineRule="auto"/>
        <w:ind w:firstLine="480"/>
        <w:jc w:val="left"/>
        <w:rPr>
          <w:rStyle w:val="18"/>
          <w:rFonts w:ascii="宋体" w:hAnsi="宋体"/>
          <w:kern w:val="0"/>
          <w:sz w:val="24"/>
        </w:rPr>
      </w:pPr>
      <w:r>
        <w:rPr>
          <w:rStyle w:val="18"/>
          <w:rFonts w:hint="eastAsia" w:ascii="宋体" w:hAnsi="宋体"/>
          <w:kern w:val="0"/>
          <w:sz w:val="24"/>
        </w:rPr>
        <w:t xml:space="preserve">2、请各投标申请人于2021年 2 月8 日至2021年2 月 </w:t>
      </w:r>
      <w:r>
        <w:rPr>
          <w:rStyle w:val="18"/>
          <w:rFonts w:hint="eastAsia" w:ascii="宋体" w:hAnsi="宋体"/>
          <w:kern w:val="0"/>
          <w:sz w:val="24"/>
          <w:lang w:val="en-US" w:eastAsia="zh-CN"/>
        </w:rPr>
        <w:t>20</w:t>
      </w:r>
      <w:r>
        <w:rPr>
          <w:rStyle w:val="18"/>
          <w:rFonts w:hint="eastAsia" w:ascii="宋体" w:hAnsi="宋体"/>
          <w:kern w:val="0"/>
          <w:sz w:val="24"/>
        </w:rPr>
        <w:t>日进行网上报名及下载招标文件，如在规定时间内未下载招标文件，由此引起的责任自负</w:t>
      </w:r>
    </w:p>
    <w:p>
      <w:pPr>
        <w:shd w:val="clear" w:color="auto" w:fill="FFFFFF"/>
        <w:spacing w:line="360" w:lineRule="auto"/>
        <w:ind w:firstLine="480"/>
        <w:jc w:val="left"/>
        <w:rPr>
          <w:rStyle w:val="14"/>
          <w:rFonts w:ascii="宋体" w:hAnsi="宋体" w:cs="宋体"/>
          <w:kern w:val="0"/>
          <w:sz w:val="24"/>
        </w:rPr>
      </w:pPr>
      <w:r>
        <w:rPr>
          <w:rStyle w:val="14"/>
          <w:rFonts w:ascii="宋体" w:hAnsi="宋体" w:cs="宋体"/>
          <w:kern w:val="0"/>
          <w:sz w:val="24"/>
        </w:rPr>
        <w:t>四、提交投标文件截止时间、开标时间和地点</w:t>
      </w:r>
    </w:p>
    <w:p>
      <w:pPr>
        <w:shd w:val="clear" w:color="auto" w:fill="FFFFFF"/>
        <w:spacing w:line="360" w:lineRule="auto"/>
        <w:ind w:firstLine="480"/>
        <w:jc w:val="left"/>
        <w:rPr>
          <w:rStyle w:val="18"/>
          <w:rFonts w:ascii="宋体" w:hAnsi="宋体"/>
          <w:kern w:val="0"/>
          <w:sz w:val="24"/>
        </w:rPr>
      </w:pPr>
      <w:r>
        <w:rPr>
          <w:rStyle w:val="18"/>
          <w:rFonts w:hint="eastAsia" w:ascii="宋体" w:hAnsi="宋体"/>
          <w:kern w:val="0"/>
          <w:sz w:val="24"/>
        </w:rPr>
        <w:t>1、纸质投标文件的递交开始时间：2021年3月1 日8 时30 分</w:t>
      </w:r>
    </w:p>
    <w:p>
      <w:pPr>
        <w:shd w:val="clear" w:color="auto" w:fill="FFFFFF"/>
        <w:spacing w:line="360" w:lineRule="auto"/>
        <w:ind w:firstLine="480"/>
        <w:jc w:val="left"/>
        <w:rPr>
          <w:rStyle w:val="18"/>
          <w:rFonts w:ascii="宋体" w:hAnsi="宋体"/>
          <w:kern w:val="0"/>
          <w:sz w:val="24"/>
        </w:rPr>
      </w:pPr>
      <w:r>
        <w:rPr>
          <w:rStyle w:val="18"/>
          <w:rFonts w:hint="eastAsia" w:ascii="宋体" w:hAnsi="宋体"/>
          <w:kern w:val="0"/>
          <w:sz w:val="24"/>
        </w:rPr>
        <w:t>2、纸质投标文件的递交截止时间、投标保证金缴纳截止时间：2021年 3 月 1日 9时 00 分</w:t>
      </w:r>
    </w:p>
    <w:p>
      <w:pPr>
        <w:shd w:val="clear" w:color="auto" w:fill="FFFFFF"/>
        <w:spacing w:line="360" w:lineRule="auto"/>
        <w:ind w:firstLine="480"/>
        <w:jc w:val="left"/>
        <w:rPr>
          <w:rStyle w:val="18"/>
          <w:rFonts w:ascii="宋体" w:hAnsi="宋体"/>
          <w:kern w:val="0"/>
          <w:sz w:val="24"/>
        </w:rPr>
      </w:pPr>
      <w:r>
        <w:rPr>
          <w:rStyle w:val="18"/>
          <w:rFonts w:hint="eastAsia" w:ascii="宋体" w:hAnsi="宋体"/>
          <w:kern w:val="0"/>
          <w:sz w:val="24"/>
        </w:rPr>
        <w:t>开标时间：2021年 3 月1 日 9 时00 分（北京时间）</w:t>
      </w:r>
    </w:p>
    <w:p>
      <w:pPr>
        <w:shd w:val="clear" w:color="auto" w:fill="FFFFFF"/>
        <w:spacing w:line="360" w:lineRule="auto"/>
        <w:ind w:firstLine="480"/>
        <w:jc w:val="left"/>
        <w:rPr>
          <w:rStyle w:val="18"/>
          <w:rFonts w:ascii="宋体" w:hAnsi="宋体"/>
          <w:kern w:val="0"/>
          <w:sz w:val="24"/>
        </w:rPr>
      </w:pPr>
      <w:r>
        <w:rPr>
          <w:rStyle w:val="18"/>
          <w:rFonts w:hint="eastAsia" w:ascii="宋体" w:hAnsi="宋体"/>
          <w:kern w:val="0"/>
          <w:sz w:val="24"/>
        </w:rPr>
        <w:t>3、地点：盐城市大丰区丰华国际大厦1楼大厅咨询台，北门进。（大丰区飞达东路100号）</w:t>
      </w:r>
    </w:p>
    <w:p>
      <w:pPr>
        <w:shd w:val="clear" w:color="auto" w:fill="FFFFFF"/>
        <w:spacing w:line="360" w:lineRule="auto"/>
        <w:ind w:firstLine="480"/>
        <w:jc w:val="left"/>
        <w:rPr>
          <w:rStyle w:val="18"/>
          <w:rFonts w:ascii="宋体" w:hAnsi="宋体"/>
          <w:sz w:val="24"/>
        </w:rPr>
      </w:pPr>
      <w:r>
        <w:rPr>
          <w:rStyle w:val="14"/>
          <w:rFonts w:ascii="宋体" w:hAnsi="宋体" w:cs="宋体"/>
          <w:kern w:val="0"/>
          <w:sz w:val="24"/>
        </w:rPr>
        <w:t>五、公告期限</w:t>
      </w:r>
    </w:p>
    <w:p>
      <w:pPr>
        <w:shd w:val="clear" w:color="auto" w:fill="FFFFFF"/>
        <w:spacing w:line="360" w:lineRule="auto"/>
        <w:ind w:firstLine="480"/>
        <w:jc w:val="left"/>
        <w:rPr>
          <w:rStyle w:val="18"/>
          <w:rFonts w:ascii="宋体" w:hAnsi="宋体"/>
          <w:sz w:val="24"/>
        </w:rPr>
      </w:pPr>
      <w:r>
        <w:rPr>
          <w:rStyle w:val="18"/>
          <w:rFonts w:ascii="宋体" w:hAnsi="宋体"/>
          <w:kern w:val="0"/>
          <w:sz w:val="24"/>
        </w:rPr>
        <w:t>自本公告发布之日起5个工作日。</w:t>
      </w:r>
    </w:p>
    <w:p>
      <w:pPr>
        <w:numPr>
          <w:ilvl w:val="0"/>
          <w:numId w:val="1"/>
        </w:numPr>
        <w:shd w:val="clear" w:color="auto" w:fill="FFFFFF"/>
        <w:spacing w:line="360" w:lineRule="auto"/>
        <w:ind w:firstLine="480"/>
        <w:jc w:val="left"/>
        <w:rPr>
          <w:rStyle w:val="14"/>
          <w:rFonts w:ascii="宋体" w:hAnsi="宋体" w:cs="宋体"/>
          <w:kern w:val="0"/>
          <w:sz w:val="24"/>
        </w:rPr>
      </w:pPr>
      <w:r>
        <w:rPr>
          <w:rStyle w:val="14"/>
          <w:rFonts w:ascii="宋体" w:hAnsi="宋体" w:cs="宋体"/>
          <w:kern w:val="0"/>
          <w:sz w:val="24"/>
        </w:rPr>
        <w:t>其他补充事宜</w:t>
      </w:r>
    </w:p>
    <w:p>
      <w:pPr>
        <w:shd w:val="clear" w:color="auto" w:fill="FFFFFF"/>
        <w:spacing w:line="360" w:lineRule="auto"/>
        <w:ind w:firstLine="480"/>
        <w:jc w:val="left"/>
        <w:rPr>
          <w:rStyle w:val="18"/>
          <w:rFonts w:ascii="宋体" w:hAnsi="宋体"/>
          <w:kern w:val="0"/>
          <w:sz w:val="24"/>
        </w:rPr>
      </w:pPr>
      <w:r>
        <w:rPr>
          <w:rStyle w:val="18"/>
          <w:rFonts w:hint="eastAsia" w:ascii="宋体" w:hAnsi="宋体"/>
          <w:kern w:val="0"/>
          <w:sz w:val="24"/>
        </w:rPr>
        <w:t>（一）本项目无需缴纳投标保证金</w:t>
      </w:r>
    </w:p>
    <w:p>
      <w:pPr>
        <w:spacing w:line="360" w:lineRule="auto"/>
        <w:ind w:firstLine="480"/>
        <w:jc w:val="left"/>
        <w:rPr>
          <w:rStyle w:val="18"/>
          <w:rFonts w:ascii="宋体"/>
          <w:kern w:val="0"/>
          <w:sz w:val="24"/>
        </w:rPr>
      </w:pPr>
      <w:r>
        <w:rPr>
          <w:rStyle w:val="18"/>
          <w:rFonts w:ascii="宋体" w:hAnsi="宋体"/>
          <w:kern w:val="0"/>
          <w:sz w:val="24"/>
        </w:rPr>
        <w:t>1、本项目对投标申请人的资格审查采用资格后审方式，由评标委员会根据招标文件进行评定；报名时不进行报名资料的任何审查，由潜在投标人自行判断是否符合投标资格。</w:t>
      </w:r>
    </w:p>
    <w:p>
      <w:pPr>
        <w:spacing w:line="360" w:lineRule="auto"/>
        <w:ind w:firstLine="480"/>
        <w:jc w:val="left"/>
        <w:rPr>
          <w:rStyle w:val="18"/>
          <w:rFonts w:ascii="宋体"/>
          <w:kern w:val="0"/>
          <w:sz w:val="24"/>
        </w:rPr>
      </w:pPr>
      <w:r>
        <w:rPr>
          <w:rStyle w:val="18"/>
          <w:rFonts w:ascii="宋体" w:hAnsi="宋体"/>
          <w:kern w:val="0"/>
          <w:sz w:val="24"/>
        </w:rPr>
        <w:t>2、本招标项目采用的评标方法：综合评分法</w:t>
      </w:r>
    </w:p>
    <w:p>
      <w:pPr>
        <w:spacing w:line="360" w:lineRule="auto"/>
        <w:ind w:firstLine="480"/>
        <w:jc w:val="left"/>
        <w:rPr>
          <w:rStyle w:val="18"/>
          <w:rFonts w:ascii="宋体"/>
          <w:kern w:val="0"/>
          <w:sz w:val="24"/>
        </w:rPr>
      </w:pPr>
      <w:r>
        <w:rPr>
          <w:rStyle w:val="18"/>
          <w:rFonts w:ascii="宋体" w:hAnsi="宋体"/>
          <w:kern w:val="0"/>
          <w:sz w:val="24"/>
        </w:rPr>
        <w:t>3、本招标项目招标公告发布媒介：江苏政府采购网（http://www.ccgp-jiangsu.gov.cn/）、盐城政府采购网(http://yccz.yancheng.gov.cn/col/col2383/index.html)、大丰公共资源交易平台（网址：http://ggzy.dafeng.gov.cn/dfweb/）</w:t>
      </w:r>
    </w:p>
    <w:p>
      <w:pPr>
        <w:spacing w:line="360" w:lineRule="auto"/>
        <w:ind w:firstLine="480"/>
        <w:jc w:val="left"/>
        <w:rPr>
          <w:rStyle w:val="18"/>
          <w:rFonts w:ascii="宋体" w:hAnsi="宋体"/>
          <w:kern w:val="0"/>
          <w:sz w:val="24"/>
        </w:rPr>
      </w:pPr>
      <w:r>
        <w:rPr>
          <w:rStyle w:val="18"/>
          <w:rFonts w:ascii="宋体" w:hAnsi="宋体"/>
          <w:kern w:val="0"/>
          <w:sz w:val="24"/>
        </w:rPr>
        <w:t>4、投标前请关注“大丰公共资源交易平台”的“政府采购”——</w:t>
      </w:r>
      <w:r>
        <w:rPr>
          <w:rStyle w:val="18"/>
          <w:rFonts w:ascii="宋体"/>
          <w:kern w:val="0"/>
          <w:sz w:val="24"/>
        </w:rPr>
        <w:t> </w:t>
      </w:r>
      <w:r>
        <w:rPr>
          <w:rStyle w:val="18"/>
          <w:rFonts w:ascii="宋体" w:hAnsi="宋体"/>
          <w:kern w:val="0"/>
          <w:sz w:val="24"/>
        </w:rPr>
        <w:t>“答疑补充”栏目或盐城政府采购网。及时了解到项目的“答疑补充”等情况。</w:t>
      </w:r>
    </w:p>
    <w:p>
      <w:pPr>
        <w:spacing w:line="360" w:lineRule="auto"/>
        <w:ind w:firstLine="480"/>
        <w:jc w:val="left"/>
        <w:rPr>
          <w:rStyle w:val="18"/>
          <w:rFonts w:ascii="宋体" w:hAnsi="宋体"/>
          <w:kern w:val="0"/>
          <w:sz w:val="24"/>
        </w:rPr>
      </w:pPr>
      <w:r>
        <w:rPr>
          <w:rStyle w:val="18"/>
          <w:rFonts w:ascii="宋体" w:hAnsi="宋体" w:cs="宋体"/>
          <w:bCs/>
          <w:kern w:val="0"/>
          <w:sz w:val="24"/>
        </w:rPr>
        <w:t>5、</w:t>
      </w:r>
      <w:r>
        <w:rPr>
          <w:rStyle w:val="18"/>
          <w:rFonts w:ascii="宋体" w:hAnsi="宋体"/>
          <w:kern w:val="0"/>
          <w:sz w:val="24"/>
        </w:rPr>
        <w:t>根据《国务院办公厅转发国家发展改革委关于深化公共资源交易平台整合共享指导意见的通知》（国办函〔2019〕41号）、国家发改委发布《关于积极应对疫情创新做好招投标工作保障经济平稳运行的通知》等文件精神，全面逐步推行不见面投标开标等招投标活动。结合当前疫情防控要求，本项目开标方式为不见面纸质文件开标。开标当日，投标人无需到达开标现场，仅需在任意地点通过PC端或移动端的“腾讯会议”及相应的配套硬件设备参加开标会议。</w:t>
      </w:r>
    </w:p>
    <w:p>
      <w:pPr>
        <w:spacing w:line="360" w:lineRule="auto"/>
        <w:ind w:firstLine="480"/>
        <w:jc w:val="left"/>
        <w:rPr>
          <w:rStyle w:val="18"/>
          <w:rFonts w:ascii="宋体" w:hAnsi="宋体"/>
          <w:sz w:val="24"/>
        </w:rPr>
      </w:pPr>
      <w:r>
        <w:rPr>
          <w:rStyle w:val="14"/>
          <w:rFonts w:ascii="宋体" w:hAnsi="宋体" w:cs="宋体"/>
          <w:kern w:val="0"/>
          <w:sz w:val="24"/>
        </w:rPr>
        <w:t>七、对本次招标提出询问，请按以下方式联系。</w:t>
      </w:r>
    </w:p>
    <w:p>
      <w:pPr>
        <w:shd w:val="clear" w:color="auto" w:fill="FFFFFF"/>
        <w:spacing w:line="360" w:lineRule="auto"/>
        <w:ind w:firstLine="480"/>
        <w:jc w:val="left"/>
        <w:rPr>
          <w:rStyle w:val="18"/>
          <w:rFonts w:ascii="宋体" w:hAnsi="宋体"/>
          <w:sz w:val="24"/>
        </w:rPr>
      </w:pPr>
      <w:r>
        <w:rPr>
          <w:rStyle w:val="18"/>
          <w:rFonts w:ascii="宋体" w:hAnsi="宋体"/>
          <w:kern w:val="0"/>
          <w:sz w:val="24"/>
        </w:rPr>
        <w:t>1、采购人信息</w:t>
      </w:r>
    </w:p>
    <w:p>
      <w:pPr>
        <w:spacing w:line="360" w:lineRule="auto"/>
        <w:ind w:firstLine="480"/>
        <w:jc w:val="left"/>
        <w:rPr>
          <w:rStyle w:val="18"/>
          <w:rFonts w:ascii="宋体" w:hAnsi="宋体"/>
          <w:kern w:val="0"/>
          <w:sz w:val="24"/>
          <w:u w:val="single"/>
        </w:rPr>
      </w:pPr>
      <w:r>
        <w:rPr>
          <w:rStyle w:val="18"/>
          <w:rFonts w:hint="eastAsia" w:ascii="宋体" w:hAnsi="宋体"/>
          <w:kern w:val="0"/>
          <w:sz w:val="24"/>
        </w:rPr>
        <w:t xml:space="preserve">招标人：  </w:t>
      </w:r>
      <w:r>
        <w:rPr>
          <w:rStyle w:val="18"/>
          <w:rFonts w:hint="eastAsia" w:ascii="宋体" w:hAnsi="宋体"/>
          <w:kern w:val="0"/>
          <w:sz w:val="24"/>
          <w:u w:val="single"/>
        </w:rPr>
        <w:t xml:space="preserve">盐城市瑞丰谷物有限公司 </w:t>
      </w:r>
    </w:p>
    <w:p>
      <w:pPr>
        <w:spacing w:line="360" w:lineRule="auto"/>
        <w:ind w:firstLine="480"/>
        <w:jc w:val="left"/>
        <w:rPr>
          <w:rStyle w:val="18"/>
          <w:rFonts w:ascii="宋体" w:hAnsi="宋体"/>
          <w:kern w:val="0"/>
          <w:sz w:val="24"/>
          <w:u w:val="single"/>
        </w:rPr>
      </w:pPr>
      <w:r>
        <w:rPr>
          <w:rStyle w:val="18"/>
          <w:rFonts w:ascii="宋体" w:hAnsi="宋体"/>
          <w:kern w:val="0"/>
          <w:sz w:val="24"/>
        </w:rPr>
        <w:t>联系地址：</w:t>
      </w:r>
      <w:r>
        <w:rPr>
          <w:rStyle w:val="18"/>
          <w:rFonts w:hint="eastAsia" w:ascii="宋体" w:hAnsi="宋体"/>
          <w:kern w:val="0"/>
          <w:sz w:val="24"/>
        </w:rPr>
        <w:t xml:space="preserve"> </w:t>
      </w:r>
      <w:r>
        <w:rPr>
          <w:rStyle w:val="18"/>
          <w:rFonts w:hint="eastAsia" w:ascii="宋体" w:hAnsi="宋体"/>
          <w:kern w:val="0"/>
          <w:sz w:val="24"/>
          <w:u w:val="single"/>
        </w:rPr>
        <w:t>江苏省盐城市大丰区大丰港(临港大道) </w:t>
      </w:r>
      <w:r>
        <w:rPr>
          <w:rStyle w:val="18"/>
          <w:rFonts w:hint="eastAsia" w:ascii="宋体" w:hAnsi="宋体"/>
          <w:kern w:val="0"/>
          <w:sz w:val="24"/>
        </w:rPr>
        <w:t xml:space="preserve">         </w:t>
      </w:r>
    </w:p>
    <w:p>
      <w:pPr>
        <w:spacing w:line="360" w:lineRule="auto"/>
        <w:ind w:firstLine="480"/>
        <w:jc w:val="left"/>
        <w:rPr>
          <w:rStyle w:val="18"/>
          <w:rFonts w:ascii="宋体" w:hAnsi="宋体"/>
          <w:kern w:val="0"/>
          <w:sz w:val="24"/>
          <w:u w:val="single"/>
        </w:rPr>
      </w:pPr>
      <w:r>
        <w:rPr>
          <w:rStyle w:val="18"/>
          <w:rFonts w:ascii="宋体" w:hAnsi="宋体"/>
          <w:kern w:val="0"/>
          <w:sz w:val="24"/>
        </w:rPr>
        <w:t>联系人：</w:t>
      </w:r>
      <w:r>
        <w:rPr>
          <w:rStyle w:val="18"/>
          <w:rFonts w:hint="eastAsia" w:ascii="宋体" w:hAnsi="宋体"/>
          <w:kern w:val="0"/>
          <w:sz w:val="24"/>
          <w:u w:val="single"/>
        </w:rPr>
        <w:t xml:space="preserve">李先生     </w:t>
      </w:r>
    </w:p>
    <w:p>
      <w:pPr>
        <w:spacing w:line="360" w:lineRule="auto"/>
        <w:ind w:firstLine="480"/>
        <w:jc w:val="left"/>
        <w:rPr>
          <w:rFonts w:ascii="宋体" w:hAnsi="宋体" w:cs="Arial"/>
          <w:color w:val="000000"/>
          <w:kern w:val="0"/>
          <w:sz w:val="24"/>
          <w:u w:val="single"/>
        </w:rPr>
      </w:pPr>
      <w:r>
        <w:rPr>
          <w:rStyle w:val="18"/>
          <w:rFonts w:ascii="宋体" w:hAnsi="宋体"/>
          <w:kern w:val="0"/>
          <w:sz w:val="24"/>
        </w:rPr>
        <w:t>联系电话：</w:t>
      </w:r>
      <w:r>
        <w:rPr>
          <w:rStyle w:val="18"/>
          <w:rFonts w:hint="eastAsia" w:ascii="宋体" w:hAnsi="宋体"/>
          <w:kern w:val="0"/>
          <w:sz w:val="24"/>
          <w:u w:val="single"/>
        </w:rPr>
        <w:t xml:space="preserve"> 13485252499</w:t>
      </w:r>
      <w:r>
        <w:rPr>
          <w:rFonts w:hint="eastAsia" w:ascii="宋体" w:hAnsi="宋体" w:cs="宋体"/>
          <w:color w:val="000000"/>
          <w:sz w:val="24"/>
          <w:u w:val="single"/>
        </w:rPr>
        <w:t xml:space="preserve"> </w:t>
      </w:r>
    </w:p>
    <w:p>
      <w:pPr>
        <w:shd w:val="clear" w:color="auto" w:fill="FFFFFF"/>
        <w:spacing w:line="360" w:lineRule="auto"/>
        <w:ind w:firstLine="480"/>
        <w:jc w:val="left"/>
        <w:rPr>
          <w:rStyle w:val="18"/>
          <w:rFonts w:ascii="宋体" w:hAnsi="宋体"/>
          <w:sz w:val="24"/>
        </w:rPr>
      </w:pPr>
      <w:r>
        <w:rPr>
          <w:rStyle w:val="18"/>
          <w:rFonts w:ascii="宋体" w:hAnsi="宋体"/>
          <w:kern w:val="0"/>
          <w:sz w:val="24"/>
        </w:rPr>
        <w:t>2、采购代理机构信息</w:t>
      </w:r>
    </w:p>
    <w:p>
      <w:pPr>
        <w:spacing w:line="360" w:lineRule="auto"/>
        <w:ind w:firstLine="480"/>
        <w:jc w:val="left"/>
        <w:rPr>
          <w:rStyle w:val="18"/>
          <w:rFonts w:ascii="宋体" w:hAnsi="宋体"/>
          <w:kern w:val="0"/>
          <w:sz w:val="24"/>
        </w:rPr>
      </w:pPr>
      <w:r>
        <w:rPr>
          <w:rStyle w:val="18"/>
          <w:rFonts w:ascii="宋体" w:hAnsi="宋体"/>
          <w:kern w:val="0"/>
          <w:sz w:val="24"/>
        </w:rPr>
        <w:t>招标代理：</w:t>
      </w:r>
      <w:r>
        <w:rPr>
          <w:rStyle w:val="18"/>
          <w:rFonts w:ascii="宋体" w:hAnsi="宋体"/>
          <w:kern w:val="0"/>
          <w:sz w:val="24"/>
          <w:u w:val="single"/>
        </w:rPr>
        <w:t>江苏仁禾中衡工程咨询房地产估价有限公司</w:t>
      </w:r>
    </w:p>
    <w:p>
      <w:pPr>
        <w:spacing w:line="360" w:lineRule="auto"/>
        <w:ind w:firstLine="480"/>
        <w:jc w:val="left"/>
        <w:rPr>
          <w:rStyle w:val="18"/>
          <w:rFonts w:ascii="宋体" w:hAnsi="宋体"/>
          <w:kern w:val="0"/>
          <w:sz w:val="24"/>
        </w:rPr>
      </w:pPr>
      <w:r>
        <w:rPr>
          <w:rStyle w:val="18"/>
          <w:rFonts w:ascii="宋体" w:hAnsi="宋体"/>
          <w:kern w:val="0"/>
          <w:sz w:val="24"/>
        </w:rPr>
        <w:t>联系地址：</w:t>
      </w:r>
      <w:r>
        <w:rPr>
          <w:rStyle w:val="18"/>
          <w:rFonts w:ascii="宋体" w:hAnsi="宋体"/>
          <w:kern w:val="0"/>
          <w:sz w:val="24"/>
          <w:u w:val="single"/>
        </w:rPr>
        <w:t>大丰区丰尚国际1号楼9楼</w:t>
      </w:r>
    </w:p>
    <w:p>
      <w:pPr>
        <w:spacing w:line="360" w:lineRule="auto"/>
        <w:ind w:firstLine="482"/>
        <w:jc w:val="left"/>
        <w:rPr>
          <w:rStyle w:val="18"/>
          <w:rFonts w:ascii="宋体" w:hAnsi="宋体"/>
          <w:kern w:val="0"/>
          <w:sz w:val="24"/>
        </w:rPr>
      </w:pPr>
      <w:r>
        <w:rPr>
          <w:rStyle w:val="18"/>
          <w:rFonts w:ascii="宋体" w:hAnsi="宋体"/>
          <w:kern w:val="0"/>
          <w:sz w:val="24"/>
        </w:rPr>
        <w:t>联系人：</w:t>
      </w:r>
      <w:r>
        <w:rPr>
          <w:rStyle w:val="18"/>
          <w:rFonts w:ascii="宋体" w:hAnsi="宋体"/>
          <w:kern w:val="0"/>
          <w:sz w:val="24"/>
          <w:u w:val="single"/>
        </w:rPr>
        <w:t xml:space="preserve"> 金燕 </w:t>
      </w:r>
      <w:r>
        <w:rPr>
          <w:rStyle w:val="18"/>
          <w:rFonts w:ascii="宋体" w:hAnsi="宋体"/>
          <w:kern w:val="0"/>
          <w:sz w:val="24"/>
        </w:rPr>
        <w:t>          </w:t>
      </w:r>
    </w:p>
    <w:p>
      <w:pPr>
        <w:spacing w:line="360" w:lineRule="auto"/>
        <w:ind w:firstLine="482"/>
        <w:jc w:val="left"/>
        <w:rPr>
          <w:rStyle w:val="18"/>
          <w:rFonts w:ascii="宋体" w:hAnsi="宋体"/>
          <w:kern w:val="0"/>
          <w:sz w:val="24"/>
          <w:u w:val="single"/>
        </w:rPr>
      </w:pPr>
      <w:r>
        <w:rPr>
          <w:rStyle w:val="18"/>
          <w:rFonts w:ascii="宋体" w:hAnsi="宋体"/>
          <w:kern w:val="0"/>
          <w:sz w:val="24"/>
        </w:rPr>
        <w:t>联系电话：</w:t>
      </w:r>
      <w:r>
        <w:rPr>
          <w:rStyle w:val="18"/>
          <w:rFonts w:ascii="宋体" w:hAnsi="宋体"/>
          <w:kern w:val="0"/>
          <w:sz w:val="24"/>
          <w:u w:val="single"/>
        </w:rPr>
        <w:t>15161955460</w:t>
      </w:r>
    </w:p>
    <w:p>
      <w:pPr>
        <w:pStyle w:val="19"/>
        <w:rPr>
          <w:rStyle w:val="18"/>
        </w:rPr>
      </w:pPr>
    </w:p>
    <w:p>
      <w:pPr>
        <w:rPr>
          <w:rStyle w:val="18"/>
        </w:rPr>
      </w:pPr>
    </w:p>
    <w:p>
      <w:pPr>
        <w:pStyle w:val="19"/>
        <w:rPr>
          <w:rStyle w:val="18"/>
        </w:rPr>
      </w:pPr>
    </w:p>
    <w:p>
      <w:pPr>
        <w:rPr>
          <w:rStyle w:val="18"/>
        </w:rPr>
      </w:pPr>
    </w:p>
    <w:p>
      <w:pPr>
        <w:pStyle w:val="19"/>
        <w:rPr>
          <w:rStyle w:val="18"/>
        </w:rPr>
      </w:pPr>
    </w:p>
    <w:p>
      <w:pPr>
        <w:pStyle w:val="11"/>
        <w:ind w:firstLine="0" w:firstLineChars="0"/>
      </w:pPr>
    </w:p>
    <w:p>
      <w:pPr>
        <w:pStyle w:val="21"/>
        <w:spacing w:line="360" w:lineRule="auto"/>
        <w:outlineLvl w:val="0"/>
        <w:rPr>
          <w:rStyle w:val="18"/>
          <w:rFonts w:ascii="宋体" w:hAnsi="宋体" w:cs="宋体"/>
        </w:rPr>
      </w:pPr>
      <w:bookmarkStart w:id="3" w:name="_Toc23518"/>
      <w:bookmarkStart w:id="4" w:name="_Toc20993"/>
      <w:bookmarkStart w:id="5" w:name="_Toc14703"/>
      <w:bookmarkStart w:id="6" w:name="_Toc14619"/>
      <w:r>
        <w:rPr>
          <w:rStyle w:val="18"/>
          <w:rFonts w:ascii="宋体" w:hAnsi="宋体" w:cs="宋体"/>
        </w:rPr>
        <w:t>第二章  投标人须知</w:t>
      </w:r>
      <w:bookmarkEnd w:id="3"/>
      <w:bookmarkEnd w:id="4"/>
      <w:bookmarkEnd w:id="5"/>
      <w:bookmarkEnd w:id="6"/>
    </w:p>
    <w:p>
      <w:pPr>
        <w:pStyle w:val="22"/>
        <w:jc w:val="center"/>
        <w:rPr>
          <w:rStyle w:val="18"/>
          <w:rFonts w:ascii="宋体" w:hAnsi="宋体"/>
        </w:rPr>
      </w:pPr>
      <w:r>
        <w:rPr>
          <w:rStyle w:val="18"/>
          <w:rFonts w:ascii="宋体" w:hAnsi="宋体"/>
        </w:rPr>
        <w:t>投标人须知前附表</w:t>
      </w:r>
    </w:p>
    <w:tbl>
      <w:tblPr>
        <w:tblStyle w:val="12"/>
        <w:tblW w:w="90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7"/>
        <w:gridCol w:w="3372"/>
        <w:gridCol w:w="47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917"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b/>
                <w:szCs w:val="21"/>
              </w:rPr>
            </w:pPr>
            <w:r>
              <w:rPr>
                <w:rStyle w:val="18"/>
                <w:rFonts w:ascii="宋体" w:hAnsi="宋体"/>
                <w:b/>
                <w:szCs w:val="21"/>
              </w:rPr>
              <w:t>条款号</w:t>
            </w:r>
          </w:p>
        </w:tc>
        <w:tc>
          <w:tcPr>
            <w:tcW w:w="3372"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b/>
                <w:szCs w:val="21"/>
              </w:rPr>
            </w:pPr>
            <w:r>
              <w:rPr>
                <w:rStyle w:val="18"/>
                <w:rFonts w:ascii="宋体" w:hAnsi="宋体"/>
                <w:b/>
                <w:szCs w:val="21"/>
              </w:rPr>
              <w:t>条 款 名 称</w:t>
            </w:r>
          </w:p>
        </w:tc>
        <w:tc>
          <w:tcPr>
            <w:tcW w:w="4783"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b/>
                <w:szCs w:val="21"/>
              </w:rPr>
            </w:pPr>
            <w:r>
              <w:rPr>
                <w:rStyle w:val="18"/>
                <w:rFonts w:ascii="宋体" w:hAnsi="宋体"/>
                <w:b/>
                <w:szCs w:val="21"/>
              </w:rPr>
              <w:t>编 列 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4" w:hRule="atLeast"/>
          <w:jc w:val="center"/>
        </w:trPr>
        <w:tc>
          <w:tcPr>
            <w:tcW w:w="917"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rPr>
            </w:pPr>
            <w:r>
              <w:rPr>
                <w:rStyle w:val="18"/>
                <w:rFonts w:ascii="宋体" w:hAnsi="宋体"/>
                <w:szCs w:val="21"/>
              </w:rPr>
              <w:t>1.1.2</w:t>
            </w:r>
          </w:p>
        </w:tc>
        <w:tc>
          <w:tcPr>
            <w:tcW w:w="3372" w:type="dxa"/>
            <w:tcBorders>
              <w:top w:val="single" w:color="000000" w:sz="4" w:space="0"/>
              <w:left w:val="single" w:color="000000" w:sz="4" w:space="0"/>
              <w:bottom w:val="single" w:color="000000" w:sz="4" w:space="0"/>
              <w:right w:val="single" w:color="000000" w:sz="4" w:space="0"/>
            </w:tcBorders>
            <w:vAlign w:val="center"/>
          </w:tcPr>
          <w:p>
            <w:pPr>
              <w:rPr>
                <w:rStyle w:val="18"/>
                <w:rFonts w:ascii="宋体" w:hAnsi="宋体"/>
                <w:szCs w:val="21"/>
              </w:rPr>
            </w:pPr>
            <w:r>
              <w:rPr>
                <w:rStyle w:val="18"/>
                <w:rFonts w:ascii="宋体" w:hAnsi="宋体"/>
                <w:szCs w:val="21"/>
              </w:rPr>
              <w:t>招标人</w:t>
            </w:r>
          </w:p>
        </w:tc>
        <w:tc>
          <w:tcPr>
            <w:tcW w:w="4783" w:type="dxa"/>
            <w:tcBorders>
              <w:top w:val="single" w:color="000000" w:sz="4" w:space="0"/>
              <w:left w:val="single" w:color="000000" w:sz="4" w:space="0"/>
              <w:bottom w:val="single" w:color="000000" w:sz="4" w:space="0"/>
              <w:right w:val="single" w:color="000000" w:sz="4" w:space="0"/>
            </w:tcBorders>
            <w:vAlign w:val="center"/>
          </w:tcPr>
          <w:p>
            <w:pPr>
              <w:rPr>
                <w:rStyle w:val="18"/>
                <w:rFonts w:ascii="宋体" w:hAnsi="宋体"/>
                <w:szCs w:val="21"/>
              </w:rPr>
            </w:pPr>
            <w:r>
              <w:rPr>
                <w:rStyle w:val="18"/>
                <w:rFonts w:ascii="宋体" w:hAnsi="宋体"/>
                <w:szCs w:val="21"/>
              </w:rPr>
              <w:t>招标人：</w:t>
            </w:r>
            <w:r>
              <w:rPr>
                <w:rStyle w:val="18"/>
                <w:rFonts w:hint="eastAsia" w:ascii="宋体" w:hAnsi="宋体"/>
                <w:szCs w:val="21"/>
              </w:rPr>
              <w:t>盐城市瑞丰谷物有限公司</w:t>
            </w:r>
            <w:r>
              <w:rPr>
                <w:rStyle w:val="18"/>
                <w:rFonts w:ascii="宋体" w:hAnsi="宋体"/>
                <w:szCs w:val="21"/>
              </w:rPr>
              <w:t xml:space="preserve"> </w:t>
            </w:r>
          </w:p>
          <w:p>
            <w:pPr>
              <w:rPr>
                <w:rStyle w:val="18"/>
                <w:rFonts w:ascii="宋体" w:hAnsi="宋体"/>
                <w:szCs w:val="21"/>
              </w:rPr>
            </w:pPr>
            <w:r>
              <w:rPr>
                <w:rStyle w:val="18"/>
                <w:rFonts w:ascii="宋体" w:hAnsi="宋体"/>
                <w:szCs w:val="21"/>
              </w:rPr>
              <w:t>联系地址</w:t>
            </w:r>
            <w:r>
              <w:rPr>
                <w:rStyle w:val="18"/>
                <w:rFonts w:hint="eastAsia" w:ascii="宋体" w:hAnsi="宋体"/>
                <w:szCs w:val="21"/>
              </w:rPr>
              <w:t>：江苏省盐城市大丰区大丰港(临港大道)</w:t>
            </w:r>
          </w:p>
          <w:p>
            <w:pPr>
              <w:rPr>
                <w:rStyle w:val="18"/>
                <w:rFonts w:ascii="宋体" w:hAnsi="宋体"/>
                <w:szCs w:val="21"/>
              </w:rPr>
            </w:pPr>
            <w:r>
              <w:rPr>
                <w:rStyle w:val="18"/>
                <w:rFonts w:ascii="宋体" w:hAnsi="宋体"/>
                <w:szCs w:val="21"/>
              </w:rPr>
              <w:t>联系人：</w:t>
            </w:r>
            <w:r>
              <w:rPr>
                <w:rStyle w:val="18"/>
                <w:rFonts w:hint="eastAsia" w:ascii="宋体" w:hAnsi="宋体"/>
                <w:szCs w:val="21"/>
              </w:rPr>
              <w:t xml:space="preserve">李先生 </w:t>
            </w:r>
            <w:r>
              <w:rPr>
                <w:rStyle w:val="18"/>
                <w:rFonts w:ascii="宋体" w:hAnsi="宋体"/>
                <w:szCs w:val="21"/>
              </w:rPr>
              <w:t xml:space="preserve">              </w:t>
            </w:r>
          </w:p>
          <w:p>
            <w:pPr>
              <w:rPr>
                <w:rStyle w:val="18"/>
                <w:rFonts w:ascii="宋体" w:hAnsi="宋体"/>
                <w:szCs w:val="21"/>
              </w:rPr>
            </w:pPr>
            <w:r>
              <w:rPr>
                <w:rStyle w:val="18"/>
                <w:rFonts w:ascii="宋体" w:hAnsi="宋体"/>
                <w:szCs w:val="21"/>
              </w:rPr>
              <w:t>联系电话：</w:t>
            </w:r>
            <w:r>
              <w:rPr>
                <w:rStyle w:val="18"/>
                <w:rFonts w:hint="eastAsia" w:ascii="宋体" w:hAnsi="宋体"/>
                <w:szCs w:val="21"/>
              </w:rPr>
              <w:t xml:space="preserve"> 13485252499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3" w:hRule="atLeast"/>
          <w:jc w:val="center"/>
        </w:trPr>
        <w:tc>
          <w:tcPr>
            <w:tcW w:w="917"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rPr>
            </w:pPr>
            <w:r>
              <w:rPr>
                <w:rStyle w:val="18"/>
                <w:rFonts w:ascii="宋体" w:hAnsi="宋体"/>
                <w:szCs w:val="21"/>
              </w:rPr>
              <w:t>1.1.3</w:t>
            </w:r>
          </w:p>
        </w:tc>
        <w:tc>
          <w:tcPr>
            <w:tcW w:w="3372" w:type="dxa"/>
            <w:tcBorders>
              <w:top w:val="single" w:color="000000" w:sz="4" w:space="0"/>
              <w:left w:val="single" w:color="000000" w:sz="4" w:space="0"/>
              <w:bottom w:val="single" w:color="000000" w:sz="4" w:space="0"/>
              <w:right w:val="single" w:color="000000" w:sz="4" w:space="0"/>
            </w:tcBorders>
            <w:vAlign w:val="center"/>
          </w:tcPr>
          <w:p>
            <w:pPr>
              <w:rPr>
                <w:rStyle w:val="18"/>
                <w:rFonts w:ascii="宋体" w:hAnsi="宋体"/>
                <w:szCs w:val="21"/>
              </w:rPr>
            </w:pPr>
            <w:r>
              <w:rPr>
                <w:rStyle w:val="18"/>
                <w:rFonts w:ascii="宋体" w:hAnsi="宋体"/>
                <w:szCs w:val="21"/>
              </w:rPr>
              <w:t>招标代理机构</w:t>
            </w:r>
          </w:p>
        </w:tc>
        <w:tc>
          <w:tcPr>
            <w:tcW w:w="4783" w:type="dxa"/>
            <w:tcBorders>
              <w:top w:val="single" w:color="000000" w:sz="4" w:space="0"/>
              <w:left w:val="single" w:color="000000" w:sz="4" w:space="0"/>
              <w:bottom w:val="single" w:color="000000" w:sz="4" w:space="0"/>
              <w:right w:val="single" w:color="000000" w:sz="4" w:space="0"/>
            </w:tcBorders>
            <w:vAlign w:val="center"/>
          </w:tcPr>
          <w:p>
            <w:pPr>
              <w:rPr>
                <w:rStyle w:val="18"/>
                <w:rFonts w:ascii="宋体" w:hAnsi="宋体"/>
                <w:szCs w:val="21"/>
              </w:rPr>
            </w:pPr>
            <w:r>
              <w:rPr>
                <w:rStyle w:val="18"/>
                <w:rFonts w:ascii="宋体" w:hAnsi="宋体"/>
                <w:szCs w:val="21"/>
              </w:rPr>
              <w:t xml:space="preserve">招标代理机构：江苏仁禾中衡工程咨询房地产估价有限公司 </w:t>
            </w:r>
          </w:p>
          <w:p>
            <w:pPr>
              <w:rPr>
                <w:rStyle w:val="18"/>
                <w:rFonts w:ascii="宋体" w:hAnsi="宋体"/>
                <w:szCs w:val="21"/>
              </w:rPr>
            </w:pPr>
            <w:r>
              <w:rPr>
                <w:rStyle w:val="18"/>
                <w:rFonts w:ascii="宋体" w:hAnsi="宋体"/>
                <w:szCs w:val="21"/>
              </w:rPr>
              <w:t>地  址：大丰区丰尚国际1号楼9楼</w:t>
            </w:r>
          </w:p>
          <w:p>
            <w:pPr>
              <w:rPr>
                <w:rStyle w:val="18"/>
                <w:rFonts w:ascii="宋体" w:hAnsi="宋体"/>
                <w:szCs w:val="21"/>
              </w:rPr>
            </w:pPr>
            <w:r>
              <w:rPr>
                <w:rStyle w:val="18"/>
                <w:rFonts w:ascii="宋体" w:hAnsi="宋体"/>
                <w:szCs w:val="21"/>
              </w:rPr>
              <w:t>联系人：金燕</w:t>
            </w:r>
          </w:p>
          <w:p>
            <w:pPr>
              <w:rPr>
                <w:rStyle w:val="18"/>
                <w:rFonts w:ascii="宋体" w:hAnsi="宋体"/>
                <w:szCs w:val="21"/>
              </w:rPr>
            </w:pPr>
            <w:r>
              <w:rPr>
                <w:rStyle w:val="18"/>
                <w:rFonts w:ascii="宋体" w:hAnsi="宋体"/>
                <w:szCs w:val="21"/>
              </w:rPr>
              <w:t>联系电话：151619554460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917"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rPr>
            </w:pPr>
            <w:r>
              <w:rPr>
                <w:rStyle w:val="18"/>
                <w:rFonts w:ascii="宋体" w:hAnsi="宋体"/>
                <w:szCs w:val="21"/>
              </w:rPr>
              <w:t>1.1.4</w:t>
            </w:r>
          </w:p>
        </w:tc>
        <w:tc>
          <w:tcPr>
            <w:tcW w:w="3372" w:type="dxa"/>
            <w:tcBorders>
              <w:top w:val="single" w:color="000000" w:sz="4" w:space="0"/>
              <w:left w:val="single" w:color="000000" w:sz="4" w:space="0"/>
              <w:bottom w:val="single" w:color="000000" w:sz="4" w:space="0"/>
              <w:right w:val="single" w:color="000000" w:sz="4" w:space="0"/>
            </w:tcBorders>
            <w:vAlign w:val="center"/>
          </w:tcPr>
          <w:p>
            <w:pPr>
              <w:rPr>
                <w:rStyle w:val="18"/>
                <w:rFonts w:ascii="宋体" w:hAnsi="宋体"/>
                <w:szCs w:val="21"/>
              </w:rPr>
            </w:pPr>
            <w:r>
              <w:rPr>
                <w:rStyle w:val="18"/>
                <w:rFonts w:ascii="宋体" w:hAnsi="宋体"/>
                <w:szCs w:val="21"/>
              </w:rPr>
              <w:t>项目名称</w:t>
            </w:r>
          </w:p>
        </w:tc>
        <w:tc>
          <w:tcPr>
            <w:tcW w:w="4783" w:type="dxa"/>
            <w:tcBorders>
              <w:top w:val="single" w:color="000000" w:sz="4" w:space="0"/>
              <w:left w:val="single" w:color="000000" w:sz="4" w:space="0"/>
              <w:bottom w:val="single" w:color="000000" w:sz="4" w:space="0"/>
              <w:right w:val="single" w:color="000000" w:sz="4" w:space="0"/>
            </w:tcBorders>
            <w:vAlign w:val="center"/>
          </w:tcPr>
          <w:p>
            <w:pPr>
              <w:rPr>
                <w:rStyle w:val="18"/>
                <w:rFonts w:ascii="宋体" w:hAnsi="宋体"/>
                <w:szCs w:val="21"/>
              </w:rPr>
            </w:pPr>
            <w:r>
              <w:rPr>
                <w:rStyle w:val="18"/>
                <w:rFonts w:ascii="宋体" w:hAnsi="宋体"/>
                <w:szCs w:val="21"/>
              </w:rPr>
              <w:t>粮食物流项目绿色储粮专项设备采购项目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917"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rPr>
            </w:pPr>
            <w:r>
              <w:rPr>
                <w:rStyle w:val="18"/>
                <w:rFonts w:ascii="宋体" w:hAnsi="宋体"/>
                <w:szCs w:val="21"/>
              </w:rPr>
              <w:t>1.2.1</w:t>
            </w:r>
          </w:p>
        </w:tc>
        <w:tc>
          <w:tcPr>
            <w:tcW w:w="3372" w:type="dxa"/>
            <w:tcBorders>
              <w:top w:val="single" w:color="000000" w:sz="4" w:space="0"/>
              <w:left w:val="single" w:color="000000" w:sz="4" w:space="0"/>
              <w:bottom w:val="single" w:color="000000" w:sz="4" w:space="0"/>
              <w:right w:val="single" w:color="000000" w:sz="4" w:space="0"/>
            </w:tcBorders>
            <w:vAlign w:val="center"/>
          </w:tcPr>
          <w:p>
            <w:pPr>
              <w:rPr>
                <w:rStyle w:val="18"/>
                <w:rFonts w:ascii="宋体" w:hAnsi="宋体"/>
                <w:szCs w:val="21"/>
              </w:rPr>
            </w:pPr>
            <w:r>
              <w:rPr>
                <w:rStyle w:val="18"/>
                <w:rFonts w:ascii="宋体" w:hAnsi="宋体"/>
                <w:szCs w:val="21"/>
              </w:rPr>
              <w:t>资金来源</w:t>
            </w:r>
          </w:p>
        </w:tc>
        <w:tc>
          <w:tcPr>
            <w:tcW w:w="4783" w:type="dxa"/>
            <w:tcBorders>
              <w:top w:val="single" w:color="000000" w:sz="4" w:space="0"/>
              <w:left w:val="single" w:color="000000" w:sz="4" w:space="0"/>
              <w:bottom w:val="single" w:color="000000" w:sz="4" w:space="0"/>
              <w:right w:val="single" w:color="000000" w:sz="4" w:space="0"/>
            </w:tcBorders>
            <w:vAlign w:val="center"/>
          </w:tcPr>
          <w:p>
            <w:pPr>
              <w:rPr>
                <w:rStyle w:val="18"/>
                <w:rFonts w:ascii="宋体" w:hAnsi="宋体"/>
                <w:szCs w:val="21"/>
              </w:rPr>
            </w:pPr>
            <w:r>
              <w:rPr>
                <w:rStyle w:val="18"/>
                <w:rFonts w:hint="eastAsia" w:ascii="宋体" w:hAnsi="宋体"/>
                <w:color w:val="000000"/>
                <w:szCs w:val="21"/>
              </w:rPr>
              <w:t>上级</w:t>
            </w:r>
            <w:r>
              <w:rPr>
                <w:rStyle w:val="18"/>
                <w:rFonts w:ascii="宋体" w:hAnsi="宋体"/>
                <w:color w:val="000000"/>
                <w:szCs w:val="21"/>
              </w:rPr>
              <w:t>财政＋企业自筹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917"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rPr>
            </w:pPr>
            <w:r>
              <w:rPr>
                <w:rStyle w:val="18"/>
                <w:rFonts w:ascii="宋体" w:hAnsi="宋体"/>
                <w:szCs w:val="21"/>
              </w:rPr>
              <w:t>1.2.2</w:t>
            </w:r>
          </w:p>
        </w:tc>
        <w:tc>
          <w:tcPr>
            <w:tcW w:w="3372" w:type="dxa"/>
            <w:tcBorders>
              <w:top w:val="single" w:color="000000" w:sz="4" w:space="0"/>
              <w:left w:val="single" w:color="000000" w:sz="4" w:space="0"/>
              <w:bottom w:val="single" w:color="000000" w:sz="4" w:space="0"/>
              <w:right w:val="single" w:color="000000" w:sz="4" w:space="0"/>
            </w:tcBorders>
            <w:vAlign w:val="center"/>
          </w:tcPr>
          <w:p>
            <w:pPr>
              <w:rPr>
                <w:rStyle w:val="18"/>
                <w:rFonts w:ascii="宋体" w:hAnsi="宋体"/>
                <w:szCs w:val="21"/>
              </w:rPr>
            </w:pPr>
            <w:r>
              <w:rPr>
                <w:rStyle w:val="18"/>
                <w:rFonts w:ascii="宋体" w:hAnsi="宋体"/>
                <w:szCs w:val="21"/>
              </w:rPr>
              <w:t>出资比例</w:t>
            </w:r>
          </w:p>
        </w:tc>
        <w:tc>
          <w:tcPr>
            <w:tcW w:w="4783" w:type="dxa"/>
            <w:tcBorders>
              <w:top w:val="single" w:color="000000" w:sz="4" w:space="0"/>
              <w:left w:val="single" w:color="000000" w:sz="4" w:space="0"/>
              <w:bottom w:val="single" w:color="000000" w:sz="4" w:space="0"/>
              <w:right w:val="single" w:color="000000" w:sz="4" w:space="0"/>
            </w:tcBorders>
            <w:vAlign w:val="center"/>
          </w:tcPr>
          <w:p>
            <w:pPr>
              <w:rPr>
                <w:rStyle w:val="18"/>
                <w:rFonts w:ascii="宋体" w:hAnsi="宋体"/>
                <w:szCs w:val="21"/>
              </w:rPr>
            </w:pPr>
            <w:r>
              <w:rPr>
                <w:rStyle w:val="18"/>
                <w:rFonts w:hint="eastAsia" w:ascii="宋体" w:hAnsi="宋体"/>
                <w:szCs w:val="21"/>
              </w:rPr>
              <w:t>上级</w:t>
            </w:r>
            <w:r>
              <w:rPr>
                <w:rStyle w:val="18"/>
                <w:rFonts w:ascii="宋体" w:hAnsi="宋体"/>
                <w:szCs w:val="21"/>
              </w:rPr>
              <w:t>财政</w:t>
            </w:r>
            <w:r>
              <w:rPr>
                <w:rStyle w:val="18"/>
                <w:rFonts w:hint="eastAsia" w:ascii="宋体" w:hAnsi="宋体"/>
                <w:szCs w:val="21"/>
              </w:rPr>
              <w:t>3</w:t>
            </w:r>
            <w:r>
              <w:rPr>
                <w:rStyle w:val="18"/>
                <w:rFonts w:ascii="宋体" w:hAnsi="宋体"/>
                <w:szCs w:val="21"/>
              </w:rPr>
              <w:t>00万元、其余为企业自筹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917"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rPr>
            </w:pPr>
            <w:r>
              <w:rPr>
                <w:rStyle w:val="18"/>
                <w:rFonts w:ascii="宋体" w:hAnsi="宋体"/>
                <w:szCs w:val="21"/>
              </w:rPr>
              <w:t>1.2.3</w:t>
            </w:r>
          </w:p>
        </w:tc>
        <w:tc>
          <w:tcPr>
            <w:tcW w:w="3372" w:type="dxa"/>
            <w:tcBorders>
              <w:top w:val="single" w:color="000000" w:sz="4" w:space="0"/>
              <w:left w:val="single" w:color="000000" w:sz="4" w:space="0"/>
              <w:bottom w:val="single" w:color="000000" w:sz="4" w:space="0"/>
              <w:right w:val="single" w:color="000000" w:sz="4" w:space="0"/>
            </w:tcBorders>
            <w:vAlign w:val="center"/>
          </w:tcPr>
          <w:p>
            <w:pPr>
              <w:rPr>
                <w:rStyle w:val="18"/>
                <w:rFonts w:ascii="宋体" w:hAnsi="宋体"/>
                <w:szCs w:val="21"/>
              </w:rPr>
            </w:pPr>
            <w:r>
              <w:rPr>
                <w:rStyle w:val="18"/>
                <w:rFonts w:ascii="宋体" w:hAnsi="宋体"/>
                <w:szCs w:val="21"/>
              </w:rPr>
              <w:t>资金落实情况</w:t>
            </w:r>
          </w:p>
        </w:tc>
        <w:tc>
          <w:tcPr>
            <w:tcW w:w="4783" w:type="dxa"/>
            <w:tcBorders>
              <w:top w:val="single" w:color="000000" w:sz="4" w:space="0"/>
              <w:left w:val="single" w:color="000000" w:sz="4" w:space="0"/>
              <w:bottom w:val="single" w:color="000000" w:sz="4" w:space="0"/>
              <w:right w:val="single" w:color="000000" w:sz="4" w:space="0"/>
            </w:tcBorders>
            <w:vAlign w:val="center"/>
          </w:tcPr>
          <w:p>
            <w:pPr>
              <w:rPr>
                <w:rStyle w:val="18"/>
                <w:rFonts w:ascii="宋体" w:hAnsi="宋体"/>
                <w:szCs w:val="21"/>
              </w:rPr>
            </w:pPr>
            <w:r>
              <w:rPr>
                <w:rStyle w:val="18"/>
                <w:rFonts w:ascii="宋体" w:hAnsi="宋体"/>
                <w:szCs w:val="21"/>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jc w:val="center"/>
        </w:trPr>
        <w:tc>
          <w:tcPr>
            <w:tcW w:w="917"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rPr>
            </w:pPr>
            <w:r>
              <w:rPr>
                <w:rStyle w:val="18"/>
                <w:rFonts w:ascii="宋体" w:hAnsi="宋体"/>
                <w:szCs w:val="21"/>
              </w:rPr>
              <w:t>1.3.1</w:t>
            </w:r>
          </w:p>
        </w:tc>
        <w:tc>
          <w:tcPr>
            <w:tcW w:w="3372" w:type="dxa"/>
            <w:tcBorders>
              <w:top w:val="single" w:color="000000" w:sz="4" w:space="0"/>
              <w:left w:val="single" w:color="000000" w:sz="4" w:space="0"/>
              <w:bottom w:val="single" w:color="000000" w:sz="4" w:space="0"/>
              <w:right w:val="single" w:color="000000" w:sz="4" w:space="0"/>
            </w:tcBorders>
            <w:vAlign w:val="center"/>
          </w:tcPr>
          <w:p>
            <w:pPr>
              <w:rPr>
                <w:rStyle w:val="18"/>
                <w:rFonts w:ascii="宋体" w:hAnsi="宋体"/>
                <w:szCs w:val="21"/>
              </w:rPr>
            </w:pPr>
            <w:r>
              <w:rPr>
                <w:rStyle w:val="18"/>
                <w:rFonts w:ascii="宋体" w:hAnsi="宋体"/>
                <w:szCs w:val="21"/>
              </w:rPr>
              <w:t>招标范围</w:t>
            </w:r>
          </w:p>
        </w:tc>
        <w:tc>
          <w:tcPr>
            <w:tcW w:w="4783" w:type="dxa"/>
            <w:tcBorders>
              <w:top w:val="single" w:color="000000" w:sz="4" w:space="0"/>
              <w:left w:val="single" w:color="000000" w:sz="4" w:space="0"/>
              <w:bottom w:val="single" w:color="000000" w:sz="4" w:space="0"/>
              <w:right w:val="single" w:color="000000" w:sz="4" w:space="0"/>
            </w:tcBorders>
            <w:vAlign w:val="center"/>
          </w:tcPr>
          <w:p>
            <w:pPr>
              <w:rPr>
                <w:rStyle w:val="18"/>
                <w:rFonts w:ascii="宋体" w:hAnsi="宋体"/>
                <w:szCs w:val="21"/>
              </w:rPr>
            </w:pPr>
            <w:r>
              <w:rPr>
                <w:rStyle w:val="18"/>
                <w:rFonts w:ascii="宋体" w:hAnsi="宋体"/>
                <w:szCs w:val="21"/>
              </w:rPr>
              <w:t>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917"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rPr>
            </w:pPr>
            <w:r>
              <w:rPr>
                <w:rStyle w:val="18"/>
                <w:rFonts w:ascii="宋体" w:hAnsi="宋体"/>
                <w:szCs w:val="21"/>
              </w:rPr>
              <w:t>1.3.2</w:t>
            </w:r>
          </w:p>
        </w:tc>
        <w:tc>
          <w:tcPr>
            <w:tcW w:w="3372" w:type="dxa"/>
            <w:tcBorders>
              <w:top w:val="single" w:color="000000" w:sz="4" w:space="0"/>
              <w:left w:val="single" w:color="000000" w:sz="4" w:space="0"/>
              <w:bottom w:val="single" w:color="000000" w:sz="4" w:space="0"/>
              <w:right w:val="single" w:color="000000" w:sz="4" w:space="0"/>
            </w:tcBorders>
            <w:vAlign w:val="center"/>
          </w:tcPr>
          <w:p>
            <w:pPr>
              <w:rPr>
                <w:rStyle w:val="18"/>
                <w:rFonts w:ascii="宋体" w:hAnsi="宋体"/>
                <w:szCs w:val="21"/>
              </w:rPr>
            </w:pPr>
            <w:r>
              <w:rPr>
                <w:rStyle w:val="18"/>
                <w:rFonts w:ascii="宋体" w:hAnsi="宋体"/>
                <w:szCs w:val="21"/>
              </w:rPr>
              <w:t>交货期或交付使用期</w:t>
            </w:r>
          </w:p>
        </w:tc>
        <w:tc>
          <w:tcPr>
            <w:tcW w:w="4783" w:type="dxa"/>
            <w:tcBorders>
              <w:top w:val="single" w:color="000000" w:sz="4" w:space="0"/>
              <w:left w:val="single" w:color="000000" w:sz="4" w:space="0"/>
              <w:bottom w:val="single" w:color="000000" w:sz="4" w:space="0"/>
              <w:right w:val="single" w:color="000000" w:sz="4" w:space="0"/>
            </w:tcBorders>
            <w:vAlign w:val="center"/>
          </w:tcPr>
          <w:p>
            <w:pPr>
              <w:rPr>
                <w:rStyle w:val="18"/>
                <w:rFonts w:ascii="宋体" w:hAnsi="宋体"/>
                <w:szCs w:val="21"/>
              </w:rPr>
            </w:pPr>
            <w:r>
              <w:rPr>
                <w:rStyle w:val="18"/>
                <w:rFonts w:ascii="宋体" w:hAnsi="宋体"/>
                <w:szCs w:val="21"/>
              </w:rPr>
              <w:t>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917"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rPr>
            </w:pPr>
            <w:r>
              <w:rPr>
                <w:rStyle w:val="18"/>
                <w:rFonts w:ascii="宋体" w:hAnsi="宋体"/>
                <w:szCs w:val="21"/>
              </w:rPr>
              <w:t>1.3.3</w:t>
            </w:r>
          </w:p>
        </w:tc>
        <w:tc>
          <w:tcPr>
            <w:tcW w:w="3372" w:type="dxa"/>
            <w:tcBorders>
              <w:top w:val="single" w:color="000000" w:sz="4" w:space="0"/>
              <w:left w:val="single" w:color="000000" w:sz="4" w:space="0"/>
              <w:bottom w:val="single" w:color="000000" w:sz="4" w:space="0"/>
              <w:right w:val="single" w:color="000000" w:sz="4" w:space="0"/>
            </w:tcBorders>
            <w:vAlign w:val="center"/>
          </w:tcPr>
          <w:p>
            <w:pPr>
              <w:rPr>
                <w:rStyle w:val="18"/>
                <w:rFonts w:ascii="宋体" w:hAnsi="宋体"/>
                <w:szCs w:val="21"/>
              </w:rPr>
            </w:pPr>
            <w:r>
              <w:rPr>
                <w:rStyle w:val="18"/>
                <w:rFonts w:ascii="宋体" w:hAnsi="宋体"/>
                <w:szCs w:val="21"/>
              </w:rPr>
              <w:t>交货地点</w:t>
            </w:r>
          </w:p>
        </w:tc>
        <w:tc>
          <w:tcPr>
            <w:tcW w:w="4783" w:type="dxa"/>
            <w:tcBorders>
              <w:top w:val="single" w:color="000000" w:sz="4" w:space="0"/>
              <w:left w:val="single" w:color="000000" w:sz="4" w:space="0"/>
              <w:bottom w:val="single" w:color="000000" w:sz="4" w:space="0"/>
              <w:right w:val="single" w:color="000000" w:sz="4" w:space="0"/>
            </w:tcBorders>
            <w:vAlign w:val="center"/>
          </w:tcPr>
          <w:p>
            <w:pPr>
              <w:rPr>
                <w:rStyle w:val="18"/>
                <w:rFonts w:ascii="宋体" w:hAnsi="宋体"/>
                <w:szCs w:val="21"/>
              </w:rPr>
            </w:pPr>
            <w:r>
              <w:rPr>
                <w:rStyle w:val="18"/>
                <w:rFonts w:ascii="宋体" w:hAnsi="宋体"/>
                <w:szCs w:val="21"/>
              </w:rPr>
              <w:t>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917"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rPr>
            </w:pPr>
            <w:r>
              <w:rPr>
                <w:rStyle w:val="18"/>
                <w:rFonts w:ascii="宋体" w:hAnsi="宋体"/>
                <w:szCs w:val="21"/>
              </w:rPr>
              <w:t>1.3.4</w:t>
            </w:r>
          </w:p>
        </w:tc>
        <w:tc>
          <w:tcPr>
            <w:tcW w:w="3372" w:type="dxa"/>
            <w:tcBorders>
              <w:top w:val="single" w:color="000000" w:sz="4" w:space="0"/>
              <w:left w:val="single" w:color="000000" w:sz="4" w:space="0"/>
              <w:bottom w:val="single" w:color="000000" w:sz="4" w:space="0"/>
              <w:right w:val="single" w:color="000000" w:sz="4" w:space="0"/>
            </w:tcBorders>
            <w:vAlign w:val="center"/>
          </w:tcPr>
          <w:p>
            <w:pPr>
              <w:rPr>
                <w:rStyle w:val="18"/>
                <w:rFonts w:ascii="宋体" w:hAnsi="宋体"/>
                <w:szCs w:val="21"/>
              </w:rPr>
            </w:pPr>
            <w:r>
              <w:rPr>
                <w:rStyle w:val="18"/>
                <w:rFonts w:ascii="宋体" w:hAnsi="宋体"/>
                <w:szCs w:val="21"/>
              </w:rPr>
              <w:t>质量要求及验收标准</w:t>
            </w:r>
          </w:p>
        </w:tc>
        <w:tc>
          <w:tcPr>
            <w:tcW w:w="4783" w:type="dxa"/>
            <w:tcBorders>
              <w:top w:val="single" w:color="000000" w:sz="4" w:space="0"/>
              <w:left w:val="single" w:color="000000" w:sz="4" w:space="0"/>
              <w:bottom w:val="single" w:color="000000" w:sz="4" w:space="0"/>
              <w:right w:val="single" w:color="000000" w:sz="4" w:space="0"/>
            </w:tcBorders>
            <w:vAlign w:val="center"/>
          </w:tcPr>
          <w:p>
            <w:pPr>
              <w:rPr>
                <w:rStyle w:val="18"/>
                <w:rFonts w:ascii="宋体" w:hAnsi="宋体"/>
                <w:szCs w:val="21"/>
              </w:rPr>
            </w:pPr>
            <w:r>
              <w:rPr>
                <w:rStyle w:val="18"/>
                <w:rFonts w:ascii="宋体" w:hAnsi="宋体"/>
                <w:szCs w:val="21"/>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917"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rPr>
            </w:pPr>
            <w:r>
              <w:rPr>
                <w:rStyle w:val="18"/>
                <w:rFonts w:ascii="宋体" w:hAnsi="宋体"/>
                <w:szCs w:val="21"/>
              </w:rPr>
              <w:t>1.4.1</w:t>
            </w:r>
          </w:p>
        </w:tc>
        <w:tc>
          <w:tcPr>
            <w:tcW w:w="3372" w:type="dxa"/>
            <w:tcBorders>
              <w:top w:val="single" w:color="000000" w:sz="4" w:space="0"/>
              <w:left w:val="single" w:color="000000" w:sz="4" w:space="0"/>
              <w:bottom w:val="single" w:color="000000" w:sz="4" w:space="0"/>
              <w:right w:val="single" w:color="000000" w:sz="4" w:space="0"/>
            </w:tcBorders>
            <w:vAlign w:val="center"/>
          </w:tcPr>
          <w:p>
            <w:pPr>
              <w:rPr>
                <w:rStyle w:val="18"/>
                <w:rFonts w:ascii="宋体" w:hAnsi="宋体"/>
                <w:szCs w:val="21"/>
              </w:rPr>
            </w:pPr>
            <w:r>
              <w:rPr>
                <w:rStyle w:val="18"/>
                <w:rFonts w:ascii="宋体" w:hAnsi="宋体"/>
                <w:szCs w:val="21"/>
              </w:rPr>
              <w:t>投标人资格要求</w:t>
            </w:r>
          </w:p>
        </w:tc>
        <w:tc>
          <w:tcPr>
            <w:tcW w:w="4783" w:type="dxa"/>
            <w:tcBorders>
              <w:top w:val="single" w:color="000000" w:sz="4" w:space="0"/>
              <w:left w:val="single" w:color="000000" w:sz="4" w:space="0"/>
              <w:bottom w:val="single" w:color="000000" w:sz="4" w:space="0"/>
              <w:right w:val="single" w:color="000000" w:sz="4" w:space="0"/>
            </w:tcBorders>
            <w:vAlign w:val="center"/>
          </w:tcPr>
          <w:p>
            <w:pPr>
              <w:rPr>
                <w:rStyle w:val="18"/>
                <w:rFonts w:ascii="宋体" w:hAnsi="宋体"/>
                <w:szCs w:val="21"/>
              </w:rPr>
            </w:pPr>
            <w:r>
              <w:rPr>
                <w:rStyle w:val="18"/>
                <w:rFonts w:ascii="宋体" w:hAnsi="宋体"/>
                <w:szCs w:val="21"/>
              </w:rPr>
              <w:t>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jc w:val="center"/>
        </w:trPr>
        <w:tc>
          <w:tcPr>
            <w:tcW w:w="917"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rPr>
            </w:pPr>
            <w:r>
              <w:rPr>
                <w:rStyle w:val="18"/>
                <w:rFonts w:ascii="宋体" w:hAnsi="宋体"/>
                <w:szCs w:val="21"/>
              </w:rPr>
              <w:t>1.4.2</w:t>
            </w:r>
          </w:p>
        </w:tc>
        <w:tc>
          <w:tcPr>
            <w:tcW w:w="3372" w:type="dxa"/>
            <w:tcBorders>
              <w:top w:val="single" w:color="000000" w:sz="4" w:space="0"/>
              <w:left w:val="single" w:color="000000" w:sz="4" w:space="0"/>
              <w:bottom w:val="single" w:color="000000" w:sz="4" w:space="0"/>
              <w:right w:val="single" w:color="000000" w:sz="4" w:space="0"/>
            </w:tcBorders>
            <w:vAlign w:val="center"/>
          </w:tcPr>
          <w:p>
            <w:pPr>
              <w:rPr>
                <w:rStyle w:val="18"/>
                <w:rFonts w:ascii="宋体" w:hAnsi="宋体"/>
                <w:szCs w:val="21"/>
              </w:rPr>
            </w:pPr>
            <w:r>
              <w:rPr>
                <w:rStyle w:val="18"/>
                <w:rFonts w:ascii="宋体" w:hAnsi="宋体"/>
                <w:szCs w:val="21"/>
              </w:rPr>
              <w:t>是否接受联合体投标</w:t>
            </w:r>
          </w:p>
        </w:tc>
        <w:tc>
          <w:tcPr>
            <w:tcW w:w="4783" w:type="dxa"/>
            <w:tcBorders>
              <w:top w:val="single" w:color="000000" w:sz="4" w:space="0"/>
              <w:left w:val="single" w:color="000000" w:sz="4" w:space="0"/>
              <w:bottom w:val="single" w:color="000000" w:sz="4" w:space="0"/>
              <w:right w:val="single" w:color="000000" w:sz="4" w:space="0"/>
            </w:tcBorders>
            <w:vAlign w:val="center"/>
          </w:tcPr>
          <w:p>
            <w:pPr>
              <w:rPr>
                <w:rStyle w:val="18"/>
                <w:rFonts w:ascii="宋体" w:hAnsi="宋体"/>
                <w:kern w:val="0"/>
                <w:szCs w:val="21"/>
              </w:rPr>
            </w:pPr>
            <w:r>
              <w:rPr>
                <w:rStyle w:val="18"/>
                <w:rFonts w:ascii="宋体" w:hAnsi="宋体"/>
                <w:szCs w:val="21"/>
              </w:rPr>
              <w:t>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jc w:val="center"/>
        </w:trPr>
        <w:tc>
          <w:tcPr>
            <w:tcW w:w="917"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b/>
                <w:szCs w:val="21"/>
              </w:rPr>
            </w:pPr>
            <w:r>
              <w:rPr>
                <w:rStyle w:val="18"/>
                <w:rFonts w:ascii="宋体" w:hAnsi="宋体"/>
                <w:szCs w:val="21"/>
              </w:rPr>
              <w:t>1.9.1</w:t>
            </w:r>
          </w:p>
        </w:tc>
        <w:tc>
          <w:tcPr>
            <w:tcW w:w="3372" w:type="dxa"/>
            <w:tcBorders>
              <w:top w:val="single" w:color="000000" w:sz="4" w:space="0"/>
              <w:left w:val="single" w:color="000000" w:sz="4" w:space="0"/>
              <w:bottom w:val="single" w:color="000000" w:sz="4" w:space="0"/>
              <w:right w:val="single" w:color="000000" w:sz="4" w:space="0"/>
            </w:tcBorders>
            <w:vAlign w:val="center"/>
          </w:tcPr>
          <w:p>
            <w:pPr>
              <w:rPr>
                <w:rStyle w:val="18"/>
                <w:rFonts w:ascii="宋体" w:hAnsi="宋体"/>
                <w:b/>
                <w:szCs w:val="21"/>
              </w:rPr>
            </w:pPr>
            <w:r>
              <w:rPr>
                <w:rStyle w:val="18"/>
                <w:rFonts w:ascii="宋体" w:hAnsi="宋体"/>
                <w:kern w:val="0"/>
                <w:szCs w:val="21"/>
              </w:rPr>
              <w:t>踏勘现场</w:t>
            </w:r>
          </w:p>
        </w:tc>
        <w:tc>
          <w:tcPr>
            <w:tcW w:w="4783" w:type="dxa"/>
            <w:tcBorders>
              <w:top w:val="single" w:color="000000" w:sz="4" w:space="0"/>
              <w:left w:val="single" w:color="000000" w:sz="4" w:space="0"/>
              <w:bottom w:val="single" w:color="000000" w:sz="4" w:space="0"/>
              <w:right w:val="single" w:color="000000" w:sz="4" w:space="0"/>
            </w:tcBorders>
            <w:vAlign w:val="center"/>
          </w:tcPr>
          <w:p>
            <w:pPr>
              <w:rPr>
                <w:rStyle w:val="18"/>
                <w:rFonts w:ascii="宋体" w:hAnsi="宋体"/>
                <w:b/>
                <w:szCs w:val="21"/>
                <w:u w:val="single"/>
              </w:rPr>
            </w:pPr>
            <w:r>
              <w:rPr>
                <w:rStyle w:val="18"/>
                <w:rFonts w:ascii="宋体" w:hAnsi="宋体"/>
                <w:szCs w:val="21"/>
              </w:rPr>
              <w:t>投标人自行踏勘现场，招标人不组织集中踏勘</w:t>
            </w:r>
            <w:r>
              <w:rPr>
                <w:rStyle w:val="18"/>
                <w:rFonts w:ascii="宋体" w:hAnsi="宋体"/>
                <w:kern w:val="0"/>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jc w:val="center"/>
        </w:trPr>
        <w:tc>
          <w:tcPr>
            <w:tcW w:w="917"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rPr>
            </w:pPr>
            <w:r>
              <w:rPr>
                <w:rStyle w:val="18"/>
                <w:rFonts w:ascii="宋体" w:hAnsi="宋体"/>
                <w:szCs w:val="21"/>
              </w:rPr>
              <w:t>1.10</w:t>
            </w:r>
          </w:p>
        </w:tc>
        <w:tc>
          <w:tcPr>
            <w:tcW w:w="3372" w:type="dxa"/>
            <w:tcBorders>
              <w:top w:val="single" w:color="000000" w:sz="4" w:space="0"/>
              <w:left w:val="single" w:color="000000" w:sz="4" w:space="0"/>
              <w:bottom w:val="single" w:color="000000" w:sz="4" w:space="0"/>
              <w:right w:val="single" w:color="000000" w:sz="4" w:space="0"/>
            </w:tcBorders>
            <w:vAlign w:val="center"/>
          </w:tcPr>
          <w:p>
            <w:pPr>
              <w:rPr>
                <w:rStyle w:val="18"/>
                <w:rFonts w:ascii="宋体" w:hAnsi="宋体"/>
                <w:szCs w:val="21"/>
              </w:rPr>
            </w:pPr>
            <w:r>
              <w:rPr>
                <w:rStyle w:val="18"/>
                <w:rFonts w:ascii="宋体" w:hAnsi="宋体"/>
                <w:szCs w:val="21"/>
              </w:rPr>
              <w:t>投标预备会</w:t>
            </w:r>
          </w:p>
        </w:tc>
        <w:tc>
          <w:tcPr>
            <w:tcW w:w="4783" w:type="dxa"/>
            <w:tcBorders>
              <w:top w:val="single" w:color="000000" w:sz="4" w:space="0"/>
              <w:left w:val="single" w:color="000000" w:sz="4" w:space="0"/>
              <w:bottom w:val="single" w:color="000000" w:sz="4" w:space="0"/>
              <w:right w:val="single" w:color="000000" w:sz="4" w:space="0"/>
            </w:tcBorders>
            <w:vAlign w:val="center"/>
          </w:tcPr>
          <w:p>
            <w:pPr>
              <w:rPr>
                <w:rStyle w:val="18"/>
                <w:rFonts w:ascii="宋体" w:hAnsi="宋体"/>
                <w:szCs w:val="21"/>
              </w:rPr>
            </w:pPr>
            <w:r>
              <w:rPr>
                <w:rStyle w:val="18"/>
                <w:rFonts w:ascii="宋体" w:hAnsi="宋体"/>
                <w:kern w:val="0"/>
                <w:szCs w:val="21"/>
              </w:rPr>
              <w:sym w:font="Wingdings 2" w:char="0052"/>
            </w:r>
            <w:r>
              <w:rPr>
                <w:rStyle w:val="18"/>
                <w:rFonts w:ascii="宋体" w:hAnsi="宋体"/>
                <w:szCs w:val="21"/>
              </w:rPr>
              <w:t>不召开</w:t>
            </w:r>
          </w:p>
          <w:p>
            <w:pPr>
              <w:rPr>
                <w:rStyle w:val="18"/>
                <w:rFonts w:ascii="宋体" w:hAnsi="宋体"/>
                <w:szCs w:val="21"/>
              </w:rPr>
            </w:pPr>
            <w:r>
              <w:rPr>
                <w:rStyle w:val="18"/>
                <w:rFonts w:ascii="宋体" w:hAnsi="宋体"/>
                <w:kern w:val="0"/>
                <w:szCs w:val="21"/>
              </w:rPr>
              <w:t>□</w:t>
            </w:r>
            <w:r>
              <w:rPr>
                <w:rStyle w:val="18"/>
                <w:rFonts w:ascii="宋体" w:hAnsi="宋体"/>
                <w:szCs w:val="21"/>
              </w:rPr>
              <w:t>召开，召开时间：</w:t>
            </w:r>
          </w:p>
          <w:p>
            <w:pPr>
              <w:ind w:firstLine="840" w:firstLineChars="400"/>
              <w:rPr>
                <w:rStyle w:val="18"/>
                <w:rFonts w:ascii="宋体" w:hAnsi="宋体"/>
                <w:szCs w:val="21"/>
              </w:rPr>
            </w:pPr>
            <w:r>
              <w:rPr>
                <w:rStyle w:val="18"/>
                <w:rFonts w:ascii="宋体" w:hAnsi="宋体"/>
                <w:szCs w:val="21"/>
              </w:rPr>
              <w:t>召开地点：</w:t>
            </w:r>
          </w:p>
          <w:p>
            <w:pPr>
              <w:ind w:firstLine="840" w:firstLineChars="400"/>
              <w:rPr>
                <w:rStyle w:val="18"/>
                <w:rFonts w:ascii="宋体" w:hAnsi="宋体"/>
                <w:szCs w:val="21"/>
              </w:rPr>
            </w:pPr>
            <w:r>
              <w:rPr>
                <w:rStyle w:val="18"/>
                <w:rFonts w:ascii="宋体" w:hAnsi="宋体"/>
                <w:szCs w:val="21"/>
              </w:rPr>
              <w:t>投标人提出问题的截止时间：</w:t>
            </w:r>
          </w:p>
          <w:p>
            <w:pPr>
              <w:ind w:firstLine="840" w:firstLineChars="400"/>
              <w:rPr>
                <w:rStyle w:val="18"/>
                <w:rFonts w:ascii="宋体" w:hAnsi="宋体"/>
                <w:szCs w:val="21"/>
              </w:rPr>
            </w:pPr>
            <w:r>
              <w:rPr>
                <w:rStyle w:val="18"/>
                <w:rFonts w:ascii="宋体" w:hAnsi="宋体"/>
                <w:szCs w:val="21"/>
              </w:rPr>
              <w:t>招标人澄清的截止时间：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1" w:hRule="atLeast"/>
          <w:jc w:val="center"/>
        </w:trPr>
        <w:tc>
          <w:tcPr>
            <w:tcW w:w="917"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rPr>
            </w:pPr>
            <w:r>
              <w:rPr>
                <w:rStyle w:val="18"/>
                <w:rFonts w:ascii="宋体" w:hAnsi="宋体"/>
                <w:szCs w:val="21"/>
              </w:rPr>
              <w:t>1.11</w:t>
            </w:r>
          </w:p>
        </w:tc>
        <w:tc>
          <w:tcPr>
            <w:tcW w:w="3372" w:type="dxa"/>
            <w:tcBorders>
              <w:top w:val="single" w:color="000000" w:sz="4" w:space="0"/>
              <w:left w:val="single" w:color="000000" w:sz="4" w:space="0"/>
              <w:bottom w:val="single" w:color="000000" w:sz="4" w:space="0"/>
              <w:right w:val="single" w:color="000000" w:sz="4" w:space="0"/>
            </w:tcBorders>
            <w:vAlign w:val="center"/>
          </w:tcPr>
          <w:p>
            <w:pPr>
              <w:rPr>
                <w:rStyle w:val="18"/>
                <w:rFonts w:ascii="宋体" w:hAnsi="宋体"/>
                <w:szCs w:val="21"/>
              </w:rPr>
            </w:pPr>
            <w:r>
              <w:rPr>
                <w:rStyle w:val="18"/>
                <w:rFonts w:ascii="宋体" w:hAnsi="宋体"/>
                <w:szCs w:val="21"/>
              </w:rPr>
              <w:t>偏离</w:t>
            </w:r>
          </w:p>
        </w:tc>
        <w:tc>
          <w:tcPr>
            <w:tcW w:w="4783" w:type="dxa"/>
            <w:tcBorders>
              <w:top w:val="single" w:color="000000" w:sz="4" w:space="0"/>
              <w:left w:val="single" w:color="000000" w:sz="4" w:space="0"/>
              <w:bottom w:val="single" w:color="000000" w:sz="4" w:space="0"/>
              <w:right w:val="single" w:color="000000" w:sz="4" w:space="0"/>
            </w:tcBorders>
            <w:vAlign w:val="center"/>
          </w:tcPr>
          <w:p>
            <w:pPr>
              <w:rPr>
                <w:rStyle w:val="18"/>
                <w:rFonts w:ascii="宋体" w:hAnsi="宋体"/>
                <w:szCs w:val="21"/>
              </w:rPr>
            </w:pPr>
            <w:r>
              <w:rPr>
                <w:rStyle w:val="18"/>
                <w:rFonts w:ascii="宋体" w:hAnsi="宋体"/>
                <w:kern w:val="0"/>
                <w:szCs w:val="21"/>
              </w:rPr>
              <w:sym w:font="Wingdings 2" w:char="0052"/>
            </w:r>
            <w:r>
              <w:rPr>
                <w:rStyle w:val="18"/>
                <w:rFonts w:ascii="宋体" w:hAnsi="宋体"/>
                <w:szCs w:val="21"/>
              </w:rPr>
              <w:t>不允许</w:t>
            </w:r>
          </w:p>
          <w:p>
            <w:pPr>
              <w:rPr>
                <w:rStyle w:val="18"/>
                <w:rFonts w:ascii="宋体" w:hAnsi="宋体"/>
                <w:szCs w:val="21"/>
              </w:rPr>
            </w:pPr>
            <w:r>
              <w:rPr>
                <w:rStyle w:val="18"/>
                <w:rFonts w:ascii="宋体" w:hAnsi="宋体"/>
                <w:kern w:val="0"/>
                <w:szCs w:val="21"/>
              </w:rPr>
              <w:t>□</w:t>
            </w:r>
            <w:r>
              <w:rPr>
                <w:rStyle w:val="18"/>
                <w:rFonts w:ascii="宋体" w:hAnsi="宋体"/>
                <w:szCs w:val="21"/>
              </w:rPr>
              <w:t>允许，允许偏离范围：</w:t>
            </w:r>
          </w:p>
          <w:p>
            <w:pPr>
              <w:ind w:firstLine="840" w:firstLineChars="400"/>
              <w:rPr>
                <w:rStyle w:val="18"/>
                <w:rFonts w:ascii="宋体" w:hAnsi="宋体"/>
                <w:szCs w:val="21"/>
              </w:rPr>
            </w:pPr>
            <w:r>
              <w:rPr>
                <w:rStyle w:val="18"/>
                <w:rFonts w:ascii="宋体" w:hAnsi="宋体"/>
                <w:szCs w:val="21"/>
              </w:rPr>
              <w:t>允许偏离幅度：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jc w:val="center"/>
        </w:trPr>
        <w:tc>
          <w:tcPr>
            <w:tcW w:w="917"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rPr>
            </w:pPr>
            <w:r>
              <w:rPr>
                <w:rStyle w:val="18"/>
                <w:rFonts w:ascii="宋体" w:hAnsi="宋体"/>
                <w:szCs w:val="21"/>
              </w:rPr>
              <w:t>2.1.1</w:t>
            </w:r>
          </w:p>
        </w:tc>
        <w:tc>
          <w:tcPr>
            <w:tcW w:w="3372"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kern w:val="0"/>
                <w:szCs w:val="21"/>
              </w:rPr>
            </w:pPr>
            <w:r>
              <w:rPr>
                <w:rStyle w:val="18"/>
                <w:rFonts w:ascii="宋体" w:hAnsi="宋体"/>
                <w:kern w:val="0"/>
                <w:szCs w:val="21"/>
              </w:rPr>
              <w:t>构成招标文件的其它材料</w:t>
            </w:r>
          </w:p>
        </w:tc>
        <w:tc>
          <w:tcPr>
            <w:tcW w:w="4783" w:type="dxa"/>
            <w:tcBorders>
              <w:top w:val="single" w:color="000000" w:sz="4" w:space="0"/>
              <w:left w:val="single" w:color="000000" w:sz="4" w:space="0"/>
              <w:bottom w:val="single" w:color="000000" w:sz="4" w:space="0"/>
              <w:right w:val="single" w:color="000000" w:sz="4" w:space="0"/>
            </w:tcBorders>
            <w:vAlign w:val="center"/>
          </w:tcPr>
          <w:p>
            <w:pPr>
              <w:rPr>
                <w:rStyle w:val="18"/>
                <w:rFonts w:ascii="宋体" w:hAnsi="宋体"/>
                <w:kern w:val="0"/>
                <w:szCs w:val="21"/>
              </w:rPr>
            </w:pPr>
            <w:r>
              <w:rPr>
                <w:rStyle w:val="18"/>
                <w:rFonts w:ascii="宋体" w:hAnsi="宋体"/>
                <w:kern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jc w:val="center"/>
        </w:trPr>
        <w:tc>
          <w:tcPr>
            <w:tcW w:w="917"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rPr>
            </w:pPr>
            <w:r>
              <w:rPr>
                <w:rStyle w:val="18"/>
                <w:rFonts w:ascii="宋体" w:hAnsi="宋体"/>
                <w:szCs w:val="21"/>
              </w:rPr>
              <w:t>2.2.1</w:t>
            </w:r>
          </w:p>
        </w:tc>
        <w:tc>
          <w:tcPr>
            <w:tcW w:w="3372" w:type="dxa"/>
            <w:tcBorders>
              <w:top w:val="single" w:color="000000" w:sz="4" w:space="0"/>
              <w:left w:val="single" w:color="000000" w:sz="4" w:space="0"/>
              <w:bottom w:val="single" w:color="000000" w:sz="4" w:space="0"/>
              <w:right w:val="single" w:color="000000" w:sz="4" w:space="0"/>
            </w:tcBorders>
            <w:vAlign w:val="center"/>
          </w:tcPr>
          <w:p>
            <w:pPr>
              <w:rPr>
                <w:rStyle w:val="18"/>
                <w:rFonts w:ascii="宋体" w:hAnsi="宋体"/>
                <w:szCs w:val="21"/>
              </w:rPr>
            </w:pPr>
            <w:r>
              <w:rPr>
                <w:rStyle w:val="18"/>
                <w:rFonts w:ascii="宋体" w:hAnsi="宋体"/>
                <w:szCs w:val="21"/>
              </w:rPr>
              <w:t>投标人要求澄清招标文件截至时间</w:t>
            </w:r>
          </w:p>
        </w:tc>
        <w:tc>
          <w:tcPr>
            <w:tcW w:w="4783" w:type="dxa"/>
            <w:tcBorders>
              <w:top w:val="single" w:color="000000" w:sz="4" w:space="0"/>
              <w:left w:val="single" w:color="000000" w:sz="4" w:space="0"/>
              <w:bottom w:val="single" w:color="000000" w:sz="4" w:space="0"/>
              <w:right w:val="single" w:color="000000" w:sz="4" w:space="0"/>
            </w:tcBorders>
            <w:vAlign w:val="center"/>
          </w:tcPr>
          <w:p>
            <w:pPr>
              <w:rPr>
                <w:rStyle w:val="18"/>
                <w:rFonts w:ascii="宋体" w:hAnsi="宋体"/>
                <w:szCs w:val="21"/>
              </w:rPr>
            </w:pPr>
            <w:r>
              <w:rPr>
                <w:rStyle w:val="18"/>
                <w:rFonts w:ascii="宋体" w:hAnsi="宋体"/>
                <w:szCs w:val="21"/>
              </w:rPr>
              <w:t>2021年</w:t>
            </w:r>
            <w:r>
              <w:rPr>
                <w:rStyle w:val="18"/>
                <w:rFonts w:ascii="宋体" w:hAnsi="宋体"/>
                <w:szCs w:val="21"/>
                <w:u w:val="single"/>
              </w:rPr>
              <w:t xml:space="preserve">  </w:t>
            </w:r>
            <w:r>
              <w:rPr>
                <w:rStyle w:val="18"/>
                <w:rFonts w:hint="eastAsia" w:ascii="宋体" w:hAnsi="宋体"/>
                <w:szCs w:val="21"/>
                <w:u w:val="single"/>
              </w:rPr>
              <w:t xml:space="preserve"> 2</w:t>
            </w:r>
            <w:r>
              <w:rPr>
                <w:rStyle w:val="18"/>
                <w:rFonts w:ascii="宋体" w:hAnsi="宋体"/>
                <w:szCs w:val="21"/>
                <w:u w:val="single"/>
              </w:rPr>
              <w:t xml:space="preserve">  </w:t>
            </w:r>
            <w:r>
              <w:rPr>
                <w:rStyle w:val="18"/>
                <w:rFonts w:ascii="宋体" w:hAnsi="宋体"/>
                <w:szCs w:val="21"/>
              </w:rPr>
              <w:t>月</w:t>
            </w:r>
            <w:r>
              <w:rPr>
                <w:rStyle w:val="18"/>
                <w:rFonts w:hint="eastAsia" w:ascii="宋体" w:hAnsi="宋体"/>
                <w:szCs w:val="21"/>
                <w:u w:val="single"/>
                <w:lang w:val="en-US" w:eastAsia="zh-CN"/>
              </w:rPr>
              <w:t>22</w:t>
            </w:r>
            <w:r>
              <w:rPr>
                <w:rStyle w:val="18"/>
                <w:rFonts w:ascii="宋体" w:hAnsi="宋体"/>
                <w:szCs w:val="21"/>
                <w:u w:val="single"/>
              </w:rPr>
              <w:t xml:space="preserve"> </w:t>
            </w:r>
            <w:r>
              <w:rPr>
                <w:rStyle w:val="18"/>
                <w:rFonts w:hint="eastAsia" w:ascii="宋体" w:hAnsi="宋体"/>
                <w:szCs w:val="21"/>
                <w:u w:val="single"/>
              </w:rPr>
              <w:t xml:space="preserve"> </w:t>
            </w:r>
            <w:r>
              <w:rPr>
                <w:rStyle w:val="18"/>
                <w:rFonts w:ascii="宋体" w:hAnsi="宋体"/>
                <w:szCs w:val="21"/>
                <w:u w:val="single"/>
              </w:rPr>
              <w:t xml:space="preserve">  </w:t>
            </w:r>
            <w:r>
              <w:rPr>
                <w:rStyle w:val="18"/>
                <w:rFonts w:ascii="宋体" w:hAnsi="宋体"/>
                <w:szCs w:val="21"/>
              </w:rPr>
              <w:t>日12时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jc w:val="center"/>
        </w:trPr>
        <w:tc>
          <w:tcPr>
            <w:tcW w:w="917"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rPr>
            </w:pPr>
            <w:r>
              <w:rPr>
                <w:rStyle w:val="18"/>
                <w:rFonts w:ascii="宋体" w:hAnsi="宋体"/>
                <w:szCs w:val="21"/>
              </w:rPr>
              <w:t>2.2.3</w:t>
            </w:r>
          </w:p>
        </w:tc>
        <w:tc>
          <w:tcPr>
            <w:tcW w:w="3372" w:type="dxa"/>
            <w:tcBorders>
              <w:top w:val="single" w:color="000000" w:sz="4" w:space="0"/>
              <w:left w:val="single" w:color="000000" w:sz="4" w:space="0"/>
              <w:bottom w:val="single" w:color="000000" w:sz="4" w:space="0"/>
              <w:right w:val="single" w:color="000000" w:sz="4" w:space="0"/>
            </w:tcBorders>
            <w:vAlign w:val="center"/>
          </w:tcPr>
          <w:p>
            <w:pPr>
              <w:rPr>
                <w:rStyle w:val="18"/>
                <w:rFonts w:ascii="宋体" w:hAnsi="宋体"/>
                <w:szCs w:val="21"/>
              </w:rPr>
            </w:pPr>
            <w:r>
              <w:rPr>
                <w:rStyle w:val="18"/>
                <w:rFonts w:ascii="宋体" w:hAnsi="宋体"/>
                <w:szCs w:val="21"/>
              </w:rPr>
              <w:t>投标人确认收到招标文件澄清时间</w:t>
            </w:r>
          </w:p>
        </w:tc>
        <w:tc>
          <w:tcPr>
            <w:tcW w:w="4783" w:type="dxa"/>
            <w:tcBorders>
              <w:top w:val="single" w:color="000000" w:sz="4" w:space="0"/>
              <w:left w:val="single" w:color="000000" w:sz="4" w:space="0"/>
              <w:bottom w:val="single" w:color="000000" w:sz="4" w:space="0"/>
              <w:right w:val="single" w:color="000000" w:sz="4" w:space="0"/>
            </w:tcBorders>
            <w:vAlign w:val="center"/>
          </w:tcPr>
          <w:p>
            <w:pPr>
              <w:rPr>
                <w:rStyle w:val="18"/>
                <w:rFonts w:ascii="宋体" w:hAnsi="宋体"/>
                <w:szCs w:val="21"/>
              </w:rPr>
            </w:pPr>
            <w:r>
              <w:rPr>
                <w:rStyle w:val="18"/>
                <w:rFonts w:ascii="宋体" w:hAnsi="宋体"/>
                <w:szCs w:val="21"/>
              </w:rPr>
              <w:t>投标人自行网上查寻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jc w:val="center"/>
        </w:trPr>
        <w:tc>
          <w:tcPr>
            <w:tcW w:w="917"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rPr>
            </w:pPr>
            <w:r>
              <w:rPr>
                <w:rStyle w:val="18"/>
                <w:rFonts w:ascii="宋体" w:hAnsi="宋体"/>
                <w:szCs w:val="21"/>
              </w:rPr>
              <w:t>2.3.2</w:t>
            </w:r>
          </w:p>
        </w:tc>
        <w:tc>
          <w:tcPr>
            <w:tcW w:w="3372" w:type="dxa"/>
            <w:tcBorders>
              <w:top w:val="single" w:color="000000" w:sz="4" w:space="0"/>
              <w:left w:val="single" w:color="000000" w:sz="4" w:space="0"/>
              <w:bottom w:val="single" w:color="000000" w:sz="4" w:space="0"/>
              <w:right w:val="single" w:color="000000" w:sz="4" w:space="0"/>
            </w:tcBorders>
            <w:vAlign w:val="center"/>
          </w:tcPr>
          <w:p>
            <w:pPr>
              <w:rPr>
                <w:rStyle w:val="18"/>
                <w:rFonts w:ascii="宋体" w:hAnsi="宋体"/>
                <w:szCs w:val="21"/>
              </w:rPr>
            </w:pPr>
            <w:r>
              <w:rPr>
                <w:rStyle w:val="18"/>
                <w:rFonts w:ascii="宋体" w:hAnsi="宋体"/>
                <w:szCs w:val="21"/>
              </w:rPr>
              <w:t>投标人确认收到招标文件修改时间</w:t>
            </w:r>
          </w:p>
        </w:tc>
        <w:tc>
          <w:tcPr>
            <w:tcW w:w="4783" w:type="dxa"/>
            <w:tcBorders>
              <w:top w:val="single" w:color="000000" w:sz="4" w:space="0"/>
              <w:left w:val="single" w:color="000000" w:sz="4" w:space="0"/>
              <w:bottom w:val="single" w:color="000000" w:sz="4" w:space="0"/>
              <w:right w:val="single" w:color="000000" w:sz="4" w:space="0"/>
            </w:tcBorders>
            <w:vAlign w:val="center"/>
          </w:tcPr>
          <w:p>
            <w:pPr>
              <w:rPr>
                <w:rStyle w:val="18"/>
                <w:rFonts w:ascii="宋体" w:hAnsi="宋体"/>
                <w:szCs w:val="21"/>
              </w:rPr>
            </w:pPr>
            <w:r>
              <w:rPr>
                <w:rStyle w:val="18"/>
                <w:rFonts w:ascii="宋体" w:hAnsi="宋体"/>
                <w:szCs w:val="21"/>
              </w:rPr>
              <w:t>投标人自行网上查寻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jc w:val="center"/>
        </w:trPr>
        <w:tc>
          <w:tcPr>
            <w:tcW w:w="917"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rPr>
            </w:pPr>
            <w:r>
              <w:rPr>
                <w:rStyle w:val="18"/>
                <w:rFonts w:ascii="宋体" w:hAnsi="宋体"/>
                <w:szCs w:val="21"/>
              </w:rPr>
              <w:t>3.1.1</w:t>
            </w:r>
          </w:p>
        </w:tc>
        <w:tc>
          <w:tcPr>
            <w:tcW w:w="3372" w:type="dxa"/>
            <w:tcBorders>
              <w:top w:val="single" w:color="000000" w:sz="4" w:space="0"/>
              <w:left w:val="single" w:color="000000" w:sz="4" w:space="0"/>
              <w:bottom w:val="single" w:color="000000" w:sz="4" w:space="0"/>
              <w:right w:val="single" w:color="000000" w:sz="4" w:space="0"/>
            </w:tcBorders>
            <w:vAlign w:val="center"/>
          </w:tcPr>
          <w:p>
            <w:pPr>
              <w:rPr>
                <w:rStyle w:val="18"/>
                <w:rFonts w:ascii="宋体" w:hAnsi="宋体"/>
                <w:szCs w:val="21"/>
              </w:rPr>
            </w:pPr>
            <w:r>
              <w:rPr>
                <w:rStyle w:val="18"/>
                <w:rFonts w:ascii="宋体" w:hAnsi="宋体"/>
                <w:szCs w:val="21"/>
              </w:rPr>
              <w:t>投标文件的组成</w:t>
            </w:r>
          </w:p>
        </w:tc>
        <w:tc>
          <w:tcPr>
            <w:tcW w:w="4783" w:type="dxa"/>
            <w:tcBorders>
              <w:top w:val="single" w:color="000000" w:sz="4" w:space="0"/>
              <w:left w:val="single" w:color="000000" w:sz="4" w:space="0"/>
              <w:bottom w:val="single" w:color="000000" w:sz="4" w:space="0"/>
              <w:right w:val="single" w:color="000000" w:sz="4" w:space="0"/>
            </w:tcBorders>
            <w:vAlign w:val="center"/>
          </w:tcPr>
          <w:p>
            <w:pPr>
              <w:rPr>
                <w:rStyle w:val="18"/>
                <w:rFonts w:ascii="宋体" w:hAnsi="宋体"/>
                <w:szCs w:val="21"/>
              </w:rPr>
            </w:pPr>
            <w:r>
              <w:rPr>
                <w:rStyle w:val="18"/>
                <w:rFonts w:ascii="宋体" w:hAnsi="宋体"/>
                <w:kern w:val="0"/>
                <w:szCs w:val="21"/>
              </w:rPr>
              <w:t>详见投标人须知3.1投标文件的组成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917"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rPr>
            </w:pPr>
            <w:r>
              <w:rPr>
                <w:rStyle w:val="18"/>
                <w:rFonts w:ascii="宋体" w:hAnsi="宋体"/>
                <w:szCs w:val="21"/>
              </w:rPr>
              <w:t>3.1.3</w:t>
            </w:r>
          </w:p>
        </w:tc>
        <w:tc>
          <w:tcPr>
            <w:tcW w:w="3372" w:type="dxa"/>
            <w:tcBorders>
              <w:top w:val="single" w:color="000000" w:sz="4" w:space="0"/>
              <w:left w:val="single" w:color="000000" w:sz="4" w:space="0"/>
              <w:bottom w:val="single" w:color="000000" w:sz="4" w:space="0"/>
              <w:right w:val="single" w:color="000000" w:sz="4" w:space="0"/>
            </w:tcBorders>
            <w:vAlign w:val="center"/>
          </w:tcPr>
          <w:p>
            <w:pPr>
              <w:rPr>
                <w:rStyle w:val="18"/>
                <w:rFonts w:ascii="宋体" w:hAnsi="宋体"/>
                <w:szCs w:val="21"/>
              </w:rPr>
            </w:pPr>
            <w:r>
              <w:rPr>
                <w:rStyle w:val="18"/>
                <w:rFonts w:ascii="宋体" w:hAnsi="宋体"/>
                <w:szCs w:val="21"/>
              </w:rPr>
              <w:t>须提交核验的原件材料</w:t>
            </w:r>
          </w:p>
        </w:tc>
        <w:tc>
          <w:tcPr>
            <w:tcW w:w="4783" w:type="dxa"/>
            <w:tcBorders>
              <w:top w:val="single" w:color="000000" w:sz="4" w:space="0"/>
              <w:left w:val="single" w:color="000000" w:sz="4" w:space="0"/>
              <w:bottom w:val="single" w:color="000000" w:sz="4" w:space="0"/>
              <w:right w:val="single" w:color="000000" w:sz="4" w:space="0"/>
            </w:tcBorders>
            <w:vAlign w:val="center"/>
          </w:tcPr>
          <w:p>
            <w:pPr>
              <w:rPr>
                <w:rStyle w:val="18"/>
                <w:rFonts w:ascii="宋体" w:hAnsi="宋体"/>
                <w:szCs w:val="21"/>
                <w:u w:val="single"/>
              </w:rPr>
            </w:pPr>
            <w:r>
              <w:rPr>
                <w:rStyle w:val="18"/>
                <w:rFonts w:ascii="宋体" w:hAnsi="宋体"/>
                <w:szCs w:val="21"/>
              </w:rPr>
              <w:t>详见投标人须知3.1投标文件的组成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917"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rPr>
            </w:pPr>
            <w:r>
              <w:rPr>
                <w:rStyle w:val="18"/>
                <w:rFonts w:ascii="宋体" w:hAnsi="宋体"/>
                <w:szCs w:val="21"/>
              </w:rPr>
              <w:t>3.2.2</w:t>
            </w:r>
          </w:p>
        </w:tc>
        <w:tc>
          <w:tcPr>
            <w:tcW w:w="3372" w:type="dxa"/>
            <w:tcBorders>
              <w:top w:val="single" w:color="000000" w:sz="4" w:space="0"/>
              <w:left w:val="single" w:color="000000" w:sz="4" w:space="0"/>
              <w:bottom w:val="single" w:color="000000" w:sz="4" w:space="0"/>
              <w:right w:val="single" w:color="000000" w:sz="4" w:space="0"/>
            </w:tcBorders>
            <w:vAlign w:val="center"/>
          </w:tcPr>
          <w:p>
            <w:pPr>
              <w:rPr>
                <w:rStyle w:val="18"/>
                <w:rFonts w:ascii="宋体" w:hAnsi="宋体"/>
                <w:szCs w:val="21"/>
              </w:rPr>
            </w:pPr>
            <w:r>
              <w:rPr>
                <w:rStyle w:val="18"/>
                <w:rFonts w:ascii="宋体" w:hAnsi="宋体"/>
                <w:szCs w:val="21"/>
              </w:rPr>
              <w:t>投标报价要求</w:t>
            </w:r>
          </w:p>
        </w:tc>
        <w:tc>
          <w:tcPr>
            <w:tcW w:w="4783" w:type="dxa"/>
            <w:tcBorders>
              <w:top w:val="single" w:color="000000" w:sz="4" w:space="0"/>
              <w:left w:val="single" w:color="000000" w:sz="4" w:space="0"/>
              <w:bottom w:val="single" w:color="000000" w:sz="4" w:space="0"/>
              <w:right w:val="single" w:color="000000" w:sz="4" w:space="0"/>
            </w:tcBorders>
            <w:vAlign w:val="center"/>
          </w:tcPr>
          <w:p>
            <w:pPr>
              <w:rPr>
                <w:rStyle w:val="18"/>
                <w:rFonts w:ascii="宋体" w:hAnsi="宋体"/>
                <w:szCs w:val="21"/>
                <w:u w:val="single"/>
              </w:rPr>
            </w:pPr>
            <w:r>
              <w:rPr>
                <w:rStyle w:val="18"/>
                <w:rFonts w:ascii="宋体" w:hAnsi="宋体"/>
                <w:szCs w:val="21"/>
              </w:rPr>
              <w:t>投标报价是履行合同的最终价格（如采购需求发生变化，采购数量按实计算，中标全费用综合单价不变），投标所报单价为全费用综合单价</w:t>
            </w:r>
            <w:r>
              <w:rPr>
                <w:rStyle w:val="18"/>
                <w:rFonts w:hint="eastAsia" w:ascii="宋体" w:hAnsi="宋体"/>
                <w:szCs w:val="21"/>
              </w:rPr>
              <w:t>，包含</w:t>
            </w:r>
            <w:r>
              <w:rPr>
                <w:rStyle w:val="18"/>
                <w:rFonts w:ascii="宋体" w:hAnsi="宋体"/>
                <w:szCs w:val="21"/>
              </w:rPr>
              <w:t>完成本项目所涉及的一切</w:t>
            </w:r>
            <w:r>
              <w:rPr>
                <w:rStyle w:val="18"/>
                <w:rFonts w:hint="eastAsia" w:ascii="宋体" w:hAnsi="宋体"/>
                <w:szCs w:val="21"/>
              </w:rPr>
              <w:t>运输到指定地点的采购设备、装运费用、安装调试、平台系统的集成对接、培训、测试、验收、售后服务、风险费、计算机软件著作权费、税金、利润等</w:t>
            </w:r>
            <w:r>
              <w:rPr>
                <w:rStyle w:val="18"/>
                <w:rFonts w:ascii="宋体" w:hAnsi="宋体"/>
                <w:szCs w:val="21"/>
              </w:rPr>
              <w:t>。本次投标除非因特殊原因并经双方协商同意，投标单位不得再要求追加任何费用。同时，除非合同条款中另有规定，否则，投标单位服务费用在合同实施期间不因市场变化因素而变动。投标单位应对招标文件内所要招标的全部内容进行报价，只投其中部分内容者，其投标文件将被拒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917"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rPr>
            </w:pPr>
            <w:r>
              <w:rPr>
                <w:rStyle w:val="18"/>
                <w:rFonts w:ascii="宋体" w:hAnsi="宋体"/>
                <w:szCs w:val="21"/>
              </w:rPr>
              <w:t>3.2.3</w:t>
            </w:r>
          </w:p>
        </w:tc>
        <w:tc>
          <w:tcPr>
            <w:tcW w:w="3372" w:type="dxa"/>
            <w:tcBorders>
              <w:top w:val="single" w:color="000000" w:sz="4" w:space="0"/>
              <w:left w:val="single" w:color="000000" w:sz="4" w:space="0"/>
              <w:bottom w:val="single" w:color="000000" w:sz="4" w:space="0"/>
              <w:right w:val="single" w:color="000000" w:sz="4" w:space="0"/>
            </w:tcBorders>
            <w:vAlign w:val="center"/>
          </w:tcPr>
          <w:p>
            <w:pPr>
              <w:rPr>
                <w:rStyle w:val="18"/>
                <w:rFonts w:ascii="宋体" w:hAnsi="宋体"/>
                <w:szCs w:val="21"/>
              </w:rPr>
            </w:pPr>
            <w:r>
              <w:rPr>
                <w:rStyle w:val="18"/>
                <w:rFonts w:ascii="宋体" w:hAnsi="宋体"/>
                <w:szCs w:val="21"/>
              </w:rPr>
              <w:t>最高投标限价</w:t>
            </w:r>
          </w:p>
        </w:tc>
        <w:tc>
          <w:tcPr>
            <w:tcW w:w="4783" w:type="dxa"/>
            <w:tcBorders>
              <w:top w:val="single" w:color="000000" w:sz="4" w:space="0"/>
              <w:left w:val="single" w:color="000000" w:sz="4" w:space="0"/>
              <w:bottom w:val="single" w:color="000000" w:sz="4" w:space="0"/>
              <w:right w:val="single" w:color="000000" w:sz="4" w:space="0"/>
            </w:tcBorders>
            <w:vAlign w:val="center"/>
          </w:tcPr>
          <w:p>
            <w:pPr>
              <w:rPr>
                <w:rStyle w:val="18"/>
                <w:rFonts w:ascii="宋体" w:hAnsi="宋体"/>
                <w:szCs w:val="21"/>
              </w:rPr>
            </w:pPr>
            <w:r>
              <w:rPr>
                <w:rStyle w:val="18"/>
                <w:rFonts w:hint="eastAsia" w:ascii="宋体" w:hAnsi="宋体"/>
                <w:szCs w:val="21"/>
              </w:rPr>
              <w:t>613.82</w:t>
            </w:r>
            <w:r>
              <w:rPr>
                <w:rStyle w:val="18"/>
                <w:rFonts w:ascii="宋体" w:hAnsi="宋体"/>
                <w:szCs w:val="21"/>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917"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rPr>
            </w:pPr>
            <w:r>
              <w:rPr>
                <w:rStyle w:val="18"/>
                <w:rFonts w:ascii="宋体" w:hAnsi="宋体"/>
                <w:szCs w:val="21"/>
              </w:rPr>
              <w:t>3.3.1</w:t>
            </w:r>
          </w:p>
        </w:tc>
        <w:tc>
          <w:tcPr>
            <w:tcW w:w="3372" w:type="dxa"/>
            <w:tcBorders>
              <w:top w:val="single" w:color="000000" w:sz="4" w:space="0"/>
              <w:left w:val="single" w:color="000000" w:sz="4" w:space="0"/>
              <w:bottom w:val="single" w:color="000000" w:sz="4" w:space="0"/>
              <w:right w:val="single" w:color="000000" w:sz="4" w:space="0"/>
            </w:tcBorders>
            <w:vAlign w:val="center"/>
          </w:tcPr>
          <w:p>
            <w:pPr>
              <w:rPr>
                <w:rStyle w:val="18"/>
                <w:rFonts w:ascii="宋体" w:hAnsi="宋体"/>
                <w:szCs w:val="21"/>
              </w:rPr>
            </w:pPr>
            <w:r>
              <w:rPr>
                <w:rStyle w:val="18"/>
                <w:rFonts w:ascii="宋体" w:hAnsi="宋体"/>
                <w:szCs w:val="21"/>
              </w:rPr>
              <w:t>投标有效期</w:t>
            </w:r>
          </w:p>
        </w:tc>
        <w:tc>
          <w:tcPr>
            <w:tcW w:w="4783" w:type="dxa"/>
            <w:tcBorders>
              <w:top w:val="single" w:color="000000" w:sz="4" w:space="0"/>
              <w:left w:val="single" w:color="000000" w:sz="4" w:space="0"/>
              <w:bottom w:val="single" w:color="000000" w:sz="4" w:space="0"/>
              <w:right w:val="single" w:color="000000" w:sz="4" w:space="0"/>
            </w:tcBorders>
            <w:vAlign w:val="center"/>
          </w:tcPr>
          <w:p>
            <w:pPr>
              <w:rPr>
                <w:rStyle w:val="18"/>
                <w:rFonts w:ascii="宋体" w:hAnsi="宋体"/>
                <w:szCs w:val="21"/>
              </w:rPr>
            </w:pPr>
            <w:r>
              <w:rPr>
                <w:rStyle w:val="18"/>
                <w:rFonts w:ascii="宋体" w:hAnsi="宋体"/>
                <w:szCs w:val="21"/>
                <w:u w:val="single"/>
              </w:rPr>
              <w:t>90</w:t>
            </w:r>
            <w:r>
              <w:rPr>
                <w:rStyle w:val="18"/>
                <w:rFonts w:ascii="宋体" w:hAnsi="宋体"/>
                <w:szCs w:val="21"/>
                <w:lang w:val="zh-CN"/>
              </w:rPr>
              <w:t>日（从投标截止之日算起）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jc w:val="center"/>
        </w:trPr>
        <w:tc>
          <w:tcPr>
            <w:tcW w:w="917"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rPr>
            </w:pPr>
            <w:r>
              <w:rPr>
                <w:rStyle w:val="18"/>
                <w:rFonts w:ascii="宋体" w:hAnsi="宋体"/>
                <w:szCs w:val="21"/>
              </w:rPr>
              <w:t>3.4.1</w:t>
            </w:r>
          </w:p>
        </w:tc>
        <w:tc>
          <w:tcPr>
            <w:tcW w:w="3372" w:type="dxa"/>
            <w:tcBorders>
              <w:top w:val="single" w:color="000000" w:sz="4" w:space="0"/>
              <w:left w:val="single" w:color="000000" w:sz="4" w:space="0"/>
              <w:bottom w:val="single" w:color="000000" w:sz="4" w:space="0"/>
              <w:right w:val="single" w:color="000000" w:sz="4" w:space="0"/>
            </w:tcBorders>
            <w:vAlign w:val="center"/>
          </w:tcPr>
          <w:p>
            <w:pPr>
              <w:rPr>
                <w:rStyle w:val="18"/>
                <w:rFonts w:ascii="宋体" w:hAnsi="宋体"/>
                <w:szCs w:val="21"/>
              </w:rPr>
            </w:pPr>
            <w:r>
              <w:rPr>
                <w:rStyle w:val="18"/>
                <w:rFonts w:ascii="宋体" w:hAnsi="宋体"/>
                <w:szCs w:val="21"/>
              </w:rPr>
              <w:t>投标保证金</w:t>
            </w:r>
          </w:p>
        </w:tc>
        <w:tc>
          <w:tcPr>
            <w:tcW w:w="4783" w:type="dxa"/>
            <w:tcBorders>
              <w:top w:val="single" w:color="000000" w:sz="4" w:space="0"/>
              <w:left w:val="single" w:color="000000" w:sz="4" w:space="0"/>
              <w:bottom w:val="single" w:color="000000" w:sz="4" w:space="0"/>
              <w:right w:val="single" w:color="000000" w:sz="4" w:space="0"/>
            </w:tcBorders>
            <w:vAlign w:val="center"/>
          </w:tcPr>
          <w:p>
            <w:pPr>
              <w:rPr>
                <w:rStyle w:val="18"/>
                <w:rFonts w:ascii="宋体" w:hAnsi="宋体"/>
                <w:szCs w:val="21"/>
                <w:u w:val="single"/>
              </w:rPr>
            </w:pPr>
            <w:r>
              <w:rPr>
                <w:rFonts w:hint="eastAsia"/>
                <w:color w:val="000000" w:themeColor="text1"/>
                <w:szCs w:val="21"/>
                <w14:textFill>
                  <w14:solidFill>
                    <w14:schemeClr w14:val="tx1"/>
                  </w14:solidFill>
                </w14:textFill>
              </w:rPr>
              <w:t>本项目无需缴纳投标保证金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jc w:val="center"/>
        </w:trPr>
        <w:tc>
          <w:tcPr>
            <w:tcW w:w="917"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rPr>
            </w:pPr>
            <w:r>
              <w:rPr>
                <w:rStyle w:val="18"/>
                <w:rFonts w:ascii="宋体" w:hAnsi="宋体"/>
                <w:szCs w:val="21"/>
              </w:rPr>
              <w:t>3.6</w:t>
            </w:r>
          </w:p>
        </w:tc>
        <w:tc>
          <w:tcPr>
            <w:tcW w:w="3372" w:type="dxa"/>
            <w:tcBorders>
              <w:top w:val="single" w:color="000000" w:sz="4" w:space="0"/>
              <w:left w:val="single" w:color="000000" w:sz="4" w:space="0"/>
              <w:bottom w:val="single" w:color="000000" w:sz="4" w:space="0"/>
              <w:right w:val="single" w:color="000000" w:sz="4" w:space="0"/>
            </w:tcBorders>
            <w:vAlign w:val="center"/>
          </w:tcPr>
          <w:p>
            <w:pPr>
              <w:rPr>
                <w:rStyle w:val="18"/>
                <w:rFonts w:ascii="宋体" w:hAnsi="宋体"/>
                <w:szCs w:val="21"/>
              </w:rPr>
            </w:pPr>
            <w:r>
              <w:rPr>
                <w:rStyle w:val="18"/>
                <w:rFonts w:ascii="宋体" w:hAnsi="宋体"/>
                <w:szCs w:val="21"/>
              </w:rPr>
              <w:t>是否允许递交备选投标方案</w:t>
            </w:r>
          </w:p>
        </w:tc>
        <w:tc>
          <w:tcPr>
            <w:tcW w:w="4783" w:type="dxa"/>
            <w:tcBorders>
              <w:top w:val="single" w:color="000000" w:sz="4" w:space="0"/>
              <w:left w:val="single" w:color="000000" w:sz="4" w:space="0"/>
              <w:bottom w:val="single" w:color="000000" w:sz="4" w:space="0"/>
              <w:right w:val="single" w:color="000000" w:sz="4" w:space="0"/>
            </w:tcBorders>
            <w:vAlign w:val="center"/>
          </w:tcPr>
          <w:p>
            <w:pPr>
              <w:rPr>
                <w:rStyle w:val="18"/>
                <w:rFonts w:ascii="宋体" w:hAnsi="宋体"/>
                <w:szCs w:val="21"/>
              </w:rPr>
            </w:pPr>
            <w:r>
              <w:rPr>
                <w:rStyle w:val="18"/>
                <w:rFonts w:ascii="宋体" w:hAnsi="宋体"/>
                <w:kern w:val="0"/>
                <w:szCs w:val="21"/>
              </w:rPr>
              <w:sym w:font="Wingdings 2" w:char="0052"/>
            </w:r>
            <w:r>
              <w:rPr>
                <w:rStyle w:val="18"/>
                <w:rFonts w:ascii="宋体" w:hAnsi="宋体"/>
                <w:szCs w:val="21"/>
              </w:rPr>
              <w:t>不允许</w:t>
            </w:r>
          </w:p>
          <w:p>
            <w:pPr>
              <w:rPr>
                <w:rStyle w:val="18"/>
                <w:rFonts w:ascii="宋体" w:hAnsi="宋体"/>
                <w:szCs w:val="21"/>
              </w:rPr>
            </w:pPr>
            <w:r>
              <w:rPr>
                <w:rStyle w:val="18"/>
                <w:rFonts w:ascii="宋体" w:hAnsi="宋体"/>
                <w:kern w:val="0"/>
                <w:szCs w:val="21"/>
              </w:rPr>
              <w:t>□</w:t>
            </w:r>
            <w:r>
              <w:rPr>
                <w:rStyle w:val="18"/>
                <w:rFonts w:ascii="宋体" w:hAnsi="宋体"/>
                <w:szCs w:val="21"/>
              </w:rPr>
              <w:t>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jc w:val="center"/>
        </w:trPr>
        <w:tc>
          <w:tcPr>
            <w:tcW w:w="917"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rPr>
            </w:pPr>
            <w:r>
              <w:rPr>
                <w:rStyle w:val="18"/>
                <w:rFonts w:ascii="宋体" w:hAnsi="宋体"/>
                <w:szCs w:val="21"/>
              </w:rPr>
              <w:t>3.7.4</w:t>
            </w:r>
          </w:p>
        </w:tc>
        <w:tc>
          <w:tcPr>
            <w:tcW w:w="3372" w:type="dxa"/>
            <w:tcBorders>
              <w:top w:val="single" w:color="000000" w:sz="4" w:space="0"/>
              <w:left w:val="single" w:color="000000" w:sz="4" w:space="0"/>
              <w:bottom w:val="single" w:color="000000" w:sz="4" w:space="0"/>
              <w:right w:val="single" w:color="000000" w:sz="4" w:space="0"/>
            </w:tcBorders>
            <w:vAlign w:val="center"/>
          </w:tcPr>
          <w:p>
            <w:pPr>
              <w:jc w:val="left"/>
              <w:rPr>
                <w:rStyle w:val="18"/>
                <w:rFonts w:ascii="宋体" w:hAnsi="宋体"/>
                <w:szCs w:val="21"/>
              </w:rPr>
            </w:pPr>
            <w:r>
              <w:rPr>
                <w:rStyle w:val="18"/>
                <w:rFonts w:ascii="宋体" w:hAnsi="宋体"/>
                <w:szCs w:val="21"/>
              </w:rPr>
              <w:t>投标文件数量</w:t>
            </w:r>
          </w:p>
        </w:tc>
        <w:tc>
          <w:tcPr>
            <w:tcW w:w="4783" w:type="dxa"/>
            <w:tcBorders>
              <w:top w:val="single" w:color="000000" w:sz="4" w:space="0"/>
              <w:left w:val="single" w:color="000000" w:sz="4" w:space="0"/>
              <w:bottom w:val="single" w:color="000000" w:sz="4" w:space="0"/>
              <w:right w:val="single" w:color="000000" w:sz="4" w:space="0"/>
            </w:tcBorders>
            <w:vAlign w:val="center"/>
          </w:tcPr>
          <w:p>
            <w:pPr>
              <w:rPr>
                <w:rStyle w:val="18"/>
                <w:rFonts w:ascii="宋体" w:hAnsi="宋体"/>
                <w:kern w:val="0"/>
                <w:szCs w:val="21"/>
              </w:rPr>
            </w:pPr>
            <w:r>
              <w:rPr>
                <w:rStyle w:val="18"/>
                <w:rFonts w:ascii="宋体" w:hAnsi="宋体"/>
                <w:kern w:val="0"/>
                <w:szCs w:val="21"/>
              </w:rPr>
              <w:t>开标一览表</w:t>
            </w:r>
            <w:r>
              <w:rPr>
                <w:rStyle w:val="18"/>
                <w:rFonts w:ascii="宋体" w:hAnsi="宋体"/>
                <w:kern w:val="0"/>
                <w:szCs w:val="21"/>
                <w:u w:val="single"/>
              </w:rPr>
              <w:t>1</w:t>
            </w:r>
            <w:r>
              <w:rPr>
                <w:rStyle w:val="18"/>
                <w:rFonts w:ascii="宋体" w:hAnsi="宋体"/>
                <w:kern w:val="0"/>
                <w:szCs w:val="21"/>
              </w:rPr>
              <w:t>份；投标文件正本</w:t>
            </w:r>
            <w:r>
              <w:rPr>
                <w:rStyle w:val="18"/>
                <w:rFonts w:ascii="宋体" w:hAnsi="宋体"/>
                <w:kern w:val="0"/>
                <w:szCs w:val="21"/>
                <w:u w:val="single"/>
              </w:rPr>
              <w:t xml:space="preserve"> 1 </w:t>
            </w:r>
            <w:r>
              <w:rPr>
                <w:rStyle w:val="18"/>
                <w:rFonts w:ascii="宋体" w:hAnsi="宋体"/>
                <w:kern w:val="0"/>
                <w:szCs w:val="21"/>
              </w:rPr>
              <w:t>份，副本</w:t>
            </w:r>
            <w:r>
              <w:rPr>
                <w:rStyle w:val="18"/>
                <w:rFonts w:ascii="宋体" w:hAnsi="宋体"/>
                <w:kern w:val="0"/>
                <w:szCs w:val="21"/>
                <w:u w:val="single"/>
              </w:rPr>
              <w:t xml:space="preserve"> 4 </w:t>
            </w:r>
            <w:r>
              <w:rPr>
                <w:rStyle w:val="18"/>
                <w:rFonts w:ascii="宋体" w:hAnsi="宋体"/>
                <w:kern w:val="0"/>
                <w:szCs w:val="21"/>
              </w:rPr>
              <w:t>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jc w:val="center"/>
        </w:trPr>
        <w:tc>
          <w:tcPr>
            <w:tcW w:w="917"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rPr>
            </w:pPr>
            <w:r>
              <w:rPr>
                <w:rStyle w:val="18"/>
                <w:rFonts w:ascii="宋体" w:hAnsi="宋体"/>
                <w:szCs w:val="21"/>
              </w:rPr>
              <w:t>3.7.5</w:t>
            </w:r>
          </w:p>
        </w:tc>
        <w:tc>
          <w:tcPr>
            <w:tcW w:w="3372" w:type="dxa"/>
            <w:tcBorders>
              <w:top w:val="single" w:color="000000" w:sz="4" w:space="0"/>
              <w:left w:val="single" w:color="000000" w:sz="4" w:space="0"/>
              <w:bottom w:val="single" w:color="000000" w:sz="4" w:space="0"/>
              <w:right w:val="single" w:color="000000" w:sz="4" w:space="0"/>
            </w:tcBorders>
            <w:vAlign w:val="center"/>
          </w:tcPr>
          <w:p>
            <w:pPr>
              <w:jc w:val="left"/>
              <w:rPr>
                <w:rStyle w:val="18"/>
                <w:rFonts w:ascii="宋体" w:hAnsi="宋体"/>
                <w:szCs w:val="21"/>
              </w:rPr>
            </w:pPr>
            <w:r>
              <w:rPr>
                <w:rStyle w:val="18"/>
                <w:rFonts w:ascii="宋体" w:hAnsi="宋体"/>
                <w:szCs w:val="21"/>
              </w:rPr>
              <w:t>投标文件装订要求</w:t>
            </w:r>
          </w:p>
        </w:tc>
        <w:tc>
          <w:tcPr>
            <w:tcW w:w="4783" w:type="dxa"/>
            <w:tcBorders>
              <w:top w:val="single" w:color="000000" w:sz="4" w:space="0"/>
              <w:left w:val="single" w:color="000000" w:sz="4" w:space="0"/>
              <w:bottom w:val="single" w:color="000000" w:sz="4" w:space="0"/>
              <w:right w:val="single" w:color="000000" w:sz="4" w:space="0"/>
            </w:tcBorders>
            <w:vAlign w:val="center"/>
          </w:tcPr>
          <w:p>
            <w:pPr>
              <w:rPr>
                <w:rStyle w:val="18"/>
                <w:rFonts w:ascii="宋体" w:hAnsi="宋体"/>
                <w:kern w:val="0"/>
                <w:szCs w:val="21"/>
              </w:rPr>
            </w:pPr>
            <w:r>
              <w:rPr>
                <w:rStyle w:val="18"/>
                <w:rFonts w:ascii="宋体" w:hAnsi="宋体"/>
                <w:kern w:val="0"/>
                <w:szCs w:val="21"/>
              </w:rPr>
              <w:t>1、投标人应按本招标文件规定的格式和顺序编制、装订投标文件并标注页码。</w:t>
            </w:r>
          </w:p>
          <w:p>
            <w:pPr>
              <w:rPr>
                <w:rStyle w:val="18"/>
                <w:rFonts w:ascii="宋体" w:hAnsi="宋体"/>
                <w:kern w:val="0"/>
                <w:szCs w:val="21"/>
              </w:rPr>
            </w:pPr>
            <w:r>
              <w:rPr>
                <w:rStyle w:val="18"/>
                <w:rFonts w:ascii="宋体" w:hAnsi="宋体"/>
                <w:kern w:val="0"/>
                <w:szCs w:val="21"/>
              </w:rPr>
              <w:t>2.投标文件正本1份，副本4份。</w:t>
            </w:r>
          </w:p>
          <w:p>
            <w:pPr>
              <w:rPr>
                <w:rStyle w:val="18"/>
                <w:rFonts w:ascii="宋体" w:hAnsi="宋体"/>
                <w:kern w:val="0"/>
                <w:szCs w:val="21"/>
              </w:rPr>
            </w:pPr>
            <w:r>
              <w:rPr>
                <w:rStyle w:val="18"/>
                <w:rFonts w:ascii="宋体" w:hAnsi="宋体"/>
                <w:kern w:val="0"/>
                <w:szCs w:val="21"/>
              </w:rPr>
              <w:t>3、投标文件的封面应注明“正本”、“副本”字样。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jc w:val="center"/>
        </w:trPr>
        <w:tc>
          <w:tcPr>
            <w:tcW w:w="917"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rPr>
            </w:pPr>
            <w:r>
              <w:rPr>
                <w:rStyle w:val="18"/>
                <w:rFonts w:ascii="宋体" w:hAnsi="宋体"/>
                <w:szCs w:val="21"/>
              </w:rPr>
              <w:t>4.2.1</w:t>
            </w:r>
          </w:p>
        </w:tc>
        <w:tc>
          <w:tcPr>
            <w:tcW w:w="3372" w:type="dxa"/>
            <w:tcBorders>
              <w:top w:val="single" w:color="000000" w:sz="4" w:space="0"/>
              <w:left w:val="single" w:color="000000" w:sz="4" w:space="0"/>
              <w:bottom w:val="single" w:color="000000" w:sz="4" w:space="0"/>
              <w:right w:val="single" w:color="000000" w:sz="4" w:space="0"/>
            </w:tcBorders>
            <w:vAlign w:val="center"/>
          </w:tcPr>
          <w:p>
            <w:pPr>
              <w:rPr>
                <w:rStyle w:val="18"/>
                <w:rFonts w:ascii="宋体" w:hAnsi="宋体"/>
                <w:szCs w:val="21"/>
              </w:rPr>
            </w:pPr>
            <w:r>
              <w:rPr>
                <w:rStyle w:val="18"/>
                <w:rFonts w:ascii="宋体" w:hAnsi="宋体"/>
                <w:szCs w:val="21"/>
              </w:rPr>
              <w:t>投标文件递交截止时间和地点</w:t>
            </w:r>
          </w:p>
        </w:tc>
        <w:tc>
          <w:tcPr>
            <w:tcW w:w="4783" w:type="dxa"/>
            <w:tcBorders>
              <w:top w:val="single" w:color="000000" w:sz="4" w:space="0"/>
              <w:left w:val="single" w:color="000000" w:sz="4" w:space="0"/>
              <w:bottom w:val="single" w:color="000000" w:sz="4" w:space="0"/>
              <w:right w:val="single" w:color="000000" w:sz="4" w:space="0"/>
            </w:tcBorders>
            <w:vAlign w:val="center"/>
          </w:tcPr>
          <w:p>
            <w:pPr>
              <w:rPr>
                <w:rStyle w:val="18"/>
                <w:rFonts w:ascii="宋体" w:hAnsi="宋体"/>
                <w:szCs w:val="21"/>
              </w:rPr>
            </w:pPr>
            <w:r>
              <w:rPr>
                <w:rStyle w:val="18"/>
                <w:rFonts w:ascii="宋体" w:hAnsi="宋体"/>
                <w:szCs w:val="21"/>
              </w:rPr>
              <w:t>时间：详见招标公告</w:t>
            </w:r>
          </w:p>
          <w:p>
            <w:pPr>
              <w:rPr>
                <w:rStyle w:val="18"/>
                <w:rFonts w:ascii="宋体" w:hAnsi="宋体"/>
                <w:szCs w:val="21"/>
              </w:rPr>
            </w:pPr>
            <w:r>
              <w:rPr>
                <w:rStyle w:val="18"/>
                <w:rFonts w:ascii="宋体" w:hAnsi="宋体"/>
                <w:szCs w:val="21"/>
              </w:rPr>
              <w:t>地点：详见招标公告，逾期送达或者未送达指定地点的投标文件，招标人不予受理。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917"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rPr>
            </w:pPr>
            <w:r>
              <w:rPr>
                <w:rStyle w:val="18"/>
                <w:rFonts w:ascii="宋体" w:hAnsi="宋体"/>
                <w:szCs w:val="21"/>
              </w:rPr>
              <w:t>4.2.3</w:t>
            </w:r>
          </w:p>
        </w:tc>
        <w:tc>
          <w:tcPr>
            <w:tcW w:w="3372" w:type="dxa"/>
            <w:tcBorders>
              <w:top w:val="single" w:color="000000" w:sz="4" w:space="0"/>
              <w:left w:val="single" w:color="000000" w:sz="4" w:space="0"/>
              <w:bottom w:val="single" w:color="000000" w:sz="4" w:space="0"/>
              <w:right w:val="single" w:color="000000" w:sz="4" w:space="0"/>
            </w:tcBorders>
            <w:vAlign w:val="center"/>
          </w:tcPr>
          <w:p>
            <w:pPr>
              <w:rPr>
                <w:rStyle w:val="18"/>
                <w:rFonts w:ascii="宋体" w:hAnsi="宋体"/>
                <w:szCs w:val="21"/>
              </w:rPr>
            </w:pPr>
            <w:r>
              <w:rPr>
                <w:rStyle w:val="18"/>
                <w:rFonts w:ascii="宋体" w:hAnsi="宋体"/>
                <w:szCs w:val="21"/>
              </w:rPr>
              <w:t>是否退还投标文件</w:t>
            </w:r>
          </w:p>
        </w:tc>
        <w:tc>
          <w:tcPr>
            <w:tcW w:w="4783" w:type="dxa"/>
            <w:tcBorders>
              <w:top w:val="single" w:color="000000" w:sz="4" w:space="0"/>
              <w:left w:val="single" w:color="000000" w:sz="4" w:space="0"/>
              <w:bottom w:val="single" w:color="000000" w:sz="4" w:space="0"/>
              <w:right w:val="single" w:color="000000" w:sz="4" w:space="0"/>
            </w:tcBorders>
            <w:vAlign w:val="center"/>
          </w:tcPr>
          <w:p>
            <w:pPr>
              <w:rPr>
                <w:rStyle w:val="18"/>
                <w:rFonts w:ascii="宋体" w:hAnsi="宋体"/>
                <w:szCs w:val="21"/>
              </w:rPr>
            </w:pPr>
            <w:r>
              <w:rPr>
                <w:rStyle w:val="18"/>
                <w:rFonts w:ascii="宋体" w:hAnsi="宋体"/>
                <w:kern w:val="0"/>
                <w:szCs w:val="21"/>
              </w:rPr>
              <w:sym w:font="Wingdings 2" w:char="0052"/>
            </w:r>
            <w:r>
              <w:rPr>
                <w:rStyle w:val="18"/>
                <w:rFonts w:ascii="宋体" w:hAnsi="宋体"/>
                <w:szCs w:val="21"/>
              </w:rPr>
              <w:t>否</w:t>
            </w:r>
          </w:p>
          <w:p>
            <w:pPr>
              <w:rPr>
                <w:rStyle w:val="18"/>
                <w:rFonts w:ascii="宋体" w:hAnsi="宋体"/>
                <w:szCs w:val="21"/>
                <w:u w:val="single"/>
              </w:rPr>
            </w:pPr>
            <w:r>
              <w:rPr>
                <w:rStyle w:val="18"/>
                <w:rFonts w:ascii="宋体" w:hAnsi="宋体"/>
                <w:kern w:val="0"/>
                <w:szCs w:val="21"/>
              </w:rPr>
              <w:t>□</w:t>
            </w:r>
            <w:r>
              <w:rPr>
                <w:rStyle w:val="18"/>
                <w:rFonts w:ascii="宋体" w:hAnsi="宋体"/>
                <w:szCs w:val="21"/>
              </w:rPr>
              <w:t>是，退还安排：</w:t>
            </w:r>
            <w:r>
              <w:rPr>
                <w:rStyle w:val="18"/>
                <w:rFonts w:ascii="宋体" w:hAnsi="宋体"/>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jc w:val="center"/>
        </w:trPr>
        <w:tc>
          <w:tcPr>
            <w:tcW w:w="917"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rPr>
            </w:pPr>
            <w:r>
              <w:rPr>
                <w:rStyle w:val="18"/>
                <w:rFonts w:ascii="宋体" w:hAnsi="宋体"/>
                <w:szCs w:val="21"/>
              </w:rPr>
              <w:t>5.1</w:t>
            </w:r>
          </w:p>
        </w:tc>
        <w:tc>
          <w:tcPr>
            <w:tcW w:w="3372" w:type="dxa"/>
            <w:tcBorders>
              <w:top w:val="single" w:color="000000" w:sz="4" w:space="0"/>
              <w:left w:val="single" w:color="000000" w:sz="4" w:space="0"/>
              <w:bottom w:val="single" w:color="000000" w:sz="4" w:space="0"/>
              <w:right w:val="single" w:color="000000" w:sz="4" w:space="0"/>
            </w:tcBorders>
            <w:vAlign w:val="center"/>
          </w:tcPr>
          <w:p>
            <w:pPr>
              <w:rPr>
                <w:rStyle w:val="18"/>
                <w:rFonts w:ascii="宋体" w:hAnsi="宋体"/>
                <w:szCs w:val="21"/>
              </w:rPr>
            </w:pPr>
            <w:r>
              <w:rPr>
                <w:rStyle w:val="18"/>
                <w:rFonts w:ascii="宋体" w:hAnsi="宋体"/>
                <w:szCs w:val="21"/>
              </w:rPr>
              <w:t>开标时间和地点</w:t>
            </w:r>
          </w:p>
        </w:tc>
        <w:tc>
          <w:tcPr>
            <w:tcW w:w="4783" w:type="dxa"/>
            <w:tcBorders>
              <w:top w:val="single" w:color="000000" w:sz="4" w:space="0"/>
              <w:left w:val="single" w:color="000000" w:sz="4" w:space="0"/>
              <w:bottom w:val="single" w:color="000000" w:sz="4" w:space="0"/>
              <w:right w:val="single" w:color="000000" w:sz="4" w:space="0"/>
            </w:tcBorders>
            <w:vAlign w:val="center"/>
          </w:tcPr>
          <w:p>
            <w:pPr>
              <w:rPr>
                <w:rStyle w:val="18"/>
                <w:rFonts w:ascii="宋体" w:hAnsi="宋体"/>
                <w:szCs w:val="21"/>
              </w:rPr>
            </w:pPr>
            <w:r>
              <w:rPr>
                <w:rStyle w:val="18"/>
                <w:rFonts w:ascii="宋体" w:hAnsi="宋体"/>
                <w:szCs w:val="21"/>
              </w:rPr>
              <w:t>开标时间：同投标截止时间</w:t>
            </w:r>
          </w:p>
          <w:p>
            <w:pPr>
              <w:rPr>
                <w:rStyle w:val="18"/>
                <w:rFonts w:ascii="宋体" w:hAnsi="宋体"/>
                <w:szCs w:val="21"/>
                <w:u w:val="single"/>
              </w:rPr>
            </w:pPr>
            <w:r>
              <w:rPr>
                <w:rStyle w:val="18"/>
                <w:rFonts w:ascii="宋体" w:hAnsi="宋体"/>
                <w:szCs w:val="21"/>
              </w:rPr>
              <w:t>开标地点：同递交投标文件地点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jc w:val="center"/>
        </w:trPr>
        <w:tc>
          <w:tcPr>
            <w:tcW w:w="917"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rPr>
            </w:pPr>
            <w:r>
              <w:rPr>
                <w:rStyle w:val="18"/>
                <w:rFonts w:ascii="宋体" w:hAnsi="宋体"/>
                <w:szCs w:val="21"/>
              </w:rPr>
              <w:t>6.4</w:t>
            </w:r>
          </w:p>
        </w:tc>
        <w:tc>
          <w:tcPr>
            <w:tcW w:w="3372" w:type="dxa"/>
            <w:tcBorders>
              <w:top w:val="single" w:color="000000" w:sz="4" w:space="0"/>
              <w:left w:val="single" w:color="000000" w:sz="4" w:space="0"/>
              <w:bottom w:val="single" w:color="000000" w:sz="4" w:space="0"/>
              <w:right w:val="single" w:color="000000" w:sz="4" w:space="0"/>
            </w:tcBorders>
            <w:vAlign w:val="center"/>
          </w:tcPr>
          <w:p>
            <w:pPr>
              <w:rPr>
                <w:rStyle w:val="18"/>
                <w:rFonts w:ascii="宋体" w:hAnsi="宋体"/>
                <w:szCs w:val="21"/>
              </w:rPr>
            </w:pPr>
            <w:r>
              <w:rPr>
                <w:rStyle w:val="18"/>
                <w:rFonts w:ascii="宋体" w:hAnsi="宋体"/>
                <w:szCs w:val="21"/>
              </w:rPr>
              <w:t>多标段推荐中标候选人方法</w:t>
            </w:r>
          </w:p>
        </w:tc>
        <w:tc>
          <w:tcPr>
            <w:tcW w:w="4783" w:type="dxa"/>
            <w:tcBorders>
              <w:top w:val="single" w:color="000000" w:sz="4" w:space="0"/>
              <w:left w:val="single" w:color="000000" w:sz="4" w:space="0"/>
              <w:bottom w:val="single" w:color="000000" w:sz="4" w:space="0"/>
              <w:right w:val="single" w:color="000000" w:sz="4" w:space="0"/>
            </w:tcBorders>
            <w:vAlign w:val="center"/>
          </w:tcPr>
          <w:p>
            <w:pPr>
              <w:rPr>
                <w:rStyle w:val="18"/>
                <w:rFonts w:ascii="宋体" w:hAnsi="宋体"/>
                <w:szCs w:val="21"/>
              </w:rPr>
            </w:pPr>
            <w:r>
              <w:rPr>
                <w:rStyle w:val="18"/>
                <w:rFonts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jc w:val="center"/>
        </w:trPr>
        <w:tc>
          <w:tcPr>
            <w:tcW w:w="917"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rPr>
            </w:pPr>
            <w:r>
              <w:rPr>
                <w:rStyle w:val="18"/>
                <w:rFonts w:ascii="宋体" w:hAnsi="宋体"/>
                <w:szCs w:val="21"/>
              </w:rPr>
              <w:t>8.1</w:t>
            </w:r>
          </w:p>
        </w:tc>
        <w:tc>
          <w:tcPr>
            <w:tcW w:w="3372" w:type="dxa"/>
            <w:tcBorders>
              <w:top w:val="single" w:color="000000" w:sz="4" w:space="0"/>
              <w:left w:val="single" w:color="000000" w:sz="4" w:space="0"/>
              <w:bottom w:val="single" w:color="000000" w:sz="4" w:space="0"/>
              <w:right w:val="single" w:color="000000" w:sz="4" w:space="0"/>
            </w:tcBorders>
            <w:vAlign w:val="center"/>
          </w:tcPr>
          <w:p>
            <w:pPr>
              <w:rPr>
                <w:rStyle w:val="18"/>
                <w:rFonts w:ascii="宋体" w:hAnsi="宋体"/>
                <w:szCs w:val="21"/>
              </w:rPr>
            </w:pPr>
            <w:r>
              <w:rPr>
                <w:rStyle w:val="18"/>
                <w:rFonts w:ascii="宋体" w:hAnsi="宋体"/>
                <w:szCs w:val="21"/>
              </w:rPr>
              <w:t>是否授权评标委员会确定中标人</w:t>
            </w:r>
          </w:p>
        </w:tc>
        <w:tc>
          <w:tcPr>
            <w:tcW w:w="4783" w:type="dxa"/>
            <w:tcBorders>
              <w:top w:val="single" w:color="000000" w:sz="4" w:space="0"/>
              <w:left w:val="single" w:color="000000" w:sz="4" w:space="0"/>
              <w:bottom w:val="single" w:color="000000" w:sz="4" w:space="0"/>
              <w:right w:val="single" w:color="000000" w:sz="4" w:space="0"/>
            </w:tcBorders>
            <w:vAlign w:val="center"/>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□是</w:t>
            </w:r>
          </w:p>
          <w:p>
            <w:pPr>
              <w:rPr>
                <w:rStyle w:val="18"/>
                <w:rFonts w:ascii="宋体" w:hAnsi="宋体"/>
                <w:szCs w:val="21"/>
                <w:u w:val="single"/>
              </w:rPr>
            </w:pPr>
            <w:r>
              <w:rPr>
                <w:rFonts w:hint="eastAsia"/>
                <w:color w:val="000000" w:themeColor="text1"/>
                <w:szCs w:val="21"/>
                <w14:textFill>
                  <w14:solidFill>
                    <w14:schemeClr w14:val="tx1"/>
                  </w14:solidFill>
                </w14:textFill>
              </w:rPr>
              <w:fldChar w:fldCharType="begin"/>
            </w:r>
            <w:r>
              <w:rPr>
                <w:rFonts w:hint="eastAsia"/>
                <w:color w:val="000000" w:themeColor="text1"/>
                <w:szCs w:val="21"/>
                <w14:textFill>
                  <w14:solidFill>
                    <w14:schemeClr w14:val="tx1"/>
                  </w14:solidFill>
                </w14:textFill>
              </w:rPr>
              <w:instrText xml:space="preserve">eq \o\ac(</w:instrText>
            </w:r>
            <w:r>
              <w:rPr>
                <w:rFonts w:hint="eastAsia"/>
                <w:color w:val="000000" w:themeColor="text1"/>
                <w:position w:val="-4"/>
                <w:sz w:val="31"/>
                <w:szCs w:val="21"/>
                <w14:textFill>
                  <w14:solidFill>
                    <w14:schemeClr w14:val="tx1"/>
                  </w14:solidFill>
                </w14:textFill>
              </w:rPr>
              <w:instrText xml:space="preserve">□</w:instrText>
            </w:r>
            <w:r>
              <w:rPr>
                <w:rFonts w:hint="eastAsia"/>
                <w:color w:val="000000" w:themeColor="text1"/>
                <w:szCs w:val="21"/>
                <w14:textFill>
                  <w14:solidFill>
                    <w14:schemeClr w14:val="tx1"/>
                  </w14:solidFill>
                </w14:textFill>
              </w:rPr>
              <w:instrText xml:space="preserve">,√)</w:instrText>
            </w:r>
            <w:r>
              <w:rPr>
                <w:rFonts w:hint="eastAsia"/>
                <w:color w:val="000000" w:themeColor="text1"/>
                <w:szCs w:val="21"/>
                <w14:textFill>
                  <w14:solidFill>
                    <w14:schemeClr w14:val="tx1"/>
                  </w14:solidFill>
                </w14:textFill>
              </w:rPr>
              <w:fldChar w:fldCharType="end"/>
            </w:r>
            <w:r>
              <w:rPr>
                <w:rFonts w:hint="eastAsia"/>
                <w:color w:val="000000" w:themeColor="text1"/>
                <w:szCs w:val="21"/>
                <w14:textFill>
                  <w14:solidFill>
                    <w14:schemeClr w14:val="tx1"/>
                  </w14:solidFill>
                </w14:textFill>
              </w:rPr>
              <w:t>否</w:t>
            </w:r>
            <w:r>
              <w:rPr>
                <w:rFonts w:hint="eastAsia"/>
                <w:color w:val="000000" w:themeColor="text1"/>
                <w:szCs w:val="21"/>
                <w:u w:val="single"/>
                <w14:textFill>
                  <w14:solidFill>
                    <w14:schemeClr w14:val="tx1"/>
                  </w14:solidFill>
                </w14:textFill>
              </w:rPr>
              <w:t>由评标委员会按顺序推荐3名中标侯选人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jc w:val="center"/>
        </w:trPr>
        <w:tc>
          <w:tcPr>
            <w:tcW w:w="917"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rPr>
            </w:pPr>
            <w:r>
              <w:rPr>
                <w:rStyle w:val="18"/>
                <w:rFonts w:ascii="宋体" w:hAnsi="宋体"/>
                <w:szCs w:val="21"/>
              </w:rPr>
              <w:t>8.3</w:t>
            </w:r>
          </w:p>
        </w:tc>
        <w:tc>
          <w:tcPr>
            <w:tcW w:w="3372" w:type="dxa"/>
            <w:tcBorders>
              <w:top w:val="single" w:color="000000" w:sz="4" w:space="0"/>
              <w:left w:val="single" w:color="000000" w:sz="4" w:space="0"/>
              <w:bottom w:val="single" w:color="000000" w:sz="4" w:space="0"/>
              <w:right w:val="single" w:color="000000" w:sz="4" w:space="0"/>
            </w:tcBorders>
            <w:vAlign w:val="center"/>
          </w:tcPr>
          <w:p>
            <w:pPr>
              <w:rPr>
                <w:rStyle w:val="18"/>
                <w:rFonts w:ascii="宋体" w:hAnsi="宋体"/>
                <w:szCs w:val="21"/>
              </w:rPr>
            </w:pPr>
            <w:r>
              <w:rPr>
                <w:rStyle w:val="18"/>
                <w:rFonts w:ascii="宋体" w:hAnsi="宋体"/>
                <w:szCs w:val="21"/>
              </w:rPr>
              <w:t>履约保证金</w:t>
            </w:r>
          </w:p>
        </w:tc>
        <w:tc>
          <w:tcPr>
            <w:tcW w:w="4783" w:type="dxa"/>
            <w:tcBorders>
              <w:top w:val="single" w:color="000000" w:sz="4" w:space="0"/>
              <w:left w:val="single" w:color="000000" w:sz="4" w:space="0"/>
              <w:bottom w:val="single" w:color="000000" w:sz="4" w:space="0"/>
              <w:right w:val="single" w:color="000000" w:sz="4" w:space="0"/>
            </w:tcBorders>
            <w:vAlign w:val="center"/>
          </w:tcPr>
          <w:p>
            <w:pPr>
              <w:rPr>
                <w:rStyle w:val="18"/>
                <w:rFonts w:ascii="宋体" w:hAnsi="宋体"/>
                <w:szCs w:val="21"/>
              </w:rPr>
            </w:pPr>
            <w:r>
              <w:rPr>
                <w:rStyle w:val="18"/>
                <w:rFonts w:ascii="宋体" w:hAnsi="宋体"/>
                <w:szCs w:val="21"/>
              </w:rPr>
              <w:t>履约保证金的形式：</w:t>
            </w:r>
            <w:r>
              <w:rPr>
                <w:rStyle w:val="18"/>
                <w:rFonts w:ascii="宋体" w:hAnsi="宋体"/>
                <w:szCs w:val="21"/>
                <w:u w:val="single"/>
              </w:rPr>
              <w:t>银行转帐、电汇</w:t>
            </w:r>
            <w:r>
              <w:rPr>
                <w:rStyle w:val="18"/>
                <w:rFonts w:hint="eastAsia" w:ascii="宋体" w:hAnsi="宋体"/>
                <w:szCs w:val="21"/>
                <w:u w:val="single"/>
              </w:rPr>
              <w:t>、银行保函</w:t>
            </w:r>
            <w:r>
              <w:rPr>
                <w:rStyle w:val="18"/>
                <w:rFonts w:ascii="宋体" w:hAnsi="宋体"/>
                <w:szCs w:val="21"/>
                <w:u w:val="single"/>
              </w:rPr>
              <w:t>等</w:t>
            </w:r>
            <w:r>
              <w:rPr>
                <w:rStyle w:val="18"/>
                <w:rFonts w:ascii="宋体" w:hAnsi="宋体"/>
                <w:szCs w:val="21"/>
              </w:rPr>
              <w:t>。</w:t>
            </w:r>
          </w:p>
          <w:p>
            <w:pPr>
              <w:rPr>
                <w:rStyle w:val="18"/>
                <w:rFonts w:ascii="宋体" w:hAnsi="宋体"/>
                <w:szCs w:val="21"/>
              </w:rPr>
            </w:pPr>
            <w:r>
              <w:rPr>
                <w:rStyle w:val="18"/>
                <w:rFonts w:ascii="宋体" w:hAnsi="宋体"/>
                <w:szCs w:val="21"/>
              </w:rPr>
              <w:t>履约保证金的金额：</w:t>
            </w:r>
            <w:r>
              <w:rPr>
                <w:rStyle w:val="18"/>
                <w:rFonts w:ascii="宋体" w:hAnsi="宋体"/>
                <w:szCs w:val="21"/>
                <w:u w:val="single"/>
              </w:rPr>
              <w:t>中标价的</w:t>
            </w:r>
            <w:r>
              <w:rPr>
                <w:rStyle w:val="18"/>
                <w:rFonts w:hint="eastAsia" w:ascii="宋体" w:hAnsi="宋体"/>
                <w:szCs w:val="21"/>
                <w:u w:val="single"/>
              </w:rPr>
              <w:t>10</w:t>
            </w:r>
            <w:r>
              <w:rPr>
                <w:rStyle w:val="18"/>
                <w:rFonts w:ascii="宋体" w:hAnsi="宋体"/>
                <w:szCs w:val="21"/>
                <w:u w:val="single"/>
              </w:rPr>
              <w:t>%，履约保证金在完成全部项目经验收合格后无息退还</w:t>
            </w:r>
            <w:r>
              <w:rPr>
                <w:rStyle w:val="18"/>
                <w:rFonts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17"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rPr>
            </w:pPr>
            <w:r>
              <w:rPr>
                <w:rStyle w:val="18"/>
                <w:rFonts w:ascii="宋体" w:hAnsi="宋体"/>
                <w:szCs w:val="21"/>
              </w:rPr>
              <w:t>10</w:t>
            </w:r>
          </w:p>
        </w:tc>
        <w:tc>
          <w:tcPr>
            <w:tcW w:w="3372" w:type="dxa"/>
            <w:tcBorders>
              <w:top w:val="single" w:color="000000" w:sz="4" w:space="0"/>
              <w:left w:val="single" w:color="000000" w:sz="4" w:space="0"/>
              <w:bottom w:val="single" w:color="000000" w:sz="4" w:space="0"/>
              <w:right w:val="single" w:color="000000" w:sz="4" w:space="0"/>
            </w:tcBorders>
            <w:vAlign w:val="center"/>
          </w:tcPr>
          <w:p>
            <w:pPr>
              <w:rPr>
                <w:rStyle w:val="18"/>
                <w:rFonts w:ascii="宋体" w:hAnsi="宋体"/>
                <w:szCs w:val="21"/>
              </w:rPr>
            </w:pPr>
            <w:r>
              <w:rPr>
                <w:rStyle w:val="18"/>
                <w:rFonts w:ascii="宋体" w:hAnsi="宋体"/>
                <w:szCs w:val="21"/>
              </w:rPr>
              <w:t>质保期</w:t>
            </w:r>
          </w:p>
        </w:tc>
        <w:tc>
          <w:tcPr>
            <w:tcW w:w="4783" w:type="dxa"/>
            <w:tcBorders>
              <w:top w:val="single" w:color="000000" w:sz="4" w:space="0"/>
              <w:left w:val="single" w:color="000000" w:sz="4" w:space="0"/>
              <w:bottom w:val="single" w:color="000000" w:sz="4" w:space="0"/>
              <w:right w:val="single" w:color="000000" w:sz="4" w:space="0"/>
            </w:tcBorders>
            <w:vAlign w:val="center"/>
          </w:tcPr>
          <w:p>
            <w:pPr>
              <w:rPr>
                <w:rStyle w:val="18"/>
                <w:rFonts w:ascii="宋体" w:hAnsi="宋体"/>
                <w:szCs w:val="21"/>
              </w:rPr>
            </w:pPr>
            <w:r>
              <w:rPr>
                <w:rStyle w:val="18"/>
                <w:rFonts w:ascii="宋体" w:hAnsi="宋体"/>
                <w:szCs w:val="21"/>
              </w:rPr>
              <w:t>自项目验收合格之日起质保期</w:t>
            </w:r>
            <w:r>
              <w:rPr>
                <w:rStyle w:val="18"/>
                <w:rFonts w:hint="eastAsia" w:ascii="宋体" w:hAnsi="宋体"/>
                <w:szCs w:val="21"/>
              </w:rPr>
              <w:t>1</w:t>
            </w:r>
            <w:r>
              <w:rPr>
                <w:rStyle w:val="18"/>
                <w:rFonts w:ascii="宋体" w:hAnsi="宋体"/>
                <w:szCs w:val="21"/>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17"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rPr>
            </w:pPr>
            <w:r>
              <w:rPr>
                <w:rStyle w:val="18"/>
                <w:rFonts w:ascii="宋体" w:hAnsi="宋体"/>
                <w:szCs w:val="21"/>
              </w:rPr>
              <w:t>11</w:t>
            </w:r>
          </w:p>
        </w:tc>
        <w:tc>
          <w:tcPr>
            <w:tcW w:w="3372" w:type="dxa"/>
            <w:tcBorders>
              <w:top w:val="single" w:color="000000" w:sz="4" w:space="0"/>
              <w:left w:val="single" w:color="000000" w:sz="4" w:space="0"/>
              <w:bottom w:val="single" w:color="000000" w:sz="4" w:space="0"/>
              <w:right w:val="single" w:color="000000" w:sz="4" w:space="0"/>
            </w:tcBorders>
            <w:vAlign w:val="center"/>
          </w:tcPr>
          <w:p>
            <w:pPr>
              <w:rPr>
                <w:rStyle w:val="18"/>
                <w:rFonts w:ascii="宋体" w:hAnsi="宋体"/>
                <w:szCs w:val="21"/>
              </w:rPr>
            </w:pPr>
            <w:r>
              <w:rPr>
                <w:rStyle w:val="18"/>
                <w:rFonts w:ascii="宋体" w:hAnsi="宋体"/>
                <w:szCs w:val="21"/>
              </w:rPr>
              <w:t>付款方式</w:t>
            </w:r>
          </w:p>
        </w:tc>
        <w:tc>
          <w:tcPr>
            <w:tcW w:w="4783" w:type="dxa"/>
            <w:tcBorders>
              <w:top w:val="single" w:color="000000" w:sz="4" w:space="0"/>
              <w:left w:val="single" w:color="000000" w:sz="4" w:space="0"/>
              <w:bottom w:val="single" w:color="000000" w:sz="4" w:space="0"/>
              <w:right w:val="single" w:color="000000" w:sz="4" w:space="0"/>
            </w:tcBorders>
            <w:vAlign w:val="center"/>
          </w:tcPr>
          <w:p>
            <w:pPr>
              <w:rPr>
                <w:rStyle w:val="18"/>
                <w:rFonts w:ascii="宋体" w:hAnsi="宋体"/>
                <w:szCs w:val="21"/>
              </w:rPr>
            </w:pPr>
            <w:r>
              <w:rPr>
                <w:rStyle w:val="18"/>
                <w:rFonts w:hint="eastAsia" w:ascii="宋体" w:hAnsi="宋体"/>
                <w:szCs w:val="21"/>
              </w:rPr>
              <w:t>付款方式：待合同签定生效后提供税票支付合同金额</w:t>
            </w:r>
            <w:r>
              <w:rPr>
                <w:rStyle w:val="18"/>
                <w:rFonts w:ascii="宋体" w:hAnsi="宋体"/>
                <w:szCs w:val="21"/>
              </w:rPr>
              <w:t>10%</w:t>
            </w:r>
            <w:r>
              <w:rPr>
                <w:rStyle w:val="18"/>
                <w:rFonts w:hint="eastAsia" w:ascii="宋体" w:hAnsi="宋体"/>
                <w:szCs w:val="21"/>
              </w:rPr>
              <w:t>，主要设备进场提供增值税发票后支付合同金额的30%；系统安装调试完成提供增值税发票后支付合同金额的</w:t>
            </w:r>
            <w:r>
              <w:rPr>
                <w:rStyle w:val="18"/>
                <w:rFonts w:ascii="宋体" w:hAnsi="宋体"/>
                <w:szCs w:val="21"/>
              </w:rPr>
              <w:t>2</w:t>
            </w:r>
            <w:r>
              <w:rPr>
                <w:rStyle w:val="18"/>
                <w:rFonts w:hint="eastAsia" w:ascii="宋体" w:hAnsi="宋体"/>
                <w:szCs w:val="21"/>
              </w:rPr>
              <w:t>0%；项目验收通过提供增值税发票后支付合同金额的</w:t>
            </w:r>
            <w:r>
              <w:rPr>
                <w:rStyle w:val="18"/>
                <w:rFonts w:ascii="宋体" w:hAnsi="宋体"/>
                <w:szCs w:val="21"/>
              </w:rPr>
              <w:t>1</w:t>
            </w:r>
            <w:r>
              <w:rPr>
                <w:rStyle w:val="18"/>
                <w:rFonts w:hint="eastAsia" w:ascii="宋体" w:hAnsi="宋体"/>
                <w:szCs w:val="21"/>
              </w:rPr>
              <w:t>0%；待项目审计结束(</w:t>
            </w:r>
            <w:bookmarkStart w:id="7" w:name="OLE_LINK72"/>
            <w:r>
              <w:rPr>
                <w:rStyle w:val="18"/>
                <w:rFonts w:hint="eastAsia" w:ascii="宋体" w:hAnsi="宋体"/>
                <w:szCs w:val="21"/>
              </w:rPr>
              <w:t>审计时间以审计部门意见为准</w:t>
            </w:r>
            <w:bookmarkEnd w:id="7"/>
            <w:r>
              <w:rPr>
                <w:rStyle w:val="18"/>
                <w:rFonts w:hint="eastAsia" w:ascii="宋体" w:hAnsi="宋体"/>
                <w:szCs w:val="21"/>
              </w:rPr>
              <w:t>）提供增值税发票后支付到审计金额的</w:t>
            </w:r>
            <w:r>
              <w:rPr>
                <w:rStyle w:val="18"/>
                <w:rFonts w:ascii="宋体" w:hAnsi="宋体"/>
                <w:szCs w:val="21"/>
              </w:rPr>
              <w:t>27</w:t>
            </w:r>
            <w:r>
              <w:rPr>
                <w:rStyle w:val="18"/>
                <w:rFonts w:hint="eastAsia" w:ascii="宋体" w:hAnsi="宋体"/>
                <w:szCs w:val="21"/>
              </w:rPr>
              <w:t>%；余款在质保期结束后五个工作日内由甲方向乙方一次性付清。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917"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rPr>
            </w:pPr>
            <w:r>
              <w:rPr>
                <w:rStyle w:val="18"/>
                <w:rFonts w:ascii="宋体" w:hAnsi="宋体"/>
                <w:szCs w:val="21"/>
              </w:rPr>
              <w:t>12</w:t>
            </w:r>
          </w:p>
        </w:tc>
        <w:tc>
          <w:tcPr>
            <w:tcW w:w="3372" w:type="dxa"/>
            <w:tcBorders>
              <w:top w:val="single" w:color="000000" w:sz="4" w:space="0"/>
              <w:left w:val="single" w:color="000000" w:sz="4" w:space="0"/>
              <w:bottom w:val="single" w:color="000000" w:sz="4" w:space="0"/>
              <w:right w:val="single" w:color="000000" w:sz="4" w:space="0"/>
            </w:tcBorders>
            <w:vAlign w:val="center"/>
          </w:tcPr>
          <w:p>
            <w:pPr>
              <w:rPr>
                <w:rStyle w:val="18"/>
                <w:rFonts w:ascii="宋体" w:hAnsi="宋体"/>
                <w:szCs w:val="21"/>
              </w:rPr>
            </w:pPr>
            <w:r>
              <w:rPr>
                <w:rStyle w:val="18"/>
                <w:rFonts w:ascii="宋体" w:hAnsi="宋体"/>
                <w:szCs w:val="21"/>
              </w:rPr>
              <w:t>收费标准</w:t>
            </w:r>
          </w:p>
        </w:tc>
        <w:tc>
          <w:tcPr>
            <w:tcW w:w="4783" w:type="dxa"/>
            <w:tcBorders>
              <w:top w:val="single" w:color="000000" w:sz="4" w:space="0"/>
              <w:left w:val="single" w:color="000000" w:sz="4" w:space="0"/>
              <w:bottom w:val="single" w:color="000000" w:sz="4" w:space="0"/>
              <w:right w:val="single" w:color="000000" w:sz="4" w:space="0"/>
            </w:tcBorders>
            <w:vAlign w:val="center"/>
          </w:tcPr>
          <w:p>
            <w:pPr>
              <w:rPr>
                <w:rStyle w:val="18"/>
                <w:rFonts w:ascii="宋体" w:hAnsi="宋体"/>
                <w:szCs w:val="21"/>
              </w:rPr>
            </w:pPr>
            <w:r>
              <w:rPr>
                <w:rStyle w:val="18"/>
                <w:rFonts w:ascii="宋体" w:hAnsi="宋体"/>
                <w:szCs w:val="21"/>
              </w:rPr>
              <w:t>本项目招标代理费向</w:t>
            </w:r>
            <w:r>
              <w:rPr>
                <w:rStyle w:val="18"/>
                <w:rFonts w:hint="eastAsia" w:ascii="宋体" w:hAnsi="宋体"/>
                <w:szCs w:val="21"/>
              </w:rPr>
              <w:t>招标人</w:t>
            </w:r>
            <w:r>
              <w:rPr>
                <w:rStyle w:val="18"/>
                <w:rFonts w:ascii="宋体" w:hAnsi="宋体"/>
                <w:szCs w:val="21"/>
              </w:rPr>
              <w:t>收取</w:t>
            </w:r>
          </w:p>
        </w:tc>
      </w:tr>
    </w:tbl>
    <w:p>
      <w:pPr>
        <w:spacing w:line="360" w:lineRule="auto"/>
        <w:rPr>
          <w:rStyle w:val="18"/>
          <w:rFonts w:ascii="宋体" w:hAnsi="宋体"/>
        </w:rPr>
      </w:pPr>
    </w:p>
    <w:p>
      <w:pPr>
        <w:spacing w:line="360" w:lineRule="auto"/>
        <w:rPr>
          <w:rStyle w:val="18"/>
          <w:rFonts w:ascii="宋体" w:hAnsi="宋体"/>
        </w:rPr>
      </w:pPr>
    </w:p>
    <w:p>
      <w:pPr>
        <w:spacing w:line="360" w:lineRule="auto"/>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特别提醒：</w:t>
      </w:r>
    </w:p>
    <w:p>
      <w:pPr>
        <w:spacing w:line="360" w:lineRule="auto"/>
        <w:ind w:firstLine="482"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1、招标人会根据招标需要，可能会不定期在大丰公共资源电子交易平台（http://221.231.122.12/dfweb/） 上发布该项目补充答疑等澄清修改文件，请各投标人自行网上查寻，未能及时查阅响应而影响投标的，结果由投标人负责。</w:t>
      </w:r>
    </w:p>
    <w:p>
      <w:pPr>
        <w:pStyle w:val="11"/>
        <w:ind w:firstLine="240"/>
      </w:pPr>
    </w:p>
    <w:p>
      <w:pPr>
        <w:pStyle w:val="23"/>
        <w:spacing w:line="360" w:lineRule="auto"/>
        <w:rPr>
          <w:rStyle w:val="18"/>
          <w:rFonts w:ascii="宋体" w:hAnsi="宋体" w:eastAsia="宋体" w:cs="宋体"/>
        </w:rPr>
      </w:pPr>
      <w:r>
        <w:rPr>
          <w:b w:val="0"/>
          <w:sz w:val="20"/>
        </w:rPr>
        <w:br w:type="page"/>
      </w:r>
    </w:p>
    <w:p>
      <w:pPr>
        <w:pStyle w:val="23"/>
        <w:spacing w:line="360" w:lineRule="auto"/>
        <w:rPr>
          <w:rStyle w:val="18"/>
          <w:rFonts w:ascii="宋体" w:hAnsi="宋体" w:eastAsia="宋体" w:cs="宋体"/>
        </w:rPr>
      </w:pPr>
      <w:r>
        <w:rPr>
          <w:rStyle w:val="18"/>
          <w:rFonts w:ascii="宋体" w:hAnsi="宋体" w:eastAsia="宋体" w:cs="宋体"/>
        </w:rPr>
        <w:t>1</w:t>
      </w:r>
      <w:r>
        <w:rPr>
          <w:rStyle w:val="18"/>
          <w:rFonts w:ascii="宋体" w:hAnsi="宋体" w:eastAsia="宋体" w:cs="宋体"/>
          <w:sz w:val="28"/>
          <w:szCs w:val="28"/>
        </w:rPr>
        <w:t>.</w:t>
      </w:r>
      <w:r>
        <w:rPr>
          <w:rStyle w:val="18"/>
          <w:rFonts w:ascii="宋体" w:hAnsi="宋体" w:eastAsia="宋体" w:cs="宋体"/>
        </w:rPr>
        <w:t>总则</w:t>
      </w:r>
    </w:p>
    <w:p>
      <w:pPr>
        <w:pStyle w:val="24"/>
        <w:spacing w:before="60" w:after="60" w:line="360" w:lineRule="auto"/>
        <w:ind w:firstLine="118"/>
        <w:rPr>
          <w:rStyle w:val="18"/>
          <w:rFonts w:ascii="宋体" w:hAnsi="宋体" w:eastAsia="宋体"/>
          <w:szCs w:val="24"/>
        </w:rPr>
      </w:pPr>
      <w:r>
        <w:rPr>
          <w:rStyle w:val="18"/>
          <w:rFonts w:ascii="宋体" w:hAnsi="宋体" w:eastAsia="宋体"/>
          <w:szCs w:val="24"/>
        </w:rPr>
        <w:t>1.1 项目概况</w:t>
      </w:r>
    </w:p>
    <w:p>
      <w:pPr>
        <w:spacing w:line="360" w:lineRule="auto"/>
        <w:ind w:firstLine="420" w:firstLineChars="200"/>
        <w:rPr>
          <w:rStyle w:val="18"/>
          <w:rFonts w:ascii="宋体" w:hAnsi="宋体"/>
        </w:rPr>
      </w:pPr>
      <w:r>
        <w:rPr>
          <w:rStyle w:val="18"/>
          <w:rFonts w:ascii="宋体" w:hAnsi="宋体"/>
        </w:rPr>
        <w:t>1.1.1根据有关法律、法规和规章的规定，本招标项目已具备招标条件，现对本项目货物进行招标。</w:t>
      </w:r>
    </w:p>
    <w:p>
      <w:pPr>
        <w:spacing w:line="360" w:lineRule="auto"/>
        <w:ind w:firstLine="420" w:firstLineChars="200"/>
        <w:rPr>
          <w:rStyle w:val="18"/>
          <w:rFonts w:ascii="宋体" w:hAnsi="宋体"/>
        </w:rPr>
      </w:pPr>
      <w:r>
        <w:rPr>
          <w:rStyle w:val="18"/>
          <w:rFonts w:ascii="宋体" w:hAnsi="宋体"/>
        </w:rPr>
        <w:t>1.1.2本招标项目招标人：见投标人须知前附表。</w:t>
      </w:r>
    </w:p>
    <w:p>
      <w:pPr>
        <w:spacing w:line="360" w:lineRule="auto"/>
        <w:ind w:firstLine="420" w:firstLineChars="200"/>
        <w:rPr>
          <w:rStyle w:val="18"/>
          <w:rFonts w:ascii="宋体" w:hAnsi="宋体"/>
        </w:rPr>
      </w:pPr>
      <w:r>
        <w:rPr>
          <w:rStyle w:val="18"/>
          <w:rFonts w:ascii="宋体" w:hAnsi="宋体"/>
        </w:rPr>
        <w:t>1.1.3本招标项目招标代理机构：见投标人须知前附表。</w:t>
      </w:r>
    </w:p>
    <w:p>
      <w:pPr>
        <w:spacing w:line="360" w:lineRule="auto"/>
        <w:ind w:firstLine="420" w:firstLineChars="200"/>
        <w:rPr>
          <w:rStyle w:val="18"/>
          <w:rFonts w:ascii="宋体" w:hAnsi="宋体"/>
        </w:rPr>
      </w:pPr>
      <w:r>
        <w:rPr>
          <w:rStyle w:val="18"/>
          <w:rFonts w:ascii="宋体" w:hAnsi="宋体"/>
        </w:rPr>
        <w:t>1.1.4本招标项目名称：见投标人须知前附表。</w:t>
      </w:r>
    </w:p>
    <w:p>
      <w:pPr>
        <w:pStyle w:val="24"/>
        <w:spacing w:before="60" w:after="60" w:line="360" w:lineRule="auto"/>
        <w:ind w:firstLine="118"/>
        <w:rPr>
          <w:rStyle w:val="18"/>
          <w:rFonts w:ascii="宋体" w:hAnsi="宋体" w:eastAsia="宋体"/>
          <w:szCs w:val="24"/>
        </w:rPr>
      </w:pPr>
      <w:r>
        <w:rPr>
          <w:rStyle w:val="18"/>
          <w:rFonts w:ascii="宋体" w:hAnsi="宋体" w:eastAsia="宋体"/>
          <w:szCs w:val="24"/>
        </w:rPr>
        <w:t>1.2 资金来源和落实情况</w:t>
      </w:r>
    </w:p>
    <w:p>
      <w:pPr>
        <w:spacing w:line="360" w:lineRule="auto"/>
        <w:ind w:firstLine="420" w:firstLineChars="200"/>
        <w:rPr>
          <w:rStyle w:val="18"/>
          <w:rFonts w:ascii="宋体" w:hAnsi="宋体"/>
        </w:rPr>
      </w:pPr>
      <w:r>
        <w:rPr>
          <w:rStyle w:val="18"/>
          <w:rFonts w:ascii="宋体" w:hAnsi="宋体"/>
        </w:rPr>
        <w:t>1.2.1本招标项目的资金来源：见投标人须知前附表。</w:t>
      </w:r>
    </w:p>
    <w:p>
      <w:pPr>
        <w:spacing w:line="360" w:lineRule="auto"/>
        <w:ind w:firstLine="420" w:firstLineChars="200"/>
        <w:rPr>
          <w:rStyle w:val="18"/>
          <w:rFonts w:ascii="宋体" w:hAnsi="宋体"/>
        </w:rPr>
      </w:pPr>
      <w:r>
        <w:rPr>
          <w:rStyle w:val="18"/>
          <w:rFonts w:ascii="宋体" w:hAnsi="宋体"/>
        </w:rPr>
        <w:t>1.2.2本招标项目的出资比例：见投标人须知前附表。</w:t>
      </w:r>
    </w:p>
    <w:p>
      <w:pPr>
        <w:spacing w:line="360" w:lineRule="auto"/>
        <w:ind w:firstLine="420" w:firstLineChars="200"/>
        <w:rPr>
          <w:rStyle w:val="18"/>
          <w:rFonts w:ascii="宋体" w:hAnsi="宋体"/>
        </w:rPr>
      </w:pPr>
      <w:r>
        <w:rPr>
          <w:rStyle w:val="18"/>
          <w:rFonts w:ascii="宋体" w:hAnsi="宋体"/>
        </w:rPr>
        <w:t>1.2.3本招标项目的资金落实情况：见投标人须知前附表。</w:t>
      </w:r>
    </w:p>
    <w:p>
      <w:pPr>
        <w:pStyle w:val="24"/>
        <w:spacing w:before="60" w:after="60" w:line="360" w:lineRule="auto"/>
        <w:ind w:firstLine="118"/>
        <w:rPr>
          <w:rStyle w:val="18"/>
          <w:rFonts w:ascii="宋体" w:hAnsi="宋体" w:eastAsia="宋体"/>
          <w:szCs w:val="24"/>
        </w:rPr>
      </w:pPr>
      <w:r>
        <w:rPr>
          <w:rStyle w:val="18"/>
          <w:rFonts w:ascii="宋体" w:hAnsi="宋体" w:eastAsia="宋体"/>
          <w:szCs w:val="24"/>
        </w:rPr>
        <w:t>1.3 招标范围、交货期或工期和质量要求</w:t>
      </w:r>
    </w:p>
    <w:p>
      <w:pPr>
        <w:spacing w:line="360" w:lineRule="auto"/>
        <w:ind w:firstLine="420" w:firstLineChars="200"/>
        <w:rPr>
          <w:rStyle w:val="18"/>
          <w:rFonts w:ascii="宋体" w:hAnsi="宋体"/>
        </w:rPr>
      </w:pPr>
      <w:r>
        <w:rPr>
          <w:rStyle w:val="18"/>
          <w:rFonts w:ascii="宋体" w:hAnsi="宋体"/>
        </w:rPr>
        <w:t>1.3.1本次招标范围：见投标人须知前附表。</w:t>
      </w:r>
    </w:p>
    <w:p>
      <w:pPr>
        <w:spacing w:line="360" w:lineRule="auto"/>
        <w:ind w:firstLine="420" w:firstLineChars="200"/>
        <w:rPr>
          <w:rStyle w:val="18"/>
          <w:rFonts w:ascii="宋体" w:hAnsi="宋体"/>
        </w:rPr>
      </w:pPr>
      <w:r>
        <w:rPr>
          <w:rStyle w:val="18"/>
          <w:rFonts w:ascii="宋体" w:hAnsi="宋体"/>
        </w:rPr>
        <w:t>1.3.2本招标项目的交货期或工期：见投标人须知前附表。</w:t>
      </w:r>
    </w:p>
    <w:p>
      <w:pPr>
        <w:spacing w:line="360" w:lineRule="auto"/>
        <w:ind w:firstLine="420" w:firstLineChars="200"/>
        <w:rPr>
          <w:rStyle w:val="18"/>
          <w:rFonts w:ascii="宋体" w:hAnsi="宋体"/>
        </w:rPr>
      </w:pPr>
      <w:r>
        <w:rPr>
          <w:rStyle w:val="18"/>
          <w:rFonts w:ascii="宋体" w:hAnsi="宋体"/>
        </w:rPr>
        <w:t>1.3.3本招标项目的交货地点：见投标人须知前附表。</w:t>
      </w:r>
    </w:p>
    <w:p>
      <w:pPr>
        <w:spacing w:line="360" w:lineRule="auto"/>
        <w:ind w:firstLine="420" w:firstLineChars="200"/>
        <w:rPr>
          <w:rStyle w:val="18"/>
          <w:rFonts w:ascii="宋体" w:hAnsi="宋体"/>
        </w:rPr>
      </w:pPr>
      <w:r>
        <w:rPr>
          <w:rStyle w:val="18"/>
          <w:rFonts w:ascii="宋体" w:hAnsi="宋体"/>
        </w:rPr>
        <w:t>1.3.4本招标项目的质量要求及验收标准：见投标人须知前附表。</w:t>
      </w:r>
    </w:p>
    <w:p>
      <w:pPr>
        <w:pStyle w:val="24"/>
        <w:spacing w:before="60" w:after="60" w:line="360" w:lineRule="auto"/>
        <w:ind w:firstLine="118"/>
        <w:rPr>
          <w:rStyle w:val="18"/>
          <w:rFonts w:ascii="宋体" w:hAnsi="宋体" w:eastAsia="宋体"/>
          <w:szCs w:val="24"/>
        </w:rPr>
      </w:pPr>
      <w:r>
        <w:rPr>
          <w:rStyle w:val="18"/>
          <w:rFonts w:ascii="宋体" w:hAnsi="宋体" w:eastAsia="宋体"/>
          <w:szCs w:val="24"/>
        </w:rPr>
        <w:t>1.4 投标人资格要求</w:t>
      </w:r>
    </w:p>
    <w:p>
      <w:pPr>
        <w:spacing w:line="360" w:lineRule="auto"/>
        <w:ind w:firstLine="420" w:firstLineChars="200"/>
        <w:jc w:val="left"/>
        <w:rPr>
          <w:rStyle w:val="18"/>
          <w:rFonts w:ascii="宋体" w:hAnsi="宋体"/>
        </w:rPr>
      </w:pPr>
      <w:r>
        <w:rPr>
          <w:rStyle w:val="18"/>
          <w:rFonts w:ascii="宋体" w:hAnsi="宋体"/>
        </w:rPr>
        <w:t>1.4.1 投标人应具备的资格要求见投标人须知前附表。</w:t>
      </w:r>
    </w:p>
    <w:p>
      <w:pPr>
        <w:spacing w:line="360" w:lineRule="auto"/>
        <w:ind w:firstLine="420" w:firstLineChars="200"/>
        <w:jc w:val="left"/>
        <w:rPr>
          <w:rStyle w:val="18"/>
          <w:rFonts w:ascii="宋体" w:hAnsi="宋体"/>
        </w:rPr>
      </w:pPr>
      <w:r>
        <w:rPr>
          <w:rStyle w:val="18"/>
          <w:rFonts w:ascii="宋体" w:hAnsi="宋体"/>
        </w:rPr>
        <w:t>1.4.2 投标人须知前附表规定接受联合体投标的，除应符合本章第1.4.1项和投标人须知前附表的要求外，还应遵守以下规定：</w:t>
      </w:r>
    </w:p>
    <w:p>
      <w:pPr>
        <w:spacing w:line="360" w:lineRule="auto"/>
        <w:ind w:firstLine="420" w:firstLineChars="200"/>
        <w:jc w:val="left"/>
        <w:rPr>
          <w:rStyle w:val="18"/>
          <w:rFonts w:ascii="宋体" w:hAnsi="宋体"/>
        </w:rPr>
      </w:pPr>
      <w:r>
        <w:rPr>
          <w:rStyle w:val="18"/>
          <w:rFonts w:ascii="宋体" w:hAnsi="宋体"/>
        </w:rPr>
        <w:t>（1）联合体各方应按招标文件提供的格式签订联合体协议书，明确联合体牵头人和各方的权利义务；</w:t>
      </w:r>
    </w:p>
    <w:p>
      <w:pPr>
        <w:spacing w:line="360" w:lineRule="auto"/>
        <w:ind w:firstLine="420" w:firstLineChars="200"/>
        <w:jc w:val="left"/>
        <w:rPr>
          <w:rStyle w:val="18"/>
          <w:rFonts w:ascii="宋体" w:hAnsi="宋体"/>
        </w:rPr>
      </w:pPr>
      <w:r>
        <w:rPr>
          <w:rStyle w:val="18"/>
          <w:rFonts w:ascii="宋体" w:hAnsi="宋体"/>
        </w:rPr>
        <w:t>（2）由同一专业的单位组成的联合体，按照资质等级较低的单位确定资质等级；</w:t>
      </w:r>
    </w:p>
    <w:p>
      <w:pPr>
        <w:spacing w:line="360" w:lineRule="auto"/>
        <w:ind w:firstLine="420" w:firstLineChars="200"/>
        <w:jc w:val="left"/>
        <w:rPr>
          <w:rStyle w:val="18"/>
          <w:rFonts w:ascii="宋体" w:hAnsi="宋体"/>
          <w:kern w:val="0"/>
          <w:sz w:val="24"/>
        </w:rPr>
      </w:pPr>
      <w:r>
        <w:rPr>
          <w:rStyle w:val="18"/>
          <w:rFonts w:ascii="宋体" w:hAnsi="宋体"/>
        </w:rPr>
        <w:t>（3）联合体各方不得再以自己名义单独或加入其他联合体在同一标段中参加投标</w:t>
      </w:r>
      <w:r>
        <w:rPr>
          <w:rStyle w:val="18"/>
          <w:rFonts w:ascii="宋体" w:hAnsi="宋体"/>
          <w:kern w:val="0"/>
          <w:sz w:val="24"/>
        </w:rPr>
        <w:t>。</w:t>
      </w:r>
    </w:p>
    <w:p>
      <w:pPr>
        <w:spacing w:line="360" w:lineRule="auto"/>
        <w:ind w:firstLine="420" w:firstLineChars="200"/>
        <w:rPr>
          <w:rStyle w:val="18"/>
          <w:rFonts w:ascii="宋体" w:hAnsi="宋体"/>
          <w:szCs w:val="21"/>
        </w:rPr>
      </w:pPr>
      <w:r>
        <w:rPr>
          <w:rStyle w:val="18"/>
          <w:rFonts w:ascii="宋体" w:hAnsi="宋体"/>
          <w:szCs w:val="21"/>
        </w:rPr>
        <w:t xml:space="preserve">1.4.3 </w:t>
      </w:r>
      <w:r>
        <w:rPr>
          <w:rStyle w:val="18"/>
          <w:rFonts w:ascii="宋体" w:hAnsi="宋体"/>
        </w:rPr>
        <w:t>投标</w:t>
      </w:r>
      <w:r>
        <w:rPr>
          <w:rStyle w:val="18"/>
          <w:rFonts w:ascii="宋体" w:hAnsi="宋体"/>
          <w:szCs w:val="21"/>
        </w:rPr>
        <w:t xml:space="preserve">人不得存在下列情形之一： </w:t>
      </w:r>
    </w:p>
    <w:p>
      <w:pPr>
        <w:spacing w:line="360" w:lineRule="auto"/>
        <w:ind w:firstLine="420" w:firstLineChars="200"/>
        <w:rPr>
          <w:rStyle w:val="18"/>
          <w:rFonts w:ascii="宋体" w:hAnsi="宋体"/>
          <w:szCs w:val="21"/>
        </w:rPr>
      </w:pPr>
      <w:r>
        <w:rPr>
          <w:rStyle w:val="18"/>
          <w:rFonts w:ascii="宋体" w:hAnsi="宋体"/>
          <w:szCs w:val="21"/>
        </w:rPr>
        <w:t xml:space="preserve">（1）为招标人的附属机构（单位）； </w:t>
      </w:r>
    </w:p>
    <w:p>
      <w:pPr>
        <w:spacing w:line="360" w:lineRule="auto"/>
        <w:ind w:firstLine="420" w:firstLineChars="200"/>
        <w:rPr>
          <w:rStyle w:val="18"/>
          <w:rFonts w:ascii="宋体" w:hAnsi="宋体"/>
          <w:szCs w:val="21"/>
        </w:rPr>
      </w:pPr>
      <w:r>
        <w:rPr>
          <w:rStyle w:val="18"/>
          <w:rFonts w:ascii="宋体" w:hAnsi="宋体"/>
          <w:szCs w:val="21"/>
        </w:rPr>
        <w:t>（2）为本标段前期准备提供设计或咨询服务的，但两阶段招标的除外；</w:t>
      </w:r>
    </w:p>
    <w:p>
      <w:pPr>
        <w:spacing w:line="360" w:lineRule="auto"/>
        <w:ind w:firstLine="420" w:firstLineChars="200"/>
        <w:rPr>
          <w:rStyle w:val="18"/>
          <w:rFonts w:ascii="宋体" w:hAnsi="宋体"/>
          <w:szCs w:val="21"/>
        </w:rPr>
      </w:pPr>
      <w:r>
        <w:rPr>
          <w:rStyle w:val="18"/>
          <w:rFonts w:ascii="宋体" w:hAnsi="宋体"/>
          <w:szCs w:val="21"/>
        </w:rPr>
        <w:t xml:space="preserve">（3）为本标段的监理人； </w:t>
      </w:r>
    </w:p>
    <w:p>
      <w:pPr>
        <w:spacing w:line="360" w:lineRule="auto"/>
        <w:ind w:firstLine="420" w:firstLineChars="200"/>
        <w:rPr>
          <w:rStyle w:val="18"/>
          <w:rFonts w:ascii="宋体" w:hAnsi="宋体"/>
          <w:szCs w:val="21"/>
        </w:rPr>
      </w:pPr>
      <w:r>
        <w:rPr>
          <w:rStyle w:val="18"/>
          <w:rFonts w:ascii="宋体" w:hAnsi="宋体"/>
          <w:szCs w:val="21"/>
        </w:rPr>
        <w:t xml:space="preserve">（4）为本标段的代建人； </w:t>
      </w:r>
    </w:p>
    <w:p>
      <w:pPr>
        <w:spacing w:line="360" w:lineRule="auto"/>
        <w:ind w:firstLine="420" w:firstLineChars="200"/>
        <w:rPr>
          <w:rStyle w:val="18"/>
          <w:rFonts w:ascii="宋体" w:hAnsi="宋体"/>
          <w:szCs w:val="21"/>
        </w:rPr>
      </w:pPr>
      <w:r>
        <w:rPr>
          <w:rStyle w:val="18"/>
          <w:rFonts w:ascii="宋体" w:hAnsi="宋体"/>
          <w:szCs w:val="21"/>
        </w:rPr>
        <w:t xml:space="preserve">（5）为本标段提供招标代理服务的； </w:t>
      </w:r>
    </w:p>
    <w:p>
      <w:pPr>
        <w:spacing w:line="360" w:lineRule="auto"/>
        <w:ind w:firstLine="420" w:firstLineChars="200"/>
        <w:rPr>
          <w:rStyle w:val="18"/>
          <w:rFonts w:ascii="宋体" w:hAnsi="宋体"/>
          <w:szCs w:val="21"/>
        </w:rPr>
      </w:pPr>
      <w:r>
        <w:rPr>
          <w:rStyle w:val="18"/>
          <w:rFonts w:ascii="宋体" w:hAnsi="宋体"/>
          <w:szCs w:val="21"/>
        </w:rPr>
        <w:t xml:space="preserve">（6）与本标段的监理人或代建人或招标代理机构的单位负责人为同一个人的； </w:t>
      </w:r>
    </w:p>
    <w:p>
      <w:pPr>
        <w:spacing w:line="360" w:lineRule="auto"/>
        <w:ind w:firstLine="420" w:firstLineChars="200"/>
        <w:rPr>
          <w:rStyle w:val="18"/>
          <w:rFonts w:ascii="宋体" w:hAnsi="宋体"/>
          <w:szCs w:val="21"/>
        </w:rPr>
      </w:pPr>
      <w:r>
        <w:rPr>
          <w:rStyle w:val="18"/>
          <w:rFonts w:ascii="宋体" w:hAnsi="宋体"/>
          <w:szCs w:val="21"/>
        </w:rPr>
        <w:t xml:space="preserve">（7）与本标段的监理人或代建人或招标代理机构相互控股或参股的； </w:t>
      </w:r>
    </w:p>
    <w:p>
      <w:pPr>
        <w:spacing w:line="360" w:lineRule="auto"/>
        <w:ind w:firstLine="420" w:firstLineChars="200"/>
        <w:rPr>
          <w:rStyle w:val="18"/>
          <w:rFonts w:ascii="宋体" w:hAnsi="宋体"/>
          <w:szCs w:val="21"/>
        </w:rPr>
      </w:pPr>
      <w:r>
        <w:rPr>
          <w:rStyle w:val="18"/>
          <w:rFonts w:ascii="宋体" w:hAnsi="宋体"/>
          <w:szCs w:val="21"/>
        </w:rPr>
        <w:t>（8）与本标段的其他申请人的单位负责人为同一个人的；</w:t>
      </w:r>
    </w:p>
    <w:p>
      <w:pPr>
        <w:spacing w:line="360" w:lineRule="auto"/>
        <w:ind w:firstLine="420" w:firstLineChars="200"/>
        <w:rPr>
          <w:rStyle w:val="18"/>
          <w:rFonts w:ascii="宋体" w:hAnsi="宋体"/>
          <w:szCs w:val="21"/>
        </w:rPr>
      </w:pPr>
      <w:r>
        <w:rPr>
          <w:rStyle w:val="18"/>
          <w:rFonts w:ascii="宋体" w:hAnsi="宋体"/>
          <w:szCs w:val="21"/>
        </w:rPr>
        <w:t>（9）与本标段的其他申请人之间存在控股、管理关系或母公司、全资子公司关系的；</w:t>
      </w:r>
    </w:p>
    <w:p>
      <w:pPr>
        <w:spacing w:line="360" w:lineRule="auto"/>
        <w:ind w:firstLine="420" w:firstLineChars="200"/>
        <w:rPr>
          <w:rStyle w:val="18"/>
          <w:rFonts w:ascii="宋体" w:hAnsi="宋体"/>
          <w:szCs w:val="21"/>
        </w:rPr>
      </w:pPr>
      <w:r>
        <w:rPr>
          <w:rStyle w:val="18"/>
          <w:rFonts w:ascii="宋体" w:hAnsi="宋体"/>
          <w:szCs w:val="21"/>
        </w:rPr>
        <w:t>（10）与本标段的其他申请人投标的货物为同一品牌同一型号；</w:t>
      </w:r>
    </w:p>
    <w:p>
      <w:pPr>
        <w:spacing w:line="360" w:lineRule="auto"/>
        <w:ind w:firstLine="420" w:firstLineChars="200"/>
        <w:rPr>
          <w:rStyle w:val="18"/>
          <w:rFonts w:ascii="宋体" w:hAnsi="宋体"/>
          <w:szCs w:val="21"/>
        </w:rPr>
      </w:pPr>
      <w:r>
        <w:rPr>
          <w:rStyle w:val="18"/>
          <w:rFonts w:ascii="宋体" w:hAnsi="宋体"/>
          <w:szCs w:val="21"/>
        </w:rPr>
        <w:t>（11）法律法规规定的其他情形。</w:t>
      </w:r>
    </w:p>
    <w:p>
      <w:pPr>
        <w:pStyle w:val="24"/>
        <w:spacing w:before="60" w:after="60" w:line="360" w:lineRule="auto"/>
        <w:ind w:firstLine="118"/>
        <w:rPr>
          <w:rStyle w:val="18"/>
          <w:rFonts w:ascii="宋体" w:hAnsi="宋体" w:eastAsia="宋体"/>
          <w:szCs w:val="24"/>
        </w:rPr>
      </w:pPr>
      <w:r>
        <w:rPr>
          <w:rStyle w:val="18"/>
          <w:rFonts w:ascii="宋体" w:hAnsi="宋体" w:eastAsia="宋体"/>
          <w:szCs w:val="24"/>
        </w:rPr>
        <w:t>1.5 费用承担</w:t>
      </w:r>
    </w:p>
    <w:p>
      <w:pPr>
        <w:spacing w:line="360" w:lineRule="auto"/>
        <w:ind w:firstLine="420" w:firstLineChars="200"/>
        <w:jc w:val="left"/>
        <w:rPr>
          <w:rStyle w:val="18"/>
          <w:rFonts w:ascii="宋体" w:hAnsi="宋体"/>
          <w:b/>
          <w:szCs w:val="21"/>
        </w:rPr>
      </w:pPr>
      <w:r>
        <w:rPr>
          <w:rStyle w:val="18"/>
          <w:rFonts w:ascii="宋体" w:hAnsi="宋体"/>
          <w:kern w:val="0"/>
          <w:szCs w:val="21"/>
        </w:rPr>
        <w:t>投标人准备和参加投标活动发生的费用自理。</w:t>
      </w:r>
    </w:p>
    <w:p>
      <w:pPr>
        <w:pStyle w:val="24"/>
        <w:spacing w:before="60" w:after="60" w:line="360" w:lineRule="auto"/>
        <w:ind w:firstLine="118"/>
        <w:rPr>
          <w:rStyle w:val="18"/>
          <w:rFonts w:ascii="宋体" w:hAnsi="宋体" w:eastAsia="宋体"/>
          <w:szCs w:val="24"/>
        </w:rPr>
      </w:pPr>
      <w:r>
        <w:rPr>
          <w:rStyle w:val="18"/>
          <w:rFonts w:ascii="宋体" w:hAnsi="宋体" w:eastAsia="宋体"/>
          <w:szCs w:val="24"/>
        </w:rPr>
        <w:t>1.6 保密</w:t>
      </w:r>
    </w:p>
    <w:p>
      <w:pPr>
        <w:spacing w:line="360" w:lineRule="auto"/>
        <w:ind w:firstLine="420" w:firstLineChars="200"/>
        <w:rPr>
          <w:rStyle w:val="18"/>
          <w:rFonts w:ascii="宋体" w:hAnsi="宋体"/>
          <w:szCs w:val="21"/>
        </w:rPr>
      </w:pPr>
      <w:r>
        <w:rPr>
          <w:rStyle w:val="18"/>
          <w:rFonts w:ascii="宋体" w:hAnsi="宋体"/>
          <w:szCs w:val="21"/>
        </w:rPr>
        <w:t>参与招标投标活动的各方应对招标文件和投标文件中的商业和技术等秘密保密，违者应对由此造成的后果承担法律责任。</w:t>
      </w:r>
    </w:p>
    <w:p>
      <w:pPr>
        <w:pStyle w:val="24"/>
        <w:spacing w:before="60" w:after="60" w:line="360" w:lineRule="auto"/>
        <w:ind w:firstLine="118"/>
        <w:rPr>
          <w:rStyle w:val="18"/>
          <w:rFonts w:ascii="宋体" w:hAnsi="宋体" w:eastAsia="宋体"/>
          <w:szCs w:val="24"/>
        </w:rPr>
      </w:pPr>
      <w:r>
        <w:rPr>
          <w:rStyle w:val="18"/>
          <w:rFonts w:ascii="宋体" w:hAnsi="宋体" w:eastAsia="宋体"/>
          <w:szCs w:val="24"/>
        </w:rPr>
        <w:t>1.7 语言文字</w:t>
      </w:r>
    </w:p>
    <w:p>
      <w:pPr>
        <w:spacing w:line="360" w:lineRule="auto"/>
        <w:ind w:firstLine="420" w:firstLineChars="200"/>
        <w:rPr>
          <w:rStyle w:val="18"/>
          <w:rFonts w:ascii="宋体" w:hAnsi="宋体"/>
          <w:szCs w:val="21"/>
        </w:rPr>
      </w:pPr>
      <w:r>
        <w:rPr>
          <w:rStyle w:val="18"/>
          <w:rFonts w:ascii="宋体" w:hAnsi="宋体"/>
          <w:szCs w:val="21"/>
        </w:rPr>
        <w:t>除专用术语外，与招标投标有关的语言均使用中文。必要时专用术语应附有中文注释。</w:t>
      </w:r>
    </w:p>
    <w:p>
      <w:pPr>
        <w:pStyle w:val="24"/>
        <w:spacing w:before="60" w:after="60" w:line="360" w:lineRule="auto"/>
        <w:ind w:firstLine="118"/>
        <w:rPr>
          <w:rStyle w:val="18"/>
          <w:rFonts w:ascii="宋体" w:hAnsi="宋体" w:eastAsia="宋体"/>
          <w:szCs w:val="24"/>
        </w:rPr>
      </w:pPr>
      <w:r>
        <w:rPr>
          <w:rStyle w:val="18"/>
          <w:rFonts w:ascii="宋体" w:hAnsi="宋体" w:eastAsia="宋体"/>
          <w:szCs w:val="24"/>
        </w:rPr>
        <w:t>1.8 计量单位</w:t>
      </w:r>
    </w:p>
    <w:p>
      <w:pPr>
        <w:spacing w:line="360" w:lineRule="auto"/>
        <w:ind w:firstLine="420" w:firstLineChars="200"/>
        <w:rPr>
          <w:rStyle w:val="18"/>
          <w:rFonts w:ascii="宋体" w:hAnsi="宋体"/>
          <w:szCs w:val="21"/>
        </w:rPr>
      </w:pPr>
      <w:r>
        <w:rPr>
          <w:rStyle w:val="18"/>
          <w:rFonts w:ascii="宋体" w:hAnsi="宋体"/>
          <w:szCs w:val="21"/>
        </w:rPr>
        <w:t>所有计量均采用中华人民共和国法定计量单位。</w:t>
      </w:r>
    </w:p>
    <w:p>
      <w:pPr>
        <w:pStyle w:val="24"/>
        <w:spacing w:before="60" w:after="60" w:line="360" w:lineRule="auto"/>
        <w:ind w:firstLine="118"/>
        <w:rPr>
          <w:rStyle w:val="18"/>
          <w:rFonts w:ascii="宋体" w:hAnsi="宋体" w:eastAsia="宋体"/>
          <w:szCs w:val="24"/>
        </w:rPr>
      </w:pPr>
      <w:r>
        <w:rPr>
          <w:rStyle w:val="18"/>
          <w:rFonts w:ascii="宋体" w:hAnsi="宋体" w:eastAsia="宋体"/>
          <w:szCs w:val="24"/>
        </w:rPr>
        <w:t>1.9 踏勘现场</w:t>
      </w:r>
    </w:p>
    <w:p>
      <w:pPr>
        <w:spacing w:line="360" w:lineRule="auto"/>
        <w:ind w:firstLine="420" w:firstLineChars="200"/>
        <w:jc w:val="left"/>
        <w:rPr>
          <w:rStyle w:val="18"/>
          <w:rFonts w:ascii="宋体" w:hAnsi="宋体"/>
          <w:kern w:val="0"/>
          <w:szCs w:val="21"/>
        </w:rPr>
      </w:pPr>
      <w:r>
        <w:rPr>
          <w:rStyle w:val="18"/>
          <w:rFonts w:ascii="宋体" w:hAnsi="宋体"/>
          <w:kern w:val="0"/>
          <w:szCs w:val="21"/>
        </w:rPr>
        <w:t>1.9.1招标人不组织投标人踏勘现场，投标人可以自行对工程施工现场和周围环境进行勘察，以获取编制投标文件和签署合同所需的所有资料。施工现场的联系方式见须知前附表。</w:t>
      </w:r>
    </w:p>
    <w:p>
      <w:pPr>
        <w:spacing w:line="360" w:lineRule="auto"/>
        <w:ind w:firstLine="420" w:firstLineChars="200"/>
        <w:jc w:val="left"/>
        <w:rPr>
          <w:rStyle w:val="18"/>
          <w:rFonts w:ascii="宋体" w:hAnsi="宋体"/>
          <w:kern w:val="0"/>
          <w:szCs w:val="21"/>
        </w:rPr>
      </w:pPr>
      <w:r>
        <w:rPr>
          <w:rStyle w:val="18"/>
          <w:rFonts w:ascii="宋体" w:hAnsi="宋体"/>
          <w:kern w:val="0"/>
          <w:szCs w:val="21"/>
        </w:rPr>
        <w:t>1.9.2 投标人踏勘现场发生的费用自理。</w:t>
      </w:r>
    </w:p>
    <w:p>
      <w:pPr>
        <w:spacing w:line="360" w:lineRule="auto"/>
        <w:ind w:firstLine="420" w:firstLineChars="200"/>
        <w:jc w:val="left"/>
        <w:rPr>
          <w:rStyle w:val="18"/>
          <w:rFonts w:ascii="宋体" w:hAnsi="宋体"/>
          <w:kern w:val="0"/>
          <w:szCs w:val="21"/>
        </w:rPr>
      </w:pPr>
      <w:r>
        <w:rPr>
          <w:rStyle w:val="18"/>
          <w:rFonts w:ascii="宋体" w:hAnsi="宋体"/>
          <w:kern w:val="0"/>
          <w:szCs w:val="21"/>
        </w:rPr>
        <w:t>1.9.3 除招标人的原因外，投标人自行负责在踏勘现场中所发生的人员伤亡和财产损失。</w:t>
      </w:r>
    </w:p>
    <w:p>
      <w:pPr>
        <w:spacing w:line="360" w:lineRule="auto"/>
        <w:ind w:firstLine="420" w:firstLineChars="200"/>
        <w:jc w:val="left"/>
        <w:rPr>
          <w:rStyle w:val="18"/>
          <w:rFonts w:ascii="宋体" w:hAnsi="宋体"/>
          <w:kern w:val="0"/>
          <w:szCs w:val="21"/>
        </w:rPr>
      </w:pPr>
      <w:r>
        <w:rPr>
          <w:rStyle w:val="18"/>
          <w:rFonts w:ascii="宋体" w:hAnsi="宋体"/>
          <w:kern w:val="0"/>
          <w:szCs w:val="21"/>
        </w:rPr>
        <w:t>1.9.4 招标人向投标人提供的有关施工现场的资料和数据是招标人现有的能使投标人利用的资料。招标人对投标人由此而做出的推论、理解和结论概不负责。</w:t>
      </w:r>
    </w:p>
    <w:p>
      <w:pPr>
        <w:pStyle w:val="24"/>
        <w:spacing w:before="60" w:after="60" w:line="360" w:lineRule="auto"/>
        <w:ind w:firstLine="118"/>
        <w:rPr>
          <w:rStyle w:val="18"/>
          <w:rFonts w:ascii="宋体" w:hAnsi="宋体" w:eastAsia="宋体"/>
          <w:szCs w:val="24"/>
        </w:rPr>
      </w:pPr>
      <w:r>
        <w:rPr>
          <w:rStyle w:val="18"/>
          <w:rFonts w:ascii="宋体" w:hAnsi="宋体" w:eastAsia="宋体"/>
          <w:szCs w:val="24"/>
        </w:rPr>
        <w:t>1.10 投标预备会</w:t>
      </w:r>
    </w:p>
    <w:p>
      <w:pPr>
        <w:spacing w:line="360" w:lineRule="auto"/>
        <w:ind w:firstLine="420" w:firstLineChars="200"/>
        <w:rPr>
          <w:rStyle w:val="18"/>
          <w:rFonts w:ascii="宋体" w:hAnsi="宋体"/>
          <w:szCs w:val="21"/>
        </w:rPr>
      </w:pPr>
      <w:r>
        <w:rPr>
          <w:rStyle w:val="18"/>
          <w:rFonts w:ascii="宋体" w:hAnsi="宋体"/>
          <w:szCs w:val="21"/>
        </w:rPr>
        <w:t>1.10.1 投标人须知前附表规定召开投标预备会的，招标人按投标人须知前附表规定的时间和地点召开投标预备会，澄清投标人提出的问题。</w:t>
      </w:r>
    </w:p>
    <w:p>
      <w:pPr>
        <w:spacing w:line="360" w:lineRule="auto"/>
        <w:ind w:firstLine="420" w:firstLineChars="200"/>
        <w:rPr>
          <w:rStyle w:val="18"/>
          <w:rFonts w:ascii="宋体" w:hAnsi="宋体"/>
          <w:szCs w:val="21"/>
        </w:rPr>
      </w:pPr>
      <w:r>
        <w:rPr>
          <w:rStyle w:val="18"/>
          <w:rFonts w:ascii="宋体" w:hAnsi="宋体"/>
          <w:szCs w:val="21"/>
        </w:rPr>
        <w:t>1.10.2 投标人应在投标人须知前附表规定的时间前，以书面形式将提出的问题送达招标人，以便招标人在会议期间澄清。</w:t>
      </w:r>
    </w:p>
    <w:p>
      <w:pPr>
        <w:spacing w:line="360" w:lineRule="auto"/>
        <w:ind w:firstLine="420" w:firstLineChars="200"/>
        <w:rPr>
          <w:rStyle w:val="18"/>
          <w:rFonts w:ascii="宋体" w:hAnsi="宋体"/>
          <w:szCs w:val="21"/>
        </w:rPr>
      </w:pPr>
      <w:r>
        <w:rPr>
          <w:rStyle w:val="18"/>
          <w:rFonts w:ascii="宋体" w:hAnsi="宋体"/>
          <w:szCs w:val="21"/>
        </w:rPr>
        <w:t>1.10.3 投标预备会后，招标人在投标人须知前附表规定的时间内，将对投标人所提问颗的澄清，以书面方式通知所有购买招标文件的投标人。该澄清内容为招标文件的组成部分。</w:t>
      </w:r>
    </w:p>
    <w:p>
      <w:pPr>
        <w:pStyle w:val="24"/>
        <w:spacing w:before="60" w:after="60" w:line="360" w:lineRule="auto"/>
        <w:ind w:firstLine="118"/>
        <w:rPr>
          <w:rStyle w:val="18"/>
          <w:rFonts w:ascii="宋体" w:hAnsi="宋体" w:eastAsia="宋体"/>
          <w:szCs w:val="24"/>
        </w:rPr>
      </w:pPr>
      <w:r>
        <w:rPr>
          <w:rStyle w:val="18"/>
          <w:rFonts w:ascii="宋体" w:hAnsi="宋体" w:eastAsia="宋体"/>
          <w:szCs w:val="24"/>
        </w:rPr>
        <w:t>1.11 偏离</w:t>
      </w:r>
    </w:p>
    <w:p>
      <w:pPr>
        <w:spacing w:line="360" w:lineRule="auto"/>
        <w:ind w:firstLine="420" w:firstLineChars="200"/>
        <w:rPr>
          <w:rStyle w:val="18"/>
          <w:rFonts w:ascii="宋体" w:hAnsi="宋体"/>
          <w:szCs w:val="21"/>
        </w:rPr>
      </w:pPr>
      <w:r>
        <w:rPr>
          <w:rStyle w:val="18"/>
          <w:rFonts w:ascii="宋体" w:hAnsi="宋体"/>
          <w:szCs w:val="21"/>
        </w:rPr>
        <w:t>投标人须知前附表允许投标文件偏离招标文件某些要求的，偏离应当符合招标文件规定的偏离范围和幅度。</w:t>
      </w:r>
    </w:p>
    <w:p>
      <w:pPr>
        <w:pStyle w:val="22"/>
        <w:rPr>
          <w:rStyle w:val="18"/>
          <w:rFonts w:ascii="宋体" w:hAnsi="宋体"/>
        </w:rPr>
      </w:pPr>
      <w:r>
        <w:rPr>
          <w:rStyle w:val="18"/>
          <w:rFonts w:ascii="宋体" w:hAnsi="宋体"/>
        </w:rPr>
        <w:t>2.招标文件</w:t>
      </w:r>
    </w:p>
    <w:p>
      <w:pPr>
        <w:pStyle w:val="24"/>
        <w:spacing w:before="60" w:after="60" w:line="360" w:lineRule="auto"/>
        <w:ind w:firstLine="118"/>
        <w:rPr>
          <w:rStyle w:val="18"/>
          <w:rFonts w:ascii="宋体" w:hAnsi="宋体" w:eastAsia="宋体"/>
          <w:szCs w:val="24"/>
        </w:rPr>
      </w:pPr>
      <w:r>
        <w:rPr>
          <w:rStyle w:val="18"/>
          <w:rFonts w:ascii="宋体" w:hAnsi="宋体" w:eastAsia="宋体"/>
          <w:szCs w:val="24"/>
        </w:rPr>
        <w:t>2.1 招标文件组成</w:t>
      </w:r>
    </w:p>
    <w:p>
      <w:pPr>
        <w:shd w:val="clear" w:color="auto" w:fill="FFFFFF"/>
        <w:spacing w:line="360" w:lineRule="auto"/>
        <w:ind w:firstLine="420" w:firstLineChars="200"/>
        <w:jc w:val="left"/>
        <w:rPr>
          <w:rStyle w:val="18"/>
          <w:rFonts w:ascii="宋体" w:hAnsi="宋体"/>
          <w:szCs w:val="21"/>
        </w:rPr>
      </w:pPr>
      <w:r>
        <w:rPr>
          <w:rStyle w:val="18"/>
          <w:rFonts w:ascii="宋体" w:hAnsi="宋体"/>
          <w:szCs w:val="21"/>
        </w:rPr>
        <w:t>2.1.1 本招标文件包括：</w:t>
      </w:r>
    </w:p>
    <w:p>
      <w:pPr>
        <w:spacing w:line="360" w:lineRule="auto"/>
        <w:ind w:firstLine="420" w:firstLineChars="200"/>
        <w:rPr>
          <w:rStyle w:val="18"/>
          <w:rFonts w:ascii="宋体" w:hAnsi="宋体"/>
        </w:rPr>
      </w:pPr>
      <w:r>
        <w:rPr>
          <w:rStyle w:val="18"/>
          <w:rFonts w:ascii="宋体" w:hAnsi="宋体"/>
        </w:rPr>
        <w:t>（1）招标公告；</w:t>
      </w:r>
    </w:p>
    <w:p>
      <w:pPr>
        <w:spacing w:line="360" w:lineRule="auto"/>
        <w:ind w:firstLine="420" w:firstLineChars="200"/>
        <w:rPr>
          <w:rStyle w:val="18"/>
          <w:rFonts w:ascii="宋体" w:hAnsi="宋体"/>
        </w:rPr>
      </w:pPr>
      <w:r>
        <w:rPr>
          <w:rStyle w:val="18"/>
          <w:rFonts w:ascii="宋体" w:hAnsi="宋体"/>
        </w:rPr>
        <w:t>（2）投标人须知；</w:t>
      </w:r>
    </w:p>
    <w:p>
      <w:pPr>
        <w:spacing w:line="360" w:lineRule="auto"/>
        <w:ind w:firstLine="420" w:firstLineChars="200"/>
        <w:rPr>
          <w:rStyle w:val="18"/>
          <w:rFonts w:ascii="宋体" w:hAnsi="宋体"/>
        </w:rPr>
      </w:pPr>
      <w:r>
        <w:rPr>
          <w:rStyle w:val="18"/>
          <w:rFonts w:ascii="宋体" w:hAnsi="宋体"/>
        </w:rPr>
        <w:t>（3）评标办法；</w:t>
      </w:r>
    </w:p>
    <w:p>
      <w:pPr>
        <w:spacing w:line="360" w:lineRule="auto"/>
        <w:ind w:firstLine="420" w:firstLineChars="200"/>
        <w:rPr>
          <w:rStyle w:val="18"/>
          <w:rFonts w:ascii="宋体" w:hAnsi="宋体"/>
        </w:rPr>
      </w:pPr>
      <w:r>
        <w:rPr>
          <w:rStyle w:val="18"/>
          <w:rFonts w:ascii="宋体" w:hAnsi="宋体"/>
        </w:rPr>
        <w:t>（4）合同条款及格式；</w:t>
      </w:r>
    </w:p>
    <w:p>
      <w:pPr>
        <w:spacing w:line="360" w:lineRule="auto"/>
        <w:ind w:firstLine="420" w:firstLineChars="200"/>
        <w:rPr>
          <w:rStyle w:val="18"/>
          <w:rFonts w:ascii="宋体" w:hAnsi="宋体"/>
        </w:rPr>
      </w:pPr>
      <w:r>
        <w:rPr>
          <w:rStyle w:val="18"/>
          <w:rFonts w:ascii="宋体" w:hAnsi="宋体"/>
        </w:rPr>
        <w:t>（5）货物需求；</w:t>
      </w:r>
    </w:p>
    <w:p>
      <w:pPr>
        <w:spacing w:line="360" w:lineRule="auto"/>
        <w:ind w:firstLine="420" w:firstLineChars="200"/>
        <w:rPr>
          <w:rStyle w:val="18"/>
          <w:rFonts w:ascii="宋体" w:hAnsi="宋体"/>
        </w:rPr>
      </w:pPr>
      <w:r>
        <w:rPr>
          <w:rStyle w:val="18"/>
          <w:rFonts w:ascii="宋体" w:hAnsi="宋体"/>
        </w:rPr>
        <w:t>（6）图纸；</w:t>
      </w:r>
    </w:p>
    <w:p>
      <w:pPr>
        <w:spacing w:line="360" w:lineRule="auto"/>
        <w:ind w:firstLine="420" w:firstLineChars="200"/>
        <w:rPr>
          <w:rStyle w:val="18"/>
          <w:rFonts w:ascii="宋体" w:hAnsi="宋体"/>
        </w:rPr>
      </w:pPr>
      <w:r>
        <w:rPr>
          <w:rStyle w:val="18"/>
          <w:rFonts w:ascii="宋体" w:hAnsi="宋体"/>
        </w:rPr>
        <w:t>（7）投标文件格式；</w:t>
      </w:r>
    </w:p>
    <w:p>
      <w:pPr>
        <w:spacing w:line="360" w:lineRule="auto"/>
        <w:ind w:firstLine="420" w:firstLineChars="200"/>
        <w:rPr>
          <w:rStyle w:val="18"/>
          <w:rFonts w:ascii="宋体" w:hAnsi="宋体"/>
        </w:rPr>
      </w:pPr>
      <w:r>
        <w:rPr>
          <w:rStyle w:val="18"/>
          <w:rFonts w:ascii="宋体" w:hAnsi="宋体"/>
        </w:rPr>
        <w:t>（8）投标人须知前附表规定的其他材料。</w:t>
      </w:r>
    </w:p>
    <w:p>
      <w:pPr>
        <w:spacing w:line="360" w:lineRule="auto"/>
        <w:ind w:firstLine="420" w:firstLineChars="200"/>
        <w:rPr>
          <w:rStyle w:val="18"/>
          <w:rFonts w:ascii="宋体" w:hAnsi="宋体"/>
        </w:rPr>
      </w:pPr>
      <w:r>
        <w:rPr>
          <w:rStyle w:val="18"/>
          <w:rFonts w:ascii="宋体" w:hAnsi="宋体"/>
        </w:rPr>
        <w:t>2.1.2根据本章第1.10款、第2.2款和第2.3款对招标文件所作的澄清、修改，构成招标文件的组成部分。当招标文件相互之间发生矛盾时，以后发出的文件为准。</w:t>
      </w:r>
    </w:p>
    <w:p>
      <w:pPr>
        <w:pStyle w:val="24"/>
        <w:spacing w:before="60" w:after="60" w:line="360" w:lineRule="auto"/>
        <w:ind w:firstLine="118"/>
        <w:rPr>
          <w:rStyle w:val="18"/>
          <w:rFonts w:ascii="宋体" w:hAnsi="宋体" w:eastAsia="宋体"/>
          <w:szCs w:val="24"/>
        </w:rPr>
      </w:pPr>
      <w:r>
        <w:rPr>
          <w:rStyle w:val="18"/>
          <w:rFonts w:ascii="宋体" w:hAnsi="宋体" w:eastAsia="宋体"/>
          <w:szCs w:val="24"/>
        </w:rPr>
        <w:t xml:space="preserve">2.2 招标文件的澄清 </w:t>
      </w:r>
    </w:p>
    <w:p>
      <w:pPr>
        <w:shd w:val="clear" w:color="auto" w:fill="FFFFFF"/>
        <w:spacing w:line="360" w:lineRule="auto"/>
        <w:ind w:firstLine="420" w:firstLineChars="200"/>
        <w:jc w:val="left"/>
        <w:rPr>
          <w:rStyle w:val="18"/>
          <w:rFonts w:ascii="宋体" w:hAnsi="宋体"/>
          <w:szCs w:val="21"/>
        </w:rPr>
      </w:pPr>
      <w:r>
        <w:rPr>
          <w:rStyle w:val="18"/>
          <w:rFonts w:ascii="宋体" w:hAnsi="宋体"/>
          <w:szCs w:val="21"/>
        </w:rPr>
        <w:t>2.2.1 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w:t>
      </w:r>
    </w:p>
    <w:p>
      <w:pPr>
        <w:shd w:val="clear" w:color="auto" w:fill="FFFFFF"/>
        <w:spacing w:line="360" w:lineRule="auto"/>
        <w:ind w:firstLine="420" w:firstLineChars="200"/>
        <w:jc w:val="left"/>
        <w:rPr>
          <w:rStyle w:val="18"/>
          <w:rFonts w:ascii="宋体" w:hAnsi="宋体"/>
          <w:szCs w:val="21"/>
        </w:rPr>
      </w:pPr>
      <w:r>
        <w:rPr>
          <w:rStyle w:val="18"/>
          <w:rFonts w:ascii="宋体" w:hAnsi="宋体"/>
          <w:szCs w:val="21"/>
        </w:rPr>
        <w:t>2.2.2 招标文件的澄清将在投标人须知前附表规定的投标截止时间15天前以书面形式发给所有购买招标文件的投标人，但不指明澄清问题的来源。如果澄清发出的时间距投标截止时间不足15天，且澄清内容影响投标文件编制的，相应延长投标截止时间。</w:t>
      </w:r>
    </w:p>
    <w:p>
      <w:pPr>
        <w:shd w:val="clear" w:color="auto" w:fill="FFFFFF"/>
        <w:spacing w:line="360" w:lineRule="auto"/>
        <w:ind w:firstLine="420" w:firstLineChars="200"/>
        <w:jc w:val="left"/>
        <w:rPr>
          <w:rStyle w:val="18"/>
          <w:rFonts w:ascii="宋体" w:hAnsi="宋体"/>
          <w:szCs w:val="21"/>
        </w:rPr>
      </w:pPr>
      <w:r>
        <w:rPr>
          <w:rStyle w:val="18"/>
          <w:rFonts w:ascii="宋体" w:hAnsi="宋体"/>
          <w:szCs w:val="21"/>
        </w:rPr>
        <w:t>2.2.3 投标人在收到澄清后，应在投标人须知前附表规定的时间内以书面形式通知招标人，确认己收到该澄清。</w:t>
      </w:r>
    </w:p>
    <w:p>
      <w:pPr>
        <w:pStyle w:val="24"/>
        <w:spacing w:before="60" w:after="60" w:line="360" w:lineRule="auto"/>
        <w:ind w:firstLine="118"/>
        <w:rPr>
          <w:rStyle w:val="18"/>
          <w:rFonts w:ascii="宋体" w:hAnsi="宋体" w:eastAsia="宋体"/>
          <w:szCs w:val="24"/>
        </w:rPr>
      </w:pPr>
      <w:r>
        <w:rPr>
          <w:rStyle w:val="18"/>
          <w:rFonts w:ascii="宋体" w:hAnsi="宋体" w:eastAsia="宋体"/>
          <w:szCs w:val="24"/>
        </w:rPr>
        <w:t>2.3 招标文件的修改</w:t>
      </w:r>
    </w:p>
    <w:p>
      <w:pPr>
        <w:shd w:val="clear" w:color="auto" w:fill="FFFFFF"/>
        <w:spacing w:line="360" w:lineRule="auto"/>
        <w:ind w:firstLine="420" w:firstLineChars="200"/>
        <w:jc w:val="left"/>
        <w:rPr>
          <w:rStyle w:val="18"/>
          <w:rFonts w:ascii="宋体" w:hAnsi="宋体"/>
          <w:szCs w:val="21"/>
        </w:rPr>
      </w:pPr>
      <w:r>
        <w:rPr>
          <w:rStyle w:val="18"/>
          <w:rFonts w:ascii="宋体" w:hAnsi="宋体"/>
          <w:szCs w:val="21"/>
        </w:rPr>
        <w:t>2.3.1 在投标截止时间15天前，招标人可以书面形式修改招标文件，并通知所有已购买招标文件的投标人。如果修改招标文件的时间距投标截止时间不足15天，且修改内容影响投标文件编制的，相应延长投标截止时间。</w:t>
      </w:r>
    </w:p>
    <w:p>
      <w:pPr>
        <w:shd w:val="clear" w:color="auto" w:fill="FFFFFF"/>
        <w:spacing w:line="360" w:lineRule="auto"/>
        <w:ind w:firstLine="420" w:firstLineChars="200"/>
        <w:jc w:val="left"/>
        <w:rPr>
          <w:rStyle w:val="18"/>
          <w:rFonts w:ascii="宋体" w:hAnsi="宋体"/>
          <w:szCs w:val="21"/>
        </w:rPr>
      </w:pPr>
      <w:r>
        <w:rPr>
          <w:rStyle w:val="18"/>
          <w:rFonts w:ascii="宋体" w:hAnsi="宋体"/>
          <w:szCs w:val="21"/>
        </w:rPr>
        <w:t>2.3.2 投标人收到修改内容后，应在投标人须知前附表规定的时间内以书面形式通知招标人，确认己收到该修改。</w:t>
      </w:r>
    </w:p>
    <w:p>
      <w:pPr>
        <w:pStyle w:val="22"/>
        <w:rPr>
          <w:rStyle w:val="18"/>
          <w:rFonts w:ascii="宋体" w:hAnsi="宋体"/>
        </w:rPr>
      </w:pPr>
      <w:r>
        <w:rPr>
          <w:rStyle w:val="18"/>
          <w:rFonts w:ascii="宋体" w:hAnsi="宋体"/>
        </w:rPr>
        <w:t>3.投标文件</w:t>
      </w:r>
    </w:p>
    <w:p>
      <w:pPr>
        <w:pStyle w:val="24"/>
        <w:spacing w:before="60" w:after="60" w:line="360" w:lineRule="auto"/>
        <w:ind w:firstLine="118"/>
        <w:rPr>
          <w:rStyle w:val="18"/>
          <w:rFonts w:ascii="宋体" w:hAnsi="宋体" w:eastAsia="宋体"/>
          <w:szCs w:val="24"/>
        </w:rPr>
      </w:pPr>
      <w:r>
        <w:rPr>
          <w:rStyle w:val="18"/>
          <w:rFonts w:ascii="宋体" w:hAnsi="宋体" w:eastAsia="宋体"/>
          <w:szCs w:val="24"/>
        </w:rPr>
        <w:t>3.1 投标文件的组成</w:t>
      </w:r>
    </w:p>
    <w:p>
      <w:pPr>
        <w:spacing w:line="360" w:lineRule="auto"/>
        <w:ind w:firstLine="420" w:firstLineChars="200"/>
        <w:rPr>
          <w:rStyle w:val="18"/>
          <w:rFonts w:ascii="宋体" w:hAnsi="宋体"/>
          <w:szCs w:val="21"/>
        </w:rPr>
      </w:pPr>
      <w:r>
        <w:rPr>
          <w:rStyle w:val="18"/>
          <w:rFonts w:ascii="宋体" w:hAnsi="宋体"/>
          <w:szCs w:val="21"/>
        </w:rPr>
        <w:t>3.1.1 投标文件的组成。</w:t>
      </w:r>
    </w:p>
    <w:p>
      <w:pPr>
        <w:snapToGrid w:val="0"/>
        <w:spacing w:line="480" w:lineRule="exact"/>
        <w:ind w:firstLine="420" w:firstLineChars="200"/>
        <w:rPr>
          <w:rStyle w:val="18"/>
          <w:rFonts w:ascii="宋体" w:hAnsi="宋体"/>
          <w:szCs w:val="21"/>
        </w:rPr>
      </w:pPr>
      <w:r>
        <w:rPr>
          <w:rStyle w:val="18"/>
          <w:rFonts w:ascii="宋体" w:hAnsi="宋体"/>
          <w:szCs w:val="21"/>
        </w:rPr>
        <w:t>投标文件由资信文件、商务文件、技术文件、电子文件、开标一览表共五部份组成。</w:t>
      </w:r>
    </w:p>
    <w:p>
      <w:pPr>
        <w:snapToGrid w:val="0"/>
        <w:spacing w:before="156" w:line="480" w:lineRule="exact"/>
        <w:ind w:left="472"/>
        <w:rPr>
          <w:rStyle w:val="18"/>
          <w:rFonts w:ascii="宋体" w:hAnsi="宋体"/>
          <w:b/>
          <w:szCs w:val="21"/>
        </w:rPr>
      </w:pPr>
      <w:r>
        <w:rPr>
          <w:rStyle w:val="18"/>
          <w:rFonts w:ascii="宋体" w:hAnsi="宋体"/>
          <w:b/>
          <w:szCs w:val="21"/>
        </w:rPr>
        <w:t>1.资信文件：</w:t>
      </w:r>
    </w:p>
    <w:p>
      <w:pPr>
        <w:snapToGrid w:val="0"/>
        <w:spacing w:before="156" w:line="480" w:lineRule="exact"/>
        <w:ind w:firstLine="411" w:firstLineChars="196"/>
        <w:rPr>
          <w:rStyle w:val="18"/>
          <w:rFonts w:ascii="宋体" w:hAnsi="宋体"/>
          <w:b/>
          <w:szCs w:val="21"/>
        </w:rPr>
      </w:pPr>
      <w:r>
        <w:rPr>
          <w:rStyle w:val="18"/>
          <w:rFonts w:ascii="宋体" w:hAnsi="宋体"/>
          <w:szCs w:val="21"/>
        </w:rPr>
        <w:t>主要包括下述材料：</w:t>
      </w:r>
    </w:p>
    <w:p>
      <w:pPr>
        <w:snapToGrid w:val="0"/>
        <w:spacing w:line="520" w:lineRule="exact"/>
        <w:ind w:firstLine="411" w:firstLineChars="196"/>
        <w:rPr>
          <w:rStyle w:val="18"/>
          <w:rFonts w:ascii="宋体" w:hAnsi="宋体" w:cs="宋体"/>
          <w:bCs/>
          <w:kern w:val="0"/>
          <w:szCs w:val="21"/>
          <w:u w:val="single"/>
        </w:rPr>
      </w:pPr>
      <w:r>
        <w:rPr>
          <w:rStyle w:val="18"/>
          <w:rFonts w:ascii="宋体" w:hAnsi="宋体" w:cs="宋体"/>
          <w:bCs/>
          <w:kern w:val="0"/>
          <w:szCs w:val="21"/>
          <w:u w:val="single"/>
        </w:rPr>
        <w:t>1.1资格审查必要材料：</w:t>
      </w:r>
    </w:p>
    <w:p>
      <w:pPr>
        <w:numPr>
          <w:ilvl w:val="0"/>
          <w:numId w:val="2"/>
        </w:numPr>
        <w:snapToGrid w:val="0"/>
        <w:spacing w:line="520" w:lineRule="exact"/>
        <w:ind w:firstLine="411" w:firstLineChars="196"/>
        <w:rPr>
          <w:rStyle w:val="18"/>
          <w:rFonts w:ascii="宋体" w:hAnsi="宋体"/>
          <w:szCs w:val="21"/>
          <w:u w:val="single"/>
        </w:rPr>
      </w:pPr>
      <w:r>
        <w:rPr>
          <w:rStyle w:val="18"/>
          <w:rFonts w:ascii="宋体" w:hAnsi="宋体"/>
          <w:szCs w:val="21"/>
          <w:u w:val="single"/>
        </w:rPr>
        <w:t>营业执照副本复印件；</w:t>
      </w:r>
    </w:p>
    <w:p>
      <w:pPr>
        <w:numPr>
          <w:ilvl w:val="0"/>
          <w:numId w:val="2"/>
        </w:numPr>
        <w:snapToGrid w:val="0"/>
        <w:spacing w:line="520" w:lineRule="exact"/>
        <w:ind w:firstLine="411" w:firstLineChars="196"/>
        <w:rPr>
          <w:rStyle w:val="18"/>
          <w:rFonts w:ascii="宋体" w:hAnsi="宋体"/>
          <w:szCs w:val="21"/>
          <w:u w:val="single"/>
        </w:rPr>
      </w:pPr>
      <w:r>
        <w:rPr>
          <w:rStyle w:val="18"/>
          <w:rFonts w:hint="eastAsia" w:ascii="宋体" w:hAnsi="宋体"/>
          <w:szCs w:val="21"/>
          <w:u w:val="single"/>
        </w:rPr>
        <w:t>资质证书复印件；</w:t>
      </w:r>
    </w:p>
    <w:p>
      <w:pPr>
        <w:snapToGrid w:val="0"/>
        <w:spacing w:line="520" w:lineRule="exact"/>
        <w:ind w:firstLine="411" w:firstLineChars="196"/>
        <w:rPr>
          <w:rStyle w:val="18"/>
          <w:rFonts w:ascii="宋体" w:hAnsi="宋体"/>
          <w:szCs w:val="21"/>
          <w:u w:val="single"/>
        </w:rPr>
      </w:pPr>
      <w:r>
        <w:rPr>
          <w:rStyle w:val="18"/>
          <w:rFonts w:ascii="宋体" w:hAnsi="宋体"/>
          <w:szCs w:val="21"/>
          <w:u w:val="single"/>
        </w:rPr>
        <w:t>1.2资信文件其他材料：投标人依据本项目评标办法认为需要提供的其他材料。</w:t>
      </w:r>
    </w:p>
    <w:p>
      <w:pPr>
        <w:snapToGrid w:val="0"/>
        <w:spacing w:line="520" w:lineRule="exact"/>
        <w:ind w:firstLine="411" w:firstLineChars="196"/>
        <w:rPr>
          <w:rStyle w:val="18"/>
          <w:rFonts w:ascii="宋体" w:hAnsi="宋体"/>
          <w:szCs w:val="21"/>
        </w:rPr>
      </w:pPr>
      <w:r>
        <w:rPr>
          <w:rStyle w:val="18"/>
          <w:rFonts w:ascii="宋体" w:hAnsi="宋体"/>
          <w:szCs w:val="21"/>
        </w:rPr>
        <w:t>各投标人对所提供资料的真实性负责，中标后招标人有权对中标的资料原件进行核查。</w:t>
      </w:r>
    </w:p>
    <w:p>
      <w:pPr>
        <w:snapToGrid w:val="0"/>
        <w:spacing w:before="156" w:line="480" w:lineRule="exact"/>
        <w:ind w:firstLine="422" w:firstLineChars="200"/>
        <w:rPr>
          <w:rStyle w:val="18"/>
          <w:rFonts w:ascii="宋体" w:hAnsi="宋体"/>
          <w:szCs w:val="21"/>
        </w:rPr>
      </w:pPr>
      <w:r>
        <w:rPr>
          <w:rStyle w:val="18"/>
          <w:rFonts w:ascii="宋体" w:hAnsi="宋体" w:cs="宋体"/>
          <w:b/>
          <w:bCs/>
          <w:szCs w:val="21"/>
        </w:rPr>
        <w:t>2.</w:t>
      </w:r>
      <w:r>
        <w:rPr>
          <w:rStyle w:val="18"/>
          <w:rFonts w:ascii="宋体" w:hAnsi="宋体"/>
          <w:szCs w:val="21"/>
        </w:rPr>
        <w:t xml:space="preserve"> </w:t>
      </w:r>
      <w:r>
        <w:rPr>
          <w:rStyle w:val="18"/>
          <w:rFonts w:ascii="宋体" w:hAnsi="宋体" w:cs="宋体"/>
          <w:b/>
          <w:bCs/>
          <w:szCs w:val="21"/>
        </w:rPr>
        <w:t>商务文件：</w:t>
      </w:r>
    </w:p>
    <w:p>
      <w:pPr>
        <w:snapToGrid w:val="0"/>
        <w:spacing w:line="480" w:lineRule="exact"/>
        <w:ind w:firstLine="411" w:firstLineChars="196"/>
        <w:rPr>
          <w:rStyle w:val="18"/>
          <w:rFonts w:ascii="宋体" w:hAnsi="宋体"/>
          <w:szCs w:val="21"/>
        </w:rPr>
      </w:pPr>
      <w:r>
        <w:rPr>
          <w:rStyle w:val="18"/>
          <w:rFonts w:ascii="宋体" w:hAnsi="宋体"/>
          <w:szCs w:val="21"/>
        </w:rPr>
        <w:t>（1）投标函；</w:t>
      </w:r>
    </w:p>
    <w:p>
      <w:pPr>
        <w:snapToGrid w:val="0"/>
        <w:spacing w:line="480" w:lineRule="exact"/>
        <w:ind w:firstLine="411" w:firstLineChars="196"/>
        <w:rPr>
          <w:rStyle w:val="18"/>
          <w:rFonts w:ascii="宋体" w:hAnsi="宋体"/>
          <w:szCs w:val="21"/>
        </w:rPr>
      </w:pPr>
      <w:r>
        <w:rPr>
          <w:rStyle w:val="18"/>
          <w:rFonts w:ascii="宋体" w:hAnsi="宋体"/>
          <w:szCs w:val="21"/>
        </w:rPr>
        <w:t>（2）投标报价明细表；</w:t>
      </w:r>
    </w:p>
    <w:p>
      <w:pPr>
        <w:snapToGrid w:val="0"/>
        <w:spacing w:line="480" w:lineRule="exact"/>
        <w:ind w:firstLine="411" w:firstLineChars="196"/>
        <w:rPr>
          <w:rStyle w:val="18"/>
          <w:rFonts w:ascii="宋体" w:hAnsi="宋体"/>
          <w:szCs w:val="21"/>
        </w:rPr>
      </w:pPr>
      <w:r>
        <w:rPr>
          <w:rStyle w:val="18"/>
          <w:rFonts w:ascii="宋体" w:hAnsi="宋体"/>
          <w:szCs w:val="21"/>
        </w:rPr>
        <w:t>（3）商务及技术条款偏离表；</w:t>
      </w:r>
    </w:p>
    <w:p>
      <w:pPr>
        <w:snapToGrid w:val="0"/>
        <w:spacing w:line="480" w:lineRule="exact"/>
        <w:ind w:firstLine="411" w:firstLineChars="196"/>
        <w:rPr>
          <w:rStyle w:val="18"/>
          <w:rFonts w:ascii="宋体" w:hAnsi="宋体"/>
          <w:szCs w:val="21"/>
        </w:rPr>
      </w:pPr>
      <w:r>
        <w:rPr>
          <w:rStyle w:val="18"/>
          <w:rFonts w:ascii="宋体" w:hAnsi="宋体"/>
          <w:szCs w:val="21"/>
        </w:rPr>
        <w:t>（4）授权委托书原件及授权委托人身份证复印件（如有）；</w:t>
      </w:r>
    </w:p>
    <w:p>
      <w:pPr>
        <w:tabs>
          <w:tab w:val="left" w:pos="3870"/>
          <w:tab w:val="left" w:pos="4085"/>
        </w:tabs>
        <w:snapToGrid w:val="0"/>
        <w:spacing w:line="480" w:lineRule="exact"/>
        <w:ind w:firstLine="420" w:firstLineChars="200"/>
        <w:rPr>
          <w:rStyle w:val="18"/>
          <w:rFonts w:ascii="宋体" w:hAnsi="宋体"/>
          <w:szCs w:val="21"/>
        </w:rPr>
      </w:pPr>
      <w:r>
        <w:rPr>
          <w:rStyle w:val="18"/>
          <w:rFonts w:ascii="宋体" w:hAnsi="宋体"/>
          <w:szCs w:val="21"/>
        </w:rPr>
        <w:t>（5）法定代表人身份证明；</w:t>
      </w:r>
    </w:p>
    <w:p>
      <w:pPr>
        <w:tabs>
          <w:tab w:val="left" w:pos="3870"/>
          <w:tab w:val="left" w:pos="4085"/>
        </w:tabs>
        <w:snapToGrid w:val="0"/>
        <w:spacing w:line="480" w:lineRule="exact"/>
        <w:ind w:firstLine="420" w:firstLineChars="200"/>
        <w:rPr>
          <w:rStyle w:val="18"/>
          <w:rFonts w:ascii="宋体" w:hAnsi="宋体"/>
          <w:szCs w:val="21"/>
        </w:rPr>
      </w:pPr>
      <w:r>
        <w:rPr>
          <w:rStyle w:val="18"/>
          <w:rFonts w:ascii="宋体" w:hAnsi="宋体"/>
          <w:szCs w:val="21"/>
        </w:rPr>
        <w:t>（6）申请人基本情况；</w:t>
      </w:r>
    </w:p>
    <w:p>
      <w:pPr>
        <w:tabs>
          <w:tab w:val="left" w:pos="3870"/>
          <w:tab w:val="left" w:pos="4085"/>
        </w:tabs>
        <w:snapToGrid w:val="0"/>
        <w:spacing w:line="480" w:lineRule="exact"/>
        <w:ind w:firstLine="420" w:firstLineChars="200"/>
        <w:rPr>
          <w:rStyle w:val="18"/>
          <w:rFonts w:ascii="宋体" w:hAnsi="宋体"/>
          <w:szCs w:val="21"/>
        </w:rPr>
      </w:pPr>
      <w:r>
        <w:rPr>
          <w:rStyle w:val="18"/>
          <w:rFonts w:ascii="宋体" w:hAnsi="宋体"/>
          <w:szCs w:val="21"/>
        </w:rPr>
        <w:t>（</w:t>
      </w:r>
      <w:r>
        <w:rPr>
          <w:rStyle w:val="18"/>
          <w:rFonts w:hint="eastAsia" w:ascii="宋体" w:hAnsi="宋体"/>
          <w:szCs w:val="21"/>
        </w:rPr>
        <w:t>7</w:t>
      </w:r>
      <w:r>
        <w:rPr>
          <w:rStyle w:val="18"/>
          <w:rFonts w:ascii="宋体" w:hAnsi="宋体"/>
          <w:szCs w:val="21"/>
        </w:rPr>
        <w:t>）为完成本项目投标人认为所需要的其它资料。</w:t>
      </w:r>
    </w:p>
    <w:p>
      <w:pPr>
        <w:snapToGrid w:val="0"/>
        <w:spacing w:line="480" w:lineRule="exact"/>
        <w:ind w:firstLine="422" w:firstLineChars="200"/>
        <w:rPr>
          <w:rStyle w:val="18"/>
          <w:rFonts w:ascii="宋体" w:hAnsi="宋体" w:cs="宋体"/>
          <w:b/>
          <w:bCs/>
          <w:szCs w:val="21"/>
        </w:rPr>
      </w:pPr>
      <w:r>
        <w:rPr>
          <w:rStyle w:val="18"/>
          <w:rFonts w:ascii="宋体" w:hAnsi="宋体" w:cs="宋体"/>
          <w:b/>
          <w:bCs/>
          <w:szCs w:val="21"/>
        </w:rPr>
        <w:t>3.</w:t>
      </w:r>
      <w:r>
        <w:rPr>
          <w:rStyle w:val="18"/>
          <w:rFonts w:ascii="宋体" w:hAnsi="宋体"/>
          <w:szCs w:val="21"/>
        </w:rPr>
        <w:t xml:space="preserve"> </w:t>
      </w:r>
      <w:r>
        <w:rPr>
          <w:rStyle w:val="18"/>
          <w:rFonts w:ascii="宋体" w:hAnsi="宋体" w:cs="宋体"/>
          <w:b/>
          <w:bCs/>
          <w:szCs w:val="21"/>
        </w:rPr>
        <w:t>技术文件：</w:t>
      </w:r>
    </w:p>
    <w:p>
      <w:pPr>
        <w:pStyle w:val="25"/>
        <w:spacing w:before="0" w:after="0" w:line="480" w:lineRule="exact"/>
        <w:ind w:firstLine="420" w:firstLineChars="200"/>
        <w:rPr>
          <w:rStyle w:val="18"/>
          <w:sz w:val="21"/>
          <w:szCs w:val="21"/>
        </w:rPr>
      </w:pPr>
      <w:r>
        <w:rPr>
          <w:rStyle w:val="18"/>
          <w:sz w:val="21"/>
          <w:szCs w:val="21"/>
        </w:rPr>
        <w:t>（1）详见“第三章评标办法技术文件”要求。</w:t>
      </w:r>
    </w:p>
    <w:p>
      <w:pPr>
        <w:pStyle w:val="25"/>
        <w:spacing w:before="0" w:line="480" w:lineRule="exact"/>
        <w:ind w:firstLine="422" w:firstLineChars="200"/>
        <w:rPr>
          <w:rStyle w:val="18"/>
          <w:rFonts w:cs="宋体"/>
          <w:b/>
          <w:bCs/>
          <w:sz w:val="21"/>
          <w:szCs w:val="21"/>
        </w:rPr>
      </w:pPr>
      <w:r>
        <w:rPr>
          <w:rStyle w:val="18"/>
          <w:rFonts w:cs="宋体"/>
          <w:b/>
          <w:bCs/>
          <w:sz w:val="21"/>
          <w:szCs w:val="21"/>
        </w:rPr>
        <w:t>4.电子文件：</w:t>
      </w:r>
    </w:p>
    <w:p>
      <w:pPr>
        <w:pStyle w:val="25"/>
        <w:spacing w:before="0" w:line="480" w:lineRule="exact"/>
        <w:ind w:firstLine="420" w:firstLineChars="200"/>
        <w:rPr>
          <w:rStyle w:val="18"/>
          <w:rFonts w:cs="宋体"/>
          <w:bCs/>
          <w:sz w:val="21"/>
          <w:szCs w:val="21"/>
          <w:u w:val="single" w:color="000000"/>
        </w:rPr>
      </w:pPr>
      <w:r>
        <w:rPr>
          <w:rStyle w:val="18"/>
          <w:rFonts w:cs="宋体"/>
          <w:bCs/>
          <w:sz w:val="21"/>
          <w:szCs w:val="21"/>
        </w:rPr>
        <w:t>全套加盖公章的投标文件正本pdf扫描件一份，载体U盘。</w:t>
      </w:r>
    </w:p>
    <w:p>
      <w:pPr>
        <w:tabs>
          <w:tab w:val="left" w:pos="3870"/>
          <w:tab w:val="left" w:pos="4085"/>
        </w:tabs>
        <w:snapToGrid w:val="0"/>
        <w:spacing w:line="480" w:lineRule="exact"/>
        <w:ind w:firstLine="422" w:firstLineChars="200"/>
        <w:rPr>
          <w:rStyle w:val="18"/>
          <w:rFonts w:ascii="宋体" w:hAnsi="宋体" w:cs="宋体"/>
          <w:b/>
          <w:bCs/>
          <w:szCs w:val="21"/>
        </w:rPr>
      </w:pPr>
      <w:r>
        <w:rPr>
          <w:rStyle w:val="18"/>
          <w:rFonts w:ascii="宋体" w:hAnsi="宋体" w:cs="宋体"/>
          <w:b/>
          <w:bCs/>
          <w:szCs w:val="21"/>
        </w:rPr>
        <w:t>5.开标一览表：</w:t>
      </w:r>
    </w:p>
    <w:p>
      <w:pPr>
        <w:tabs>
          <w:tab w:val="left" w:pos="3870"/>
          <w:tab w:val="left" w:pos="4085"/>
        </w:tabs>
        <w:snapToGrid w:val="0"/>
        <w:spacing w:line="480" w:lineRule="exact"/>
        <w:ind w:firstLine="422" w:firstLineChars="200"/>
        <w:rPr>
          <w:rStyle w:val="18"/>
          <w:rFonts w:ascii="宋体" w:hAnsi="宋体" w:cs="宋体"/>
          <w:b/>
          <w:bCs/>
          <w:szCs w:val="21"/>
        </w:rPr>
      </w:pPr>
      <w:r>
        <w:rPr>
          <w:rStyle w:val="18"/>
          <w:rFonts w:ascii="宋体" w:hAnsi="宋体" w:cs="宋体"/>
          <w:b/>
          <w:bCs/>
          <w:szCs w:val="21"/>
        </w:rPr>
        <w:t>开标一览表密封袋里须附</w:t>
      </w:r>
      <w:r>
        <w:rPr>
          <w:rStyle w:val="18"/>
          <w:rFonts w:ascii="宋体" w:hAnsi="宋体" w:cs="宋体"/>
          <w:b/>
          <w:bCs/>
          <w:szCs w:val="21"/>
          <w:u w:val="single"/>
        </w:rPr>
        <w:t>法定代表人身份证明书</w:t>
      </w:r>
      <w:r>
        <w:rPr>
          <w:rStyle w:val="18"/>
          <w:rFonts w:ascii="宋体" w:hAnsi="宋体" w:cs="宋体"/>
          <w:b/>
          <w:bCs/>
          <w:szCs w:val="21"/>
        </w:rPr>
        <w:t>或</w:t>
      </w:r>
      <w:r>
        <w:rPr>
          <w:rStyle w:val="18"/>
          <w:rFonts w:ascii="宋体" w:hAnsi="宋体" w:cs="宋体"/>
          <w:b/>
          <w:bCs/>
          <w:szCs w:val="21"/>
          <w:u w:val="single"/>
        </w:rPr>
        <w:t>授权委托代理人的身份证复印件及授权委托书</w:t>
      </w:r>
      <w:r>
        <w:rPr>
          <w:rStyle w:val="18"/>
          <w:rFonts w:hint="eastAsia" w:ascii="宋体" w:hAnsi="宋体" w:cs="宋体"/>
          <w:b/>
          <w:bCs/>
          <w:szCs w:val="21"/>
          <w:u w:val="single"/>
        </w:rPr>
        <w:t>、</w:t>
      </w:r>
      <w:r>
        <w:rPr>
          <w:rStyle w:val="18"/>
          <w:rFonts w:ascii="宋体" w:hAnsi="宋体"/>
          <w:szCs w:val="22"/>
        </w:rPr>
        <w:t>评分要点索引表</w:t>
      </w:r>
      <w:r>
        <w:rPr>
          <w:rStyle w:val="18"/>
          <w:rFonts w:ascii="宋体" w:hAnsi="宋体" w:cs="宋体"/>
          <w:b/>
          <w:bCs/>
          <w:szCs w:val="21"/>
        </w:rPr>
        <w:t>；单独封装，用于唱标，格式见第六章；</w:t>
      </w:r>
    </w:p>
    <w:p>
      <w:pPr>
        <w:pStyle w:val="25"/>
        <w:spacing w:before="0" w:line="480" w:lineRule="exact"/>
        <w:ind w:firstLine="420" w:firstLineChars="200"/>
        <w:rPr>
          <w:rStyle w:val="18"/>
          <w:rFonts w:cs="宋体"/>
          <w:b/>
          <w:bCs/>
          <w:sz w:val="21"/>
          <w:szCs w:val="21"/>
        </w:rPr>
      </w:pPr>
      <w:r>
        <w:rPr>
          <w:rStyle w:val="18"/>
          <w:sz w:val="21"/>
          <w:szCs w:val="21"/>
        </w:rPr>
        <w:t>▲</w:t>
      </w:r>
      <w:r>
        <w:rPr>
          <w:rStyle w:val="18"/>
          <w:rFonts w:cs="宋体"/>
          <w:b/>
          <w:bCs/>
          <w:sz w:val="21"/>
          <w:szCs w:val="21"/>
        </w:rPr>
        <w:t>注：法定代表人授权委托书、投标函、技术文件、开标一览表必须由法定代表人或被授权委托人签名并加盖单位公章。</w:t>
      </w:r>
    </w:p>
    <w:p>
      <w:pPr>
        <w:pStyle w:val="25"/>
        <w:spacing w:before="0" w:line="480" w:lineRule="exact"/>
        <w:ind w:firstLine="422" w:firstLineChars="200"/>
        <w:rPr>
          <w:rStyle w:val="18"/>
          <w:sz w:val="21"/>
          <w:szCs w:val="21"/>
        </w:rPr>
      </w:pPr>
      <w:r>
        <w:rPr>
          <w:rStyle w:val="18"/>
          <w:rFonts w:cs="宋体"/>
          <w:b/>
          <w:bCs/>
          <w:sz w:val="21"/>
          <w:szCs w:val="21"/>
        </w:rPr>
        <w:t>以上未曾涉及到的方面，投标人可自行增加补充说明的文件，供评委评标参考。</w:t>
      </w:r>
    </w:p>
    <w:p>
      <w:pPr>
        <w:spacing w:line="360" w:lineRule="auto"/>
        <w:ind w:firstLine="420" w:firstLineChars="200"/>
        <w:rPr>
          <w:rStyle w:val="18"/>
          <w:rFonts w:ascii="宋体" w:hAnsi="宋体"/>
          <w:szCs w:val="21"/>
        </w:rPr>
      </w:pPr>
      <w:r>
        <w:rPr>
          <w:rStyle w:val="18"/>
          <w:rFonts w:ascii="宋体" w:hAnsi="宋体"/>
          <w:szCs w:val="21"/>
        </w:rPr>
        <w:t>3.1.2 第六章“投标文件格式”要求提供相关证明材料的复印件作为附件的，投标人应按要求在投标文件中提供相应材料，否则不予认可。</w:t>
      </w:r>
    </w:p>
    <w:p>
      <w:pPr>
        <w:spacing w:line="360" w:lineRule="auto"/>
        <w:ind w:firstLine="420" w:firstLineChars="200"/>
        <w:rPr>
          <w:rStyle w:val="18"/>
          <w:rFonts w:ascii="宋体" w:hAnsi="宋体"/>
          <w:szCs w:val="21"/>
        </w:rPr>
      </w:pPr>
      <w:r>
        <w:rPr>
          <w:rStyle w:val="18"/>
          <w:rFonts w:ascii="宋体" w:hAnsi="宋体"/>
          <w:szCs w:val="21"/>
        </w:rPr>
        <w:t>3.1.3 投标人应按投标人须知前附表的规定提供相关证明材料。</w:t>
      </w:r>
    </w:p>
    <w:p>
      <w:pPr>
        <w:pStyle w:val="24"/>
        <w:spacing w:before="60" w:after="60" w:line="360" w:lineRule="auto"/>
        <w:ind w:firstLine="118"/>
        <w:rPr>
          <w:rStyle w:val="18"/>
          <w:rFonts w:ascii="宋体" w:hAnsi="宋体" w:eastAsia="宋体"/>
          <w:szCs w:val="24"/>
        </w:rPr>
      </w:pPr>
      <w:r>
        <w:rPr>
          <w:rStyle w:val="18"/>
          <w:rFonts w:ascii="宋体" w:hAnsi="宋体" w:eastAsia="宋体"/>
          <w:szCs w:val="24"/>
        </w:rPr>
        <w:t>3.2 投标报价</w:t>
      </w:r>
    </w:p>
    <w:p>
      <w:pPr>
        <w:spacing w:line="360" w:lineRule="auto"/>
        <w:ind w:firstLine="420" w:firstLineChars="200"/>
        <w:rPr>
          <w:rStyle w:val="18"/>
          <w:rFonts w:ascii="宋体" w:hAnsi="宋体"/>
          <w:szCs w:val="21"/>
        </w:rPr>
      </w:pPr>
      <w:r>
        <w:rPr>
          <w:rStyle w:val="18"/>
          <w:rFonts w:ascii="宋体" w:hAnsi="宋体"/>
          <w:szCs w:val="21"/>
        </w:rPr>
        <w:t>3.2.1投标报价应包含本招标文件中的全部内容所需的所有费用。</w:t>
      </w:r>
    </w:p>
    <w:p>
      <w:pPr>
        <w:spacing w:line="360" w:lineRule="auto"/>
        <w:ind w:firstLine="420" w:firstLineChars="200"/>
        <w:rPr>
          <w:rStyle w:val="18"/>
          <w:rFonts w:ascii="宋体" w:hAnsi="宋体"/>
          <w:szCs w:val="21"/>
        </w:rPr>
      </w:pPr>
      <w:r>
        <w:rPr>
          <w:rStyle w:val="18"/>
          <w:rFonts w:ascii="宋体" w:hAnsi="宋体"/>
          <w:szCs w:val="21"/>
        </w:rPr>
        <w:t>3.2.2投标人按投标人须知前附表的具体规定进行报价。</w:t>
      </w:r>
    </w:p>
    <w:p>
      <w:pPr>
        <w:spacing w:line="360" w:lineRule="auto"/>
        <w:ind w:firstLine="420" w:firstLineChars="200"/>
        <w:rPr>
          <w:rStyle w:val="18"/>
          <w:rFonts w:ascii="宋体" w:hAnsi="宋体"/>
          <w:szCs w:val="21"/>
        </w:rPr>
      </w:pPr>
      <w:r>
        <w:rPr>
          <w:rStyle w:val="18"/>
          <w:rFonts w:ascii="宋体" w:hAnsi="宋体"/>
          <w:szCs w:val="21"/>
        </w:rPr>
        <w:t>3.2.3招标人设有最高投标限价的，投标人的投标报价不得超过最高投标限价，最高投标限价见投标人须知前附表。</w:t>
      </w:r>
    </w:p>
    <w:p>
      <w:pPr>
        <w:spacing w:line="560" w:lineRule="exact"/>
        <w:ind w:firstLine="482" w:firstLineChars="200"/>
        <w:contextualSpacing/>
        <w:rPr>
          <w:rFonts w:ascii="宋体" w:hAnsi="宋体"/>
          <w:b/>
          <w:color w:val="000000"/>
          <w:sz w:val="24"/>
          <w:u w:val="single"/>
        </w:rPr>
      </w:pPr>
      <w:r>
        <w:rPr>
          <w:rFonts w:hint="eastAsia" w:ascii="宋体" w:hAnsi="宋体"/>
          <w:b/>
          <w:color w:val="000000"/>
          <w:sz w:val="24"/>
          <w:u w:val="single"/>
        </w:rPr>
        <w:t>投标单位应仔细复核招标人提供的招标清单及招标需求方案，有缺项部分，应自行添加所缺清单项目说明，其报价可分摊至综合单价中，最终所报报价作为最终结算依据（招标人所提供的清单内容不得修改）。</w:t>
      </w:r>
    </w:p>
    <w:p>
      <w:pPr>
        <w:spacing w:line="560" w:lineRule="exact"/>
        <w:ind w:firstLine="482" w:firstLineChars="200"/>
        <w:contextualSpacing/>
        <w:rPr>
          <w:rFonts w:ascii="宋体" w:hAnsi="宋体"/>
          <w:b/>
          <w:color w:val="000000"/>
          <w:sz w:val="24"/>
          <w:u w:val="single"/>
        </w:rPr>
      </w:pPr>
      <w:r>
        <w:rPr>
          <w:rFonts w:hint="eastAsia" w:ascii="宋体" w:hAnsi="宋体"/>
          <w:b/>
          <w:color w:val="000000"/>
          <w:sz w:val="24"/>
          <w:u w:val="single"/>
        </w:rPr>
        <w:t>项目实施中产生的变更金额不得超过中标价的10%。如变更的设备（或产品）为招标清单中的设备（或产品），结算时以招标人和监理方参考投标文件的单价并结合市场价格确认后结算；如变更的设备（或产品）为招标清单外的设备（或产品），需有招标人及监理方根据市场价格确认后结算；变更设备（或产品）的性能参数必须相当于或优于招标清单的设备（或产品）。</w:t>
      </w:r>
    </w:p>
    <w:p>
      <w:pPr>
        <w:pStyle w:val="24"/>
        <w:spacing w:before="60" w:after="60" w:line="360" w:lineRule="auto"/>
        <w:ind w:firstLine="118"/>
        <w:rPr>
          <w:rStyle w:val="18"/>
          <w:rFonts w:ascii="宋体" w:hAnsi="宋体" w:eastAsia="宋体"/>
          <w:szCs w:val="24"/>
        </w:rPr>
      </w:pPr>
      <w:r>
        <w:rPr>
          <w:rStyle w:val="18"/>
          <w:rFonts w:ascii="宋体" w:hAnsi="宋体" w:eastAsia="宋体"/>
          <w:szCs w:val="24"/>
        </w:rPr>
        <w:t>3.3 投标有效期</w:t>
      </w:r>
    </w:p>
    <w:p>
      <w:pPr>
        <w:spacing w:line="360" w:lineRule="auto"/>
        <w:ind w:firstLine="420" w:firstLineChars="200"/>
        <w:rPr>
          <w:rStyle w:val="18"/>
          <w:rFonts w:ascii="宋体" w:hAnsi="宋体"/>
          <w:szCs w:val="21"/>
        </w:rPr>
      </w:pPr>
      <w:r>
        <w:rPr>
          <w:rStyle w:val="18"/>
          <w:rFonts w:ascii="宋体" w:hAnsi="宋体"/>
          <w:szCs w:val="21"/>
        </w:rPr>
        <w:t>3.3.1 在投标人须知前附表第3.3.1条规定的投标有效期内，投标人不得要求撤销或修改其投标文件。</w:t>
      </w:r>
    </w:p>
    <w:p>
      <w:pPr>
        <w:spacing w:line="360" w:lineRule="auto"/>
        <w:ind w:firstLine="420" w:firstLineChars="200"/>
        <w:rPr>
          <w:rStyle w:val="18"/>
          <w:rFonts w:ascii="宋体" w:hAnsi="宋体"/>
          <w:szCs w:val="21"/>
        </w:rPr>
      </w:pPr>
      <w:r>
        <w:rPr>
          <w:rStyle w:val="18"/>
          <w:rFonts w:ascii="宋体" w:hAnsi="宋体"/>
          <w:szCs w:val="21"/>
        </w:rPr>
        <w:t xml:space="preserve">3.3.2出现特殊情况需要延长投标有效期的，招标人应通知所有投标人延长投标有效期。投标人同意延长的，应相应延长其投标保证金的有效期，但不得要求或被允许修改或撤销其投标文件；投标人拒绝延长的，其投标失效，但投标人有权收回其投标保证金。 </w:t>
      </w:r>
    </w:p>
    <w:p>
      <w:pPr>
        <w:pStyle w:val="24"/>
        <w:spacing w:before="60" w:after="60" w:line="360" w:lineRule="auto"/>
        <w:ind w:firstLine="118"/>
        <w:rPr>
          <w:rStyle w:val="18"/>
          <w:rFonts w:ascii="宋体" w:hAnsi="宋体" w:eastAsia="宋体"/>
          <w:szCs w:val="24"/>
        </w:rPr>
      </w:pPr>
      <w:r>
        <w:rPr>
          <w:rStyle w:val="18"/>
          <w:rFonts w:ascii="宋体" w:hAnsi="宋体" w:eastAsia="宋体"/>
          <w:szCs w:val="24"/>
        </w:rPr>
        <w:t>3.4 投标保证金</w:t>
      </w:r>
    </w:p>
    <w:p>
      <w:pPr>
        <w:spacing w:line="360" w:lineRule="auto"/>
        <w:ind w:firstLine="420" w:firstLineChars="200"/>
        <w:rPr>
          <w:rStyle w:val="18"/>
          <w:rFonts w:ascii="宋体" w:hAnsi="宋体"/>
        </w:rPr>
      </w:pPr>
      <w:r>
        <w:rPr>
          <w:rStyle w:val="18"/>
          <w:rFonts w:hint="eastAsia" w:ascii="宋体" w:hAnsi="宋体"/>
        </w:rPr>
        <w:t>本项目无需缴纳投标保证金</w:t>
      </w:r>
    </w:p>
    <w:p>
      <w:pPr>
        <w:pStyle w:val="24"/>
        <w:ind w:firstLine="118"/>
        <w:rPr>
          <w:rStyle w:val="18"/>
          <w:rFonts w:ascii="宋体" w:hAnsi="宋体" w:eastAsia="宋体" w:cs="宋体"/>
          <w:bCs/>
        </w:rPr>
      </w:pPr>
      <w:r>
        <w:rPr>
          <w:rStyle w:val="18"/>
          <w:rFonts w:ascii="宋体" w:hAnsi="宋体" w:eastAsia="宋体" w:cs="宋体"/>
          <w:bCs/>
        </w:rPr>
        <w:t>3.5 资格审查</w:t>
      </w:r>
      <w:r>
        <w:rPr>
          <w:rStyle w:val="18"/>
          <w:rFonts w:hint="eastAsia" w:ascii="宋体" w:hAnsi="宋体" w:eastAsia="宋体" w:cs="宋体"/>
          <w:bCs/>
        </w:rPr>
        <w:t xml:space="preserve"> </w:t>
      </w:r>
      <w:r>
        <w:rPr>
          <w:rStyle w:val="18"/>
          <w:rFonts w:ascii="宋体" w:hAnsi="宋体" w:eastAsia="宋体" w:cs="宋体"/>
          <w:bCs/>
        </w:rPr>
        <w:t>资料</w:t>
      </w:r>
    </w:p>
    <w:p>
      <w:pPr>
        <w:spacing w:line="360" w:lineRule="auto"/>
        <w:ind w:firstLine="420" w:firstLineChars="200"/>
        <w:rPr>
          <w:rStyle w:val="18"/>
          <w:rFonts w:ascii="宋体" w:hAnsi="宋体"/>
        </w:rPr>
      </w:pPr>
      <w:r>
        <w:rPr>
          <w:rStyle w:val="18"/>
          <w:rFonts w:ascii="宋体" w:hAnsi="宋体"/>
        </w:rPr>
        <w:t>投标人在编制投标文件时，应按照本章3.1的要求提供资料。</w:t>
      </w:r>
    </w:p>
    <w:p>
      <w:pPr>
        <w:pStyle w:val="24"/>
        <w:spacing w:before="60" w:after="60" w:line="360" w:lineRule="auto"/>
        <w:ind w:firstLine="118"/>
        <w:rPr>
          <w:rStyle w:val="18"/>
          <w:rFonts w:ascii="宋体" w:hAnsi="宋体" w:eastAsia="宋体"/>
          <w:szCs w:val="24"/>
        </w:rPr>
      </w:pPr>
      <w:r>
        <w:rPr>
          <w:rStyle w:val="18"/>
          <w:rFonts w:ascii="宋体" w:hAnsi="宋体" w:eastAsia="宋体"/>
          <w:szCs w:val="24"/>
        </w:rPr>
        <w:t>3.6 备选投标方案</w:t>
      </w:r>
    </w:p>
    <w:p>
      <w:pPr>
        <w:spacing w:line="360" w:lineRule="auto"/>
        <w:ind w:firstLine="420"/>
        <w:rPr>
          <w:rStyle w:val="18"/>
          <w:rFonts w:ascii="宋体" w:hAnsi="宋体"/>
          <w:szCs w:val="21"/>
        </w:rPr>
      </w:pPr>
      <w:r>
        <w:rPr>
          <w:rStyle w:val="18"/>
          <w:rFonts w:ascii="宋体" w:hAnsi="宋体"/>
          <w:szCs w:val="21"/>
        </w:rPr>
        <w:t>除投标人须知前附表另有规定外，投标人不得提交备选投标方案。允许投标人提交备选投标方案的，只有中标候选人的投标人，其所提交的备选投标方案方可予以考虑。评标委员会认为中标候选人的备选投标方案优于其按照招标文件要求编制的投标方案的，招标人可以接受该备选投标方案。</w:t>
      </w:r>
    </w:p>
    <w:p>
      <w:pPr>
        <w:pStyle w:val="24"/>
        <w:spacing w:before="60" w:after="60" w:line="360" w:lineRule="auto"/>
        <w:ind w:firstLine="118"/>
        <w:rPr>
          <w:rStyle w:val="18"/>
          <w:rFonts w:ascii="宋体" w:hAnsi="宋体" w:eastAsia="宋体"/>
          <w:szCs w:val="24"/>
        </w:rPr>
      </w:pPr>
      <w:r>
        <w:rPr>
          <w:rStyle w:val="18"/>
          <w:rFonts w:ascii="宋体" w:hAnsi="宋体" w:eastAsia="宋体"/>
          <w:szCs w:val="24"/>
        </w:rPr>
        <w:t>3.7 投标文件的编制</w:t>
      </w:r>
    </w:p>
    <w:p>
      <w:pPr>
        <w:spacing w:line="360" w:lineRule="auto"/>
        <w:ind w:firstLine="420"/>
        <w:rPr>
          <w:rStyle w:val="18"/>
          <w:rFonts w:ascii="宋体" w:hAnsi="宋体"/>
          <w:szCs w:val="21"/>
        </w:rPr>
      </w:pPr>
      <w:r>
        <w:rPr>
          <w:rStyle w:val="18"/>
          <w:rFonts w:ascii="宋体" w:hAnsi="宋体"/>
          <w:szCs w:val="21"/>
        </w:rPr>
        <w:t>3.7.1 投标文件应按“投标文件格式”进行编写，如有必要，可以增加附页，作为投标文件的组成部分。</w:t>
      </w:r>
    </w:p>
    <w:p>
      <w:pPr>
        <w:spacing w:line="360" w:lineRule="auto"/>
        <w:ind w:firstLine="420"/>
        <w:rPr>
          <w:rStyle w:val="18"/>
          <w:rFonts w:ascii="宋体" w:hAnsi="宋体"/>
          <w:szCs w:val="21"/>
        </w:rPr>
      </w:pPr>
      <w:r>
        <w:rPr>
          <w:rStyle w:val="18"/>
          <w:rFonts w:ascii="宋体" w:hAnsi="宋体"/>
          <w:szCs w:val="21"/>
        </w:rPr>
        <w:t>3.7.2 投标文件应用不褪色的材料书写或打印，并由投标人的法定代表人或其委托代理人签字或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spacing w:line="360" w:lineRule="auto"/>
        <w:ind w:firstLine="420"/>
        <w:rPr>
          <w:rStyle w:val="18"/>
          <w:rFonts w:ascii="宋体" w:hAnsi="宋体"/>
          <w:szCs w:val="21"/>
        </w:rPr>
      </w:pPr>
      <w:r>
        <w:rPr>
          <w:rStyle w:val="18"/>
          <w:rFonts w:ascii="宋体" w:hAnsi="宋体"/>
          <w:szCs w:val="21"/>
        </w:rPr>
        <w:t>3.7.3 投标文件正本一份，副本份数见投标人须知前附表。正本和副本的封面上应清楚地标记“正本”或“副本”的字样。当副本和正本不一致时，以正本为准。</w:t>
      </w:r>
    </w:p>
    <w:p>
      <w:pPr>
        <w:spacing w:line="360" w:lineRule="auto"/>
        <w:ind w:firstLine="420"/>
        <w:rPr>
          <w:rStyle w:val="18"/>
          <w:rFonts w:ascii="宋体" w:hAnsi="宋体"/>
          <w:szCs w:val="21"/>
        </w:rPr>
      </w:pPr>
      <w:r>
        <w:rPr>
          <w:rStyle w:val="18"/>
          <w:rFonts w:ascii="宋体" w:hAnsi="宋体"/>
          <w:szCs w:val="21"/>
        </w:rPr>
        <w:t>3.7.4 投标文件的正本与副本应分别装订成册，并编制目录，具体装订要求见投标人须知前附表规定。</w:t>
      </w:r>
    </w:p>
    <w:p>
      <w:pPr>
        <w:pStyle w:val="22"/>
        <w:rPr>
          <w:rStyle w:val="18"/>
          <w:rFonts w:ascii="宋体" w:hAnsi="宋体"/>
        </w:rPr>
      </w:pPr>
      <w:r>
        <w:rPr>
          <w:rStyle w:val="18"/>
          <w:rFonts w:ascii="宋体" w:hAnsi="宋体"/>
        </w:rPr>
        <w:t>4.投标</w:t>
      </w:r>
    </w:p>
    <w:p>
      <w:pPr>
        <w:pStyle w:val="24"/>
        <w:ind w:firstLine="118"/>
        <w:rPr>
          <w:rStyle w:val="18"/>
          <w:rFonts w:ascii="宋体" w:hAnsi="宋体" w:eastAsia="宋体"/>
        </w:rPr>
      </w:pPr>
      <w:r>
        <w:rPr>
          <w:rStyle w:val="18"/>
          <w:rFonts w:ascii="宋体" w:hAnsi="宋体" w:eastAsia="宋体"/>
        </w:rPr>
        <w:t>4.1 投标文件的密封和标记</w:t>
      </w:r>
    </w:p>
    <w:p>
      <w:pPr>
        <w:spacing w:line="360" w:lineRule="auto"/>
        <w:ind w:firstLine="420"/>
        <w:rPr>
          <w:rStyle w:val="18"/>
          <w:rFonts w:ascii="宋体" w:hAnsi="宋体"/>
          <w:szCs w:val="21"/>
        </w:rPr>
      </w:pPr>
      <w:r>
        <w:rPr>
          <w:rStyle w:val="18"/>
          <w:rFonts w:ascii="宋体" w:hAnsi="宋体"/>
          <w:szCs w:val="21"/>
        </w:rPr>
        <w:t>4.1.1 投标文件应按以下要求进行密封：正本与副本分开包装密封，并在封套上加盖投标人公章。</w:t>
      </w:r>
    </w:p>
    <w:p>
      <w:pPr>
        <w:spacing w:line="360" w:lineRule="auto"/>
        <w:ind w:firstLine="420"/>
        <w:rPr>
          <w:rStyle w:val="18"/>
          <w:rFonts w:ascii="宋体" w:hAnsi="宋体"/>
          <w:szCs w:val="21"/>
        </w:rPr>
      </w:pPr>
      <w:r>
        <w:rPr>
          <w:rStyle w:val="18"/>
          <w:rFonts w:ascii="宋体" w:hAnsi="宋体"/>
          <w:szCs w:val="21"/>
        </w:rPr>
        <w:t>4.1.2 投标文件的封套应按以下要求进行标记：分别清楚地标记“正本”、“副本”字样，并写明招标人名称、工程名称和投标人名称。</w:t>
      </w:r>
    </w:p>
    <w:p>
      <w:pPr>
        <w:pStyle w:val="24"/>
        <w:ind w:firstLine="118"/>
        <w:rPr>
          <w:rStyle w:val="18"/>
          <w:rFonts w:ascii="宋体" w:hAnsi="宋体" w:eastAsia="宋体"/>
        </w:rPr>
      </w:pPr>
      <w:r>
        <w:rPr>
          <w:rStyle w:val="18"/>
          <w:rFonts w:ascii="宋体" w:hAnsi="宋体" w:eastAsia="宋体"/>
        </w:rPr>
        <w:t>4.2 投标文件的递交</w:t>
      </w:r>
    </w:p>
    <w:p>
      <w:pPr>
        <w:spacing w:line="360" w:lineRule="auto"/>
        <w:ind w:firstLine="420"/>
        <w:rPr>
          <w:rStyle w:val="18"/>
          <w:rFonts w:ascii="宋体" w:hAnsi="宋体"/>
          <w:szCs w:val="21"/>
        </w:rPr>
      </w:pPr>
      <w:r>
        <w:rPr>
          <w:rStyle w:val="18"/>
          <w:rFonts w:ascii="宋体" w:hAnsi="宋体"/>
          <w:szCs w:val="21"/>
        </w:rPr>
        <w:t>4.2.1 投标人应在投标人须知前附表规定的投标截止时间前递交投标文件。</w:t>
      </w:r>
    </w:p>
    <w:p>
      <w:pPr>
        <w:spacing w:line="360" w:lineRule="auto"/>
        <w:ind w:firstLine="420"/>
        <w:rPr>
          <w:rStyle w:val="18"/>
          <w:rFonts w:ascii="宋体" w:hAnsi="宋体"/>
          <w:szCs w:val="21"/>
        </w:rPr>
      </w:pPr>
      <w:r>
        <w:rPr>
          <w:rStyle w:val="18"/>
          <w:rFonts w:ascii="宋体" w:hAnsi="宋体"/>
          <w:szCs w:val="21"/>
        </w:rPr>
        <w:t>4.2.2 投标人递交投标文件的地点：见投标人须知前附表。</w:t>
      </w:r>
    </w:p>
    <w:p>
      <w:pPr>
        <w:spacing w:line="360" w:lineRule="auto"/>
        <w:ind w:firstLine="420"/>
        <w:rPr>
          <w:rStyle w:val="18"/>
          <w:rFonts w:ascii="宋体" w:hAnsi="宋体"/>
          <w:szCs w:val="21"/>
        </w:rPr>
      </w:pPr>
      <w:r>
        <w:rPr>
          <w:rStyle w:val="18"/>
          <w:rFonts w:ascii="宋体" w:hAnsi="宋体"/>
          <w:szCs w:val="21"/>
        </w:rPr>
        <w:t>4.2.3 除投标人须知前附表另有规定外，投标人所递交的投标文件不予退还。</w:t>
      </w:r>
    </w:p>
    <w:p>
      <w:pPr>
        <w:pStyle w:val="24"/>
        <w:ind w:firstLine="118"/>
        <w:rPr>
          <w:rStyle w:val="18"/>
          <w:rFonts w:ascii="宋体" w:hAnsi="宋体" w:eastAsia="宋体"/>
        </w:rPr>
      </w:pPr>
      <w:r>
        <w:rPr>
          <w:rStyle w:val="18"/>
          <w:rFonts w:ascii="宋体" w:hAnsi="宋体" w:eastAsia="宋体"/>
        </w:rPr>
        <w:t>4.3 投标文件的修改与撤回</w:t>
      </w:r>
    </w:p>
    <w:p>
      <w:pPr>
        <w:spacing w:line="360" w:lineRule="auto"/>
        <w:ind w:firstLine="420"/>
        <w:rPr>
          <w:rStyle w:val="18"/>
          <w:rFonts w:ascii="宋体" w:hAnsi="宋体"/>
          <w:szCs w:val="21"/>
        </w:rPr>
      </w:pPr>
      <w:r>
        <w:rPr>
          <w:rStyle w:val="18"/>
          <w:rFonts w:ascii="宋体" w:hAnsi="宋体"/>
          <w:szCs w:val="21"/>
        </w:rPr>
        <w:t>4.3.1 在投标人须知前附表规定的投标截止时间前，投标人可以修改或撤回已递交的投标文件，但应以书面形式通知招标人。</w:t>
      </w:r>
    </w:p>
    <w:p>
      <w:pPr>
        <w:spacing w:line="360" w:lineRule="auto"/>
        <w:ind w:firstLine="420"/>
        <w:rPr>
          <w:rStyle w:val="18"/>
          <w:rFonts w:ascii="宋体" w:hAnsi="宋体"/>
          <w:szCs w:val="21"/>
        </w:rPr>
      </w:pPr>
      <w:r>
        <w:rPr>
          <w:rStyle w:val="18"/>
          <w:rFonts w:ascii="宋体" w:hAnsi="宋体"/>
          <w:szCs w:val="21"/>
        </w:rPr>
        <w:t>4.3.2 投标人修改或撤回已递交投标文件的书面通知应按照本章第3.7.2 项的要求签字或盖章。招标人收到书面通知后，向投标人出具签收凭证。</w:t>
      </w:r>
    </w:p>
    <w:p>
      <w:pPr>
        <w:spacing w:line="360" w:lineRule="auto"/>
        <w:ind w:firstLine="420"/>
        <w:rPr>
          <w:rStyle w:val="18"/>
          <w:rFonts w:ascii="宋体" w:hAnsi="宋体"/>
          <w:szCs w:val="21"/>
        </w:rPr>
      </w:pPr>
      <w:r>
        <w:rPr>
          <w:rStyle w:val="18"/>
          <w:rFonts w:ascii="宋体" w:hAnsi="宋体"/>
          <w:szCs w:val="21"/>
        </w:rPr>
        <w:t>4.3.3 修改的内容为投标文件的组成部分。修改的投标文件应按照本章第3 条、第4 条规定进行编制、密封、标记和递交，并标明“修改”字样。</w:t>
      </w:r>
    </w:p>
    <w:p>
      <w:pPr>
        <w:pStyle w:val="24"/>
        <w:ind w:firstLine="118"/>
        <w:rPr>
          <w:rStyle w:val="18"/>
          <w:rFonts w:ascii="宋体" w:hAnsi="宋体" w:eastAsia="宋体"/>
        </w:rPr>
      </w:pPr>
      <w:r>
        <w:rPr>
          <w:rStyle w:val="18"/>
          <w:rFonts w:ascii="宋体" w:hAnsi="宋体" w:eastAsia="宋体"/>
        </w:rPr>
        <w:t>4.4 不予接收的投标文件</w:t>
      </w:r>
    </w:p>
    <w:p>
      <w:pPr>
        <w:spacing w:line="360" w:lineRule="auto"/>
        <w:ind w:firstLine="420"/>
        <w:rPr>
          <w:rStyle w:val="18"/>
          <w:rFonts w:ascii="宋体" w:hAnsi="宋体"/>
          <w:szCs w:val="21"/>
        </w:rPr>
      </w:pPr>
      <w:r>
        <w:rPr>
          <w:rStyle w:val="18"/>
          <w:rFonts w:ascii="宋体" w:hAnsi="宋体"/>
          <w:szCs w:val="21"/>
        </w:rPr>
        <w:t>4.4.1未按本章第4.1.1款规定密封的投标文件，招标人不予接收。</w:t>
      </w:r>
    </w:p>
    <w:p>
      <w:pPr>
        <w:spacing w:line="360" w:lineRule="auto"/>
        <w:ind w:firstLine="420"/>
        <w:rPr>
          <w:rStyle w:val="18"/>
          <w:rFonts w:ascii="宋体" w:hAnsi="宋体"/>
          <w:szCs w:val="21"/>
        </w:rPr>
      </w:pPr>
      <w:r>
        <w:rPr>
          <w:rStyle w:val="18"/>
          <w:rFonts w:ascii="宋体" w:hAnsi="宋体"/>
          <w:szCs w:val="21"/>
        </w:rPr>
        <w:t>4.4.2逾期送达或者未送达指定地点的投标文件，招标人不予接收。</w:t>
      </w:r>
    </w:p>
    <w:p>
      <w:pPr>
        <w:pStyle w:val="22"/>
        <w:rPr>
          <w:rStyle w:val="18"/>
          <w:rFonts w:ascii="宋体" w:hAnsi="宋体"/>
          <w:color w:val="0000FF"/>
        </w:rPr>
      </w:pPr>
      <w:r>
        <w:rPr>
          <w:rStyle w:val="18"/>
          <w:rFonts w:ascii="宋体" w:hAnsi="宋体"/>
          <w:color w:val="0000FF"/>
        </w:rPr>
        <w:t>5.开标</w:t>
      </w:r>
    </w:p>
    <w:p>
      <w:pPr>
        <w:pStyle w:val="24"/>
        <w:ind w:firstLine="118"/>
        <w:rPr>
          <w:rStyle w:val="18"/>
          <w:rFonts w:ascii="宋体" w:hAnsi="宋体" w:eastAsia="宋体"/>
        </w:rPr>
      </w:pPr>
      <w:r>
        <w:rPr>
          <w:rStyle w:val="18"/>
          <w:rFonts w:ascii="宋体" w:hAnsi="宋体" w:eastAsia="宋体"/>
        </w:rPr>
        <w:t>5.1 开标时间和地点</w:t>
      </w:r>
    </w:p>
    <w:p>
      <w:pPr>
        <w:spacing w:line="440" w:lineRule="exact"/>
        <w:ind w:firstLine="422" w:firstLineChars="200"/>
        <w:rPr>
          <w:rStyle w:val="18"/>
          <w:rFonts w:ascii="宋体" w:hAnsi="宋体" w:cs="宋体"/>
          <w:b/>
          <w:bCs/>
          <w:color w:val="0000FF"/>
          <w:szCs w:val="21"/>
          <w:u w:val="single" w:color="0000FF"/>
        </w:rPr>
      </w:pPr>
      <w:r>
        <w:rPr>
          <w:rStyle w:val="18"/>
          <w:rFonts w:ascii="宋体" w:hAnsi="宋体" w:cs="宋体"/>
          <w:b/>
          <w:bCs/>
          <w:color w:val="0000FF"/>
          <w:szCs w:val="21"/>
          <w:u w:val="single" w:color="0000FF"/>
        </w:rPr>
        <w:t>1.招标代理机构将在规定的时间和地点进行开标。开标时，投标人不需出现在开标现场，仅需在任意地点通过 PC端或移动端的“腾讯会议”及相应的配套硬件设备参加开标会议。</w:t>
      </w:r>
    </w:p>
    <w:p>
      <w:pPr>
        <w:spacing w:line="440" w:lineRule="exact"/>
        <w:ind w:firstLine="422" w:firstLineChars="200"/>
        <w:rPr>
          <w:rStyle w:val="18"/>
          <w:rFonts w:ascii="宋体" w:hAnsi="宋体" w:cs="宋体"/>
          <w:b/>
          <w:bCs/>
          <w:color w:val="0000FF"/>
          <w:szCs w:val="21"/>
          <w:u w:val="single" w:color="0000FF"/>
        </w:rPr>
      </w:pPr>
      <w:r>
        <w:rPr>
          <w:rStyle w:val="18"/>
          <w:rFonts w:ascii="宋体" w:hAnsi="宋体" w:cs="宋体"/>
          <w:b/>
          <w:bCs/>
          <w:color w:val="0000FF"/>
          <w:szCs w:val="21"/>
          <w:u w:val="single" w:color="0000FF"/>
        </w:rPr>
        <w:t>2.参加开标会议的方法：</w:t>
      </w:r>
    </w:p>
    <w:p>
      <w:pPr>
        <w:spacing w:line="440" w:lineRule="exact"/>
        <w:ind w:firstLine="422" w:firstLineChars="200"/>
        <w:rPr>
          <w:rStyle w:val="18"/>
          <w:rFonts w:ascii="宋体" w:hAnsi="宋体" w:cs="宋体"/>
          <w:b/>
          <w:bCs/>
          <w:color w:val="0000FF"/>
          <w:szCs w:val="21"/>
          <w:u w:val="single" w:color="0000FF"/>
        </w:rPr>
      </w:pPr>
      <w:r>
        <w:rPr>
          <w:rStyle w:val="18"/>
          <w:rFonts w:ascii="宋体" w:hAnsi="宋体" w:cs="宋体"/>
          <w:b/>
          <w:bCs/>
          <w:color w:val="0000FF"/>
          <w:szCs w:val="21"/>
          <w:u w:val="single" w:color="0000FF"/>
        </w:rPr>
        <w:t>⑴投标人投标截止时间前须通过电脑或智能手机搜索下载并安装“腾讯会议”，完成注册。</w:t>
      </w:r>
    </w:p>
    <w:p>
      <w:pPr>
        <w:spacing w:line="440" w:lineRule="exact"/>
        <w:ind w:firstLine="422" w:firstLineChars="200"/>
        <w:rPr>
          <w:rStyle w:val="18"/>
          <w:rFonts w:ascii="宋体" w:hAnsi="宋体"/>
          <w:szCs w:val="21"/>
        </w:rPr>
      </w:pPr>
      <w:r>
        <w:rPr>
          <w:rStyle w:val="18"/>
          <w:rFonts w:ascii="宋体" w:hAnsi="宋体" w:cs="宋体"/>
          <w:b/>
          <w:bCs/>
          <w:color w:val="0000FF"/>
          <w:szCs w:val="21"/>
          <w:u w:val="single" w:color="0000FF"/>
        </w:rPr>
        <w:t xml:space="preserve">⑵投标截止时间前10分钟，招标代理将开启会议系统，各投标人登入腾讯会议后点击“加入会议”，输入会议号“ </w:t>
      </w:r>
      <w:r>
        <w:rPr>
          <w:rStyle w:val="18"/>
          <w:rFonts w:hint="eastAsia" w:ascii="宋体" w:hAnsi="宋体" w:cs="宋体"/>
          <w:b/>
          <w:bCs/>
          <w:color w:val="0000FF"/>
          <w:szCs w:val="21"/>
          <w:u w:val="single" w:color="0000FF"/>
        </w:rPr>
        <w:t xml:space="preserve">287-943-147 </w:t>
      </w:r>
      <w:r>
        <w:rPr>
          <w:rStyle w:val="18"/>
          <w:rFonts w:ascii="宋体" w:hAnsi="宋体" w:cs="宋体"/>
          <w:b/>
          <w:bCs/>
          <w:color w:val="0000FF"/>
          <w:szCs w:val="21"/>
          <w:u w:val="single" w:color="0000FF"/>
        </w:rPr>
        <w:t>”，“您的姓名”按“单位简称+授权委托人姓名”格式填写，然后点击“加入会议”。</w:t>
      </w:r>
    </w:p>
    <w:p>
      <w:pPr>
        <w:spacing w:line="440" w:lineRule="exact"/>
        <w:ind w:firstLine="422" w:firstLineChars="200"/>
        <w:rPr>
          <w:rStyle w:val="18"/>
          <w:rFonts w:ascii="宋体" w:hAnsi="宋体" w:cs="宋体"/>
          <w:b/>
          <w:bCs/>
          <w:color w:val="0000FF"/>
          <w:szCs w:val="21"/>
          <w:u w:val="single" w:color="0000FF"/>
        </w:rPr>
      </w:pPr>
      <w:r>
        <w:rPr>
          <w:rStyle w:val="18"/>
          <w:rFonts w:ascii="宋体" w:hAnsi="宋体" w:cs="宋体"/>
          <w:b/>
          <w:bCs/>
          <w:color w:val="0000FF"/>
          <w:szCs w:val="21"/>
          <w:u w:val="single" w:color="0000FF"/>
        </w:rPr>
        <w:t>3. 因本工程采用不见面开标模式，故招标人特别说明如下：</w:t>
      </w:r>
    </w:p>
    <w:p>
      <w:pPr>
        <w:spacing w:line="440" w:lineRule="exact"/>
        <w:ind w:firstLine="422" w:firstLineChars="200"/>
        <w:rPr>
          <w:rStyle w:val="18"/>
          <w:rFonts w:ascii="宋体" w:hAnsi="宋体" w:cs="宋体"/>
          <w:b/>
          <w:bCs/>
          <w:color w:val="0000FF"/>
          <w:szCs w:val="21"/>
          <w:u w:val="single" w:color="0000FF"/>
        </w:rPr>
      </w:pPr>
      <w:r>
        <w:rPr>
          <w:rStyle w:val="18"/>
          <w:rFonts w:ascii="宋体" w:hAnsi="宋体" w:cs="宋体"/>
          <w:b/>
          <w:bCs/>
          <w:color w:val="0000FF"/>
          <w:szCs w:val="21"/>
          <w:u w:val="single" w:color="0000FF"/>
        </w:rPr>
        <w:t>⑴投标人投标文件的编制和递交，应依照招标文件的规定进行。如未按招标文件要求编制、递交投标文件，将可能导致废标，其后果由投标人自负。特别说明：由于本项目时间紧、任务重，又恰逢防控新型冠状病毒肺炎疫情期，因某种原因无法在规定的时间内递交投标文件的，视同放弃此次投标机会，不得向招标人、监管部门、招标代理机构等所有相关部门追责。</w:t>
      </w:r>
    </w:p>
    <w:p>
      <w:pPr>
        <w:spacing w:line="440" w:lineRule="exact"/>
        <w:ind w:firstLine="422" w:firstLineChars="200"/>
        <w:rPr>
          <w:rStyle w:val="18"/>
          <w:rFonts w:ascii="宋体" w:hAnsi="宋体" w:cs="宋体"/>
          <w:b/>
          <w:bCs/>
          <w:color w:val="0000FF"/>
          <w:szCs w:val="21"/>
          <w:u w:val="single" w:color="0000FF"/>
        </w:rPr>
      </w:pPr>
      <w:r>
        <w:rPr>
          <w:rStyle w:val="18"/>
          <w:rFonts w:ascii="宋体" w:hAnsi="宋体" w:cs="宋体"/>
          <w:b/>
          <w:bCs/>
          <w:color w:val="0000FF"/>
          <w:szCs w:val="21"/>
          <w:u w:val="single" w:color="0000FF"/>
        </w:rPr>
        <w:t>⑵开标时间前10分钟，招标人、招标代理机构提前进入开标会议系统，播放测试音频，各投标人的授权委托人或法人代表于规定时间内进入开标会议系统收听观看实时音视频交互并及时在讨论组中反馈，未按时加入开标会议系统的或未能在开标会议系统内全程参与交互的，视为放弃交互和放弃对开标全过程提疑的权利，投标人无法看到唱标、开标结果等实时情况，导致的一切后果由投标人承担。</w:t>
      </w:r>
    </w:p>
    <w:p>
      <w:pPr>
        <w:spacing w:line="440" w:lineRule="exact"/>
        <w:ind w:firstLine="422" w:firstLineChars="200"/>
        <w:rPr>
          <w:rStyle w:val="18"/>
          <w:rFonts w:ascii="宋体" w:hAnsi="宋体" w:cs="宋体"/>
          <w:b/>
          <w:bCs/>
          <w:color w:val="0000FF"/>
          <w:szCs w:val="21"/>
          <w:u w:val="single" w:color="0000FF"/>
        </w:rPr>
      </w:pPr>
      <w:r>
        <w:rPr>
          <w:rStyle w:val="18"/>
          <w:rFonts w:ascii="宋体" w:hAnsi="宋体" w:cs="宋体"/>
          <w:b/>
          <w:bCs/>
          <w:color w:val="0000FF"/>
          <w:szCs w:val="21"/>
          <w:u w:val="single" w:color="0000FF"/>
        </w:rPr>
        <w:t xml:space="preserve">⑶开标全过程中，各投标人参与远程交互的授权委托人或法人代表应始终为同一个人，中途不得更换，在废标、澄清、提疑等特殊情况下需要交互时，投标人一端参与交互的人员将均被视为是投标人的授权委托人或法人代表，投标人不得以不承认交互人员的资格或身份等为借口抵赖推脱，投标人自行承担随意更换人员所导致的一切后果。 </w:t>
      </w:r>
    </w:p>
    <w:p>
      <w:pPr>
        <w:spacing w:line="440" w:lineRule="exact"/>
        <w:ind w:firstLine="422" w:firstLineChars="200"/>
        <w:rPr>
          <w:rStyle w:val="18"/>
          <w:rFonts w:ascii="宋体" w:hAnsi="宋体" w:cs="宋体"/>
          <w:b/>
          <w:bCs/>
          <w:color w:val="0000FF"/>
          <w:szCs w:val="21"/>
          <w:u w:val="single" w:color="0000FF"/>
        </w:rPr>
      </w:pPr>
      <w:r>
        <w:rPr>
          <w:rStyle w:val="18"/>
          <w:rFonts w:ascii="宋体" w:hAnsi="宋体" w:cs="宋体"/>
          <w:b/>
          <w:bCs/>
          <w:color w:val="0000FF"/>
          <w:szCs w:val="21"/>
          <w:u w:val="single" w:color="0000FF"/>
        </w:rPr>
        <w:t xml:space="preserve">⑷为顺利实现本项目开评标的远程交互，建议投标人配置能够实现远程音视频通话的高配置笔记本电脑或手机，进入开标会议后确保网络通畅、稳定，为保证交互效果，建议投标人选择封闭安静的地点参与远程交互。因投标人自身软硬件配备不齐全或发生故障等问题而导致在交互过程中出现不稳定或中断等情况的，由投标人自身承担一切后果。 </w:t>
      </w:r>
    </w:p>
    <w:p>
      <w:pPr>
        <w:spacing w:line="440" w:lineRule="exact"/>
        <w:ind w:firstLine="422" w:firstLineChars="200"/>
        <w:rPr>
          <w:rStyle w:val="18"/>
          <w:rFonts w:ascii="宋体" w:hAnsi="宋体" w:cs="宋体"/>
          <w:b/>
          <w:bCs/>
          <w:color w:val="0000FF"/>
          <w:szCs w:val="21"/>
          <w:u w:val="single" w:color="0000FF"/>
        </w:rPr>
      </w:pPr>
      <w:r>
        <w:rPr>
          <w:rStyle w:val="18"/>
          <w:rFonts w:ascii="宋体" w:hAnsi="宋体" w:cs="宋体"/>
          <w:b/>
          <w:bCs/>
          <w:color w:val="0000FF"/>
          <w:szCs w:val="21"/>
          <w:u w:val="single" w:color="0000FF"/>
        </w:rPr>
        <w:t>⑸友情提醒：投标人如对上述腾讯会议软件等有疑问的，请尽早和软件公司的服务人员或其他专业人员联系，他们会根据投标人要求，提供必要的培训和技术支持。</w:t>
      </w:r>
    </w:p>
    <w:p>
      <w:pPr>
        <w:spacing w:line="440" w:lineRule="exact"/>
        <w:ind w:firstLine="422" w:firstLineChars="200"/>
        <w:rPr>
          <w:rStyle w:val="18"/>
          <w:rFonts w:ascii="宋体" w:hAnsi="宋体" w:cs="宋体"/>
          <w:b/>
          <w:bCs/>
          <w:color w:val="0000FF"/>
          <w:szCs w:val="21"/>
          <w:u w:val="single" w:color="0000FF"/>
        </w:rPr>
      </w:pPr>
      <w:r>
        <w:rPr>
          <w:rStyle w:val="18"/>
          <w:rFonts w:ascii="宋体" w:hAnsi="宋体" w:cs="宋体"/>
          <w:b/>
          <w:bCs/>
          <w:color w:val="0000FF"/>
          <w:szCs w:val="21"/>
          <w:u w:val="single" w:color="0000FF"/>
        </w:rPr>
        <w:t>腾讯客服联系方式：0755-83765566</w:t>
      </w:r>
    </w:p>
    <w:p>
      <w:pPr>
        <w:spacing w:line="440" w:lineRule="exact"/>
        <w:ind w:firstLine="422" w:firstLineChars="200"/>
        <w:rPr>
          <w:rStyle w:val="18"/>
          <w:rFonts w:ascii="宋体" w:hAnsi="宋体"/>
        </w:rPr>
      </w:pPr>
      <w:r>
        <w:rPr>
          <w:rStyle w:val="18"/>
          <w:rFonts w:ascii="宋体" w:hAnsi="宋体" w:cs="宋体"/>
          <w:b/>
          <w:bCs/>
          <w:color w:val="0000FF"/>
          <w:szCs w:val="21"/>
          <w:u w:val="single" w:color="0000FF"/>
        </w:rPr>
        <w:t>招标代理业务技术支持联系人：金燕    联系电话：15161955460</w:t>
      </w:r>
    </w:p>
    <w:p>
      <w:pPr>
        <w:pStyle w:val="26"/>
        <w:spacing w:after="0" w:line="360" w:lineRule="auto"/>
        <w:ind w:left="0" w:firstLine="420" w:firstLineChars="200"/>
        <w:rPr>
          <w:rStyle w:val="18"/>
          <w:rFonts w:ascii="宋体" w:hAnsi="宋体"/>
          <w:szCs w:val="21"/>
        </w:rPr>
      </w:pPr>
    </w:p>
    <w:p>
      <w:pPr>
        <w:pStyle w:val="24"/>
        <w:ind w:firstLine="118"/>
        <w:rPr>
          <w:rStyle w:val="18"/>
          <w:rFonts w:ascii="宋体" w:hAnsi="宋体" w:eastAsia="宋体"/>
        </w:rPr>
      </w:pPr>
      <w:r>
        <w:rPr>
          <w:rStyle w:val="18"/>
          <w:rFonts w:ascii="宋体" w:hAnsi="宋体" w:eastAsia="宋体"/>
        </w:rPr>
        <w:t>5.2 开标程序</w:t>
      </w:r>
    </w:p>
    <w:p>
      <w:pPr>
        <w:spacing w:line="360" w:lineRule="auto"/>
        <w:ind w:firstLine="420"/>
        <w:rPr>
          <w:rStyle w:val="18"/>
          <w:rFonts w:ascii="宋体" w:hAnsi="宋体"/>
          <w:szCs w:val="21"/>
        </w:rPr>
      </w:pPr>
      <w:r>
        <w:rPr>
          <w:rStyle w:val="18"/>
          <w:rFonts w:ascii="宋体" w:hAnsi="宋体"/>
          <w:szCs w:val="21"/>
        </w:rPr>
        <w:t>5.2.1 主持人按下列程序进行开标：</w:t>
      </w:r>
    </w:p>
    <w:p>
      <w:pPr>
        <w:spacing w:line="360" w:lineRule="auto"/>
        <w:ind w:firstLine="420"/>
        <w:rPr>
          <w:rStyle w:val="18"/>
          <w:rFonts w:ascii="宋体" w:hAnsi="宋体"/>
          <w:szCs w:val="21"/>
        </w:rPr>
      </w:pPr>
      <w:r>
        <w:rPr>
          <w:rStyle w:val="18"/>
          <w:rFonts w:ascii="宋体" w:hAnsi="宋体"/>
          <w:szCs w:val="21"/>
        </w:rPr>
        <w:t>（1）宣布开标纪律；</w:t>
      </w:r>
    </w:p>
    <w:p>
      <w:pPr>
        <w:spacing w:line="360" w:lineRule="auto"/>
        <w:ind w:firstLine="420"/>
        <w:rPr>
          <w:rStyle w:val="18"/>
          <w:rFonts w:ascii="宋体" w:hAnsi="宋体"/>
          <w:szCs w:val="21"/>
        </w:rPr>
      </w:pPr>
      <w:r>
        <w:rPr>
          <w:rStyle w:val="18"/>
          <w:rFonts w:ascii="宋体" w:hAnsi="宋体"/>
          <w:szCs w:val="21"/>
        </w:rPr>
        <w:t>（2）公布在投标截止时间前递交投标文件的投标人名称，并按投标人须知前附表的要求确认投标人是否派相关人员到场；</w:t>
      </w:r>
    </w:p>
    <w:p>
      <w:pPr>
        <w:spacing w:line="360" w:lineRule="auto"/>
        <w:ind w:firstLine="420"/>
        <w:rPr>
          <w:rStyle w:val="18"/>
          <w:rFonts w:ascii="宋体" w:hAnsi="宋体"/>
          <w:szCs w:val="21"/>
        </w:rPr>
      </w:pPr>
      <w:r>
        <w:rPr>
          <w:rStyle w:val="18"/>
          <w:rFonts w:ascii="宋体" w:hAnsi="宋体"/>
          <w:szCs w:val="21"/>
        </w:rPr>
        <w:t>（3）宣布相关参会人员姓名；</w:t>
      </w:r>
    </w:p>
    <w:p>
      <w:pPr>
        <w:spacing w:line="360" w:lineRule="auto"/>
        <w:ind w:firstLine="420"/>
        <w:rPr>
          <w:rStyle w:val="18"/>
          <w:rFonts w:ascii="宋体" w:hAnsi="宋体"/>
          <w:szCs w:val="21"/>
        </w:rPr>
      </w:pPr>
      <w:r>
        <w:rPr>
          <w:rStyle w:val="18"/>
          <w:rFonts w:ascii="宋体" w:hAnsi="宋体"/>
          <w:szCs w:val="21"/>
        </w:rPr>
        <w:t>（4）检查投标文件的密封情况；</w:t>
      </w:r>
    </w:p>
    <w:p>
      <w:pPr>
        <w:spacing w:line="360" w:lineRule="auto"/>
        <w:ind w:firstLine="420"/>
        <w:rPr>
          <w:rStyle w:val="18"/>
          <w:rFonts w:ascii="宋体" w:hAnsi="宋体"/>
          <w:szCs w:val="21"/>
        </w:rPr>
      </w:pPr>
      <w:r>
        <w:rPr>
          <w:rStyle w:val="18"/>
          <w:rFonts w:ascii="宋体" w:hAnsi="宋体"/>
          <w:szCs w:val="21"/>
        </w:rPr>
        <w:t>（5）当众开标、唱标，并记录在案；</w:t>
      </w:r>
    </w:p>
    <w:p>
      <w:pPr>
        <w:spacing w:line="360" w:lineRule="auto"/>
        <w:ind w:firstLine="420"/>
        <w:rPr>
          <w:rStyle w:val="18"/>
          <w:rFonts w:ascii="宋体" w:hAnsi="宋体"/>
          <w:szCs w:val="21"/>
        </w:rPr>
      </w:pPr>
      <w:r>
        <w:rPr>
          <w:rStyle w:val="18"/>
          <w:rFonts w:ascii="宋体" w:hAnsi="宋体"/>
          <w:szCs w:val="21"/>
        </w:rPr>
        <w:t>（6）相关参会人员在开标记录上签字确认；</w:t>
      </w:r>
    </w:p>
    <w:p>
      <w:pPr>
        <w:spacing w:line="360" w:lineRule="auto"/>
        <w:ind w:firstLine="420"/>
        <w:rPr>
          <w:rStyle w:val="18"/>
          <w:rFonts w:ascii="宋体" w:hAnsi="宋体"/>
          <w:szCs w:val="21"/>
        </w:rPr>
      </w:pPr>
      <w:r>
        <w:rPr>
          <w:rStyle w:val="18"/>
          <w:rFonts w:ascii="宋体" w:hAnsi="宋体"/>
          <w:szCs w:val="21"/>
        </w:rPr>
        <w:t>（7）开标结束。</w:t>
      </w:r>
    </w:p>
    <w:p>
      <w:pPr>
        <w:spacing w:line="360" w:lineRule="auto"/>
        <w:ind w:firstLine="420"/>
        <w:rPr>
          <w:rStyle w:val="18"/>
          <w:rFonts w:ascii="宋体" w:hAnsi="宋体"/>
          <w:szCs w:val="21"/>
        </w:rPr>
      </w:pPr>
      <w:r>
        <w:rPr>
          <w:rStyle w:val="18"/>
          <w:rFonts w:ascii="宋体" w:hAnsi="宋体"/>
          <w:szCs w:val="21"/>
        </w:rPr>
        <w:t>5.2.2投标人对开标有异议的，应当在开标现场提出，招标人应当当场作出答复，并制作记录。</w:t>
      </w:r>
    </w:p>
    <w:p>
      <w:pPr>
        <w:pStyle w:val="22"/>
        <w:rPr>
          <w:rStyle w:val="18"/>
          <w:rFonts w:ascii="宋体" w:hAnsi="宋体"/>
        </w:rPr>
      </w:pPr>
      <w:r>
        <w:rPr>
          <w:rStyle w:val="18"/>
          <w:rFonts w:ascii="宋体" w:hAnsi="宋体"/>
        </w:rPr>
        <w:t>6.评标</w:t>
      </w:r>
    </w:p>
    <w:p>
      <w:pPr>
        <w:pStyle w:val="24"/>
        <w:ind w:firstLine="118"/>
        <w:rPr>
          <w:rStyle w:val="18"/>
          <w:rFonts w:ascii="宋体" w:hAnsi="宋体" w:eastAsia="宋体"/>
        </w:rPr>
      </w:pPr>
      <w:r>
        <w:rPr>
          <w:rStyle w:val="18"/>
          <w:rFonts w:ascii="宋体" w:hAnsi="宋体" w:eastAsia="宋体"/>
        </w:rPr>
        <w:t>6.1 评标委员会</w:t>
      </w:r>
    </w:p>
    <w:p>
      <w:pPr>
        <w:spacing w:line="360" w:lineRule="auto"/>
        <w:ind w:firstLine="420"/>
        <w:rPr>
          <w:rStyle w:val="18"/>
          <w:rFonts w:ascii="宋体" w:hAnsi="宋体"/>
          <w:szCs w:val="21"/>
        </w:rPr>
      </w:pPr>
      <w:r>
        <w:rPr>
          <w:rStyle w:val="18"/>
          <w:rFonts w:ascii="宋体" w:hAnsi="宋体"/>
          <w:szCs w:val="21"/>
        </w:rPr>
        <w:t>6.1.1 评标由招标人依法组建的评标委员会负责。评标委员会由招标人代表以及有关技术、经济等方面的专家组成。</w:t>
      </w:r>
    </w:p>
    <w:p>
      <w:pPr>
        <w:spacing w:line="360" w:lineRule="auto"/>
        <w:ind w:firstLine="420"/>
        <w:rPr>
          <w:rStyle w:val="18"/>
          <w:rFonts w:ascii="宋体" w:hAnsi="宋体"/>
          <w:szCs w:val="21"/>
        </w:rPr>
      </w:pPr>
      <w:r>
        <w:rPr>
          <w:rStyle w:val="18"/>
          <w:rFonts w:ascii="宋体" w:hAnsi="宋体"/>
          <w:szCs w:val="21"/>
        </w:rPr>
        <w:t>6.1.2 评标委员会成员有下列情形之一的，应当回避：</w:t>
      </w:r>
    </w:p>
    <w:p>
      <w:pPr>
        <w:spacing w:line="360" w:lineRule="auto"/>
        <w:ind w:firstLine="420"/>
        <w:rPr>
          <w:rStyle w:val="18"/>
          <w:rFonts w:ascii="宋体" w:hAnsi="宋体"/>
          <w:szCs w:val="21"/>
        </w:rPr>
      </w:pPr>
      <w:r>
        <w:rPr>
          <w:rStyle w:val="18"/>
          <w:rFonts w:ascii="宋体" w:hAnsi="宋体"/>
          <w:szCs w:val="21"/>
        </w:rPr>
        <w:t>（1）投标人或投标人主要负责人的近亲属；</w:t>
      </w:r>
    </w:p>
    <w:p>
      <w:pPr>
        <w:spacing w:line="360" w:lineRule="auto"/>
        <w:ind w:firstLine="420"/>
        <w:rPr>
          <w:rStyle w:val="18"/>
          <w:rFonts w:ascii="宋体" w:hAnsi="宋体"/>
          <w:szCs w:val="21"/>
        </w:rPr>
      </w:pPr>
      <w:r>
        <w:rPr>
          <w:rStyle w:val="18"/>
          <w:rFonts w:ascii="宋体" w:hAnsi="宋体"/>
          <w:szCs w:val="21"/>
        </w:rPr>
        <w:t>（2）项目主管部门或者行政监督部门的人员；</w:t>
      </w:r>
    </w:p>
    <w:p>
      <w:pPr>
        <w:spacing w:line="360" w:lineRule="auto"/>
        <w:ind w:firstLine="420"/>
        <w:rPr>
          <w:rStyle w:val="18"/>
          <w:rFonts w:ascii="宋体" w:hAnsi="宋体"/>
          <w:szCs w:val="21"/>
        </w:rPr>
      </w:pPr>
      <w:r>
        <w:rPr>
          <w:rStyle w:val="18"/>
          <w:rFonts w:ascii="宋体" w:hAnsi="宋体"/>
          <w:szCs w:val="21"/>
        </w:rPr>
        <w:t>（3）与投标人有经济利益关系；</w:t>
      </w:r>
    </w:p>
    <w:p>
      <w:pPr>
        <w:spacing w:line="360" w:lineRule="auto"/>
        <w:ind w:firstLine="420"/>
        <w:rPr>
          <w:rStyle w:val="18"/>
          <w:rFonts w:ascii="宋体" w:hAnsi="宋体"/>
          <w:szCs w:val="21"/>
        </w:rPr>
      </w:pPr>
      <w:r>
        <w:rPr>
          <w:rStyle w:val="18"/>
          <w:rFonts w:ascii="宋体" w:hAnsi="宋体"/>
          <w:szCs w:val="21"/>
        </w:rPr>
        <w:t>（4）曾因在招标、评标以及其他与招标投标有关活动中从事违法行为而受过行政处罚或刑事处罚的。</w:t>
      </w:r>
    </w:p>
    <w:p>
      <w:pPr>
        <w:pStyle w:val="24"/>
        <w:ind w:firstLine="118"/>
        <w:rPr>
          <w:rStyle w:val="18"/>
          <w:rFonts w:ascii="宋体" w:hAnsi="宋体" w:eastAsia="宋体"/>
        </w:rPr>
      </w:pPr>
      <w:r>
        <w:rPr>
          <w:rStyle w:val="18"/>
          <w:rFonts w:ascii="宋体" w:hAnsi="宋体" w:eastAsia="宋体"/>
        </w:rPr>
        <w:t>6.2 评标原则</w:t>
      </w:r>
    </w:p>
    <w:p>
      <w:pPr>
        <w:spacing w:line="360" w:lineRule="auto"/>
        <w:ind w:firstLine="420" w:firstLineChars="200"/>
        <w:rPr>
          <w:rStyle w:val="18"/>
          <w:rFonts w:ascii="宋体" w:hAnsi="宋体"/>
        </w:rPr>
      </w:pPr>
      <w:r>
        <w:rPr>
          <w:rStyle w:val="18"/>
          <w:rFonts w:ascii="宋体" w:hAnsi="宋体"/>
        </w:rPr>
        <w:t>评标活动遵循公平、公正、科学和择优的原则。</w:t>
      </w:r>
    </w:p>
    <w:p>
      <w:pPr>
        <w:pStyle w:val="24"/>
        <w:ind w:firstLine="118"/>
        <w:rPr>
          <w:rStyle w:val="18"/>
          <w:rFonts w:ascii="宋体" w:hAnsi="宋体" w:eastAsia="宋体"/>
        </w:rPr>
      </w:pPr>
      <w:r>
        <w:rPr>
          <w:rStyle w:val="18"/>
          <w:rFonts w:ascii="宋体" w:hAnsi="宋体" w:eastAsia="宋体"/>
        </w:rPr>
        <w:t>6.3 评标</w:t>
      </w:r>
    </w:p>
    <w:p>
      <w:pPr>
        <w:spacing w:line="400" w:lineRule="exact"/>
        <w:ind w:firstLine="420" w:firstLineChars="200"/>
        <w:rPr>
          <w:rStyle w:val="18"/>
          <w:rFonts w:ascii="宋体" w:hAnsi="宋体"/>
        </w:rPr>
      </w:pPr>
      <w:r>
        <w:rPr>
          <w:rStyle w:val="18"/>
          <w:rFonts w:ascii="宋体" w:hAnsi="宋体"/>
        </w:rPr>
        <w:t>评标委员会按照第三章“评标办法”规定的方法、评审因素、标准和程序对投标文件进行评审。第三章“评标办法”没有规定的方法、评审因素和标准，不作为评标依据。</w:t>
      </w:r>
    </w:p>
    <w:p>
      <w:pPr>
        <w:pStyle w:val="24"/>
        <w:ind w:firstLine="118"/>
        <w:rPr>
          <w:rStyle w:val="18"/>
          <w:rFonts w:ascii="宋体" w:hAnsi="宋体" w:eastAsia="宋体"/>
        </w:rPr>
      </w:pPr>
      <w:r>
        <w:rPr>
          <w:rStyle w:val="18"/>
          <w:rFonts w:ascii="宋体" w:hAnsi="宋体" w:eastAsia="宋体"/>
        </w:rPr>
        <w:t>6.4 多个标段推荐中标候选人顺序</w:t>
      </w:r>
    </w:p>
    <w:p>
      <w:pPr>
        <w:spacing w:line="360" w:lineRule="auto"/>
        <w:ind w:firstLine="420" w:firstLineChars="200"/>
        <w:rPr>
          <w:rStyle w:val="18"/>
          <w:rFonts w:ascii="宋体" w:hAnsi="宋体"/>
        </w:rPr>
      </w:pPr>
      <w:r>
        <w:rPr>
          <w:rStyle w:val="18"/>
          <w:rFonts w:ascii="宋体" w:hAnsi="宋体"/>
        </w:rPr>
        <w:t>见投标人须知前附表</w:t>
      </w:r>
    </w:p>
    <w:p>
      <w:pPr>
        <w:pStyle w:val="22"/>
        <w:rPr>
          <w:rStyle w:val="18"/>
          <w:rFonts w:ascii="宋体" w:hAnsi="宋体"/>
        </w:rPr>
      </w:pPr>
      <w:r>
        <w:rPr>
          <w:rStyle w:val="18"/>
          <w:rFonts w:ascii="宋体" w:hAnsi="宋体"/>
        </w:rPr>
        <w:t>7.评标结果公示</w:t>
      </w:r>
    </w:p>
    <w:p>
      <w:pPr>
        <w:spacing w:line="360" w:lineRule="auto"/>
        <w:ind w:firstLine="420"/>
        <w:rPr>
          <w:rStyle w:val="18"/>
          <w:rFonts w:ascii="宋体" w:hAnsi="宋体"/>
          <w:szCs w:val="21"/>
        </w:rPr>
      </w:pPr>
      <w:r>
        <w:rPr>
          <w:rStyle w:val="18"/>
          <w:rFonts w:ascii="宋体" w:hAnsi="宋体"/>
          <w:szCs w:val="21"/>
        </w:rPr>
        <w:t>7.1 招标人在收到评标报告之日起3日内，在与招标公告相同的发布媒介上对评标结果进行公示，公示期不少于1日。</w:t>
      </w:r>
    </w:p>
    <w:p>
      <w:pPr>
        <w:spacing w:line="360" w:lineRule="auto"/>
        <w:ind w:firstLine="420"/>
        <w:rPr>
          <w:rStyle w:val="18"/>
          <w:rFonts w:ascii="宋体" w:hAnsi="宋体"/>
          <w:szCs w:val="21"/>
        </w:rPr>
      </w:pPr>
      <w:r>
        <w:rPr>
          <w:rStyle w:val="18"/>
          <w:rFonts w:ascii="宋体" w:hAnsi="宋体"/>
          <w:szCs w:val="21"/>
        </w:rPr>
        <w:t>7.2 投标人或者其他利害关系人对评标结果有异议的，应当在评标结果公示期间向招标人提出异议。招标人自收到异议之日起3日内作出答复，并在作出答复前暂停招标投标活动。</w:t>
      </w:r>
    </w:p>
    <w:p>
      <w:pPr>
        <w:pStyle w:val="22"/>
        <w:rPr>
          <w:rStyle w:val="18"/>
          <w:rFonts w:ascii="宋体" w:hAnsi="宋体"/>
        </w:rPr>
      </w:pPr>
      <w:r>
        <w:rPr>
          <w:rStyle w:val="18"/>
          <w:rFonts w:ascii="宋体" w:hAnsi="宋体"/>
        </w:rPr>
        <w:t>8.合同授予</w:t>
      </w:r>
    </w:p>
    <w:p>
      <w:pPr>
        <w:pStyle w:val="24"/>
        <w:ind w:firstLine="118"/>
        <w:rPr>
          <w:rStyle w:val="18"/>
          <w:rFonts w:ascii="宋体" w:hAnsi="宋体" w:eastAsia="宋体"/>
        </w:rPr>
      </w:pPr>
      <w:r>
        <w:rPr>
          <w:rStyle w:val="18"/>
          <w:rFonts w:ascii="宋体" w:hAnsi="宋体" w:eastAsia="宋体"/>
        </w:rPr>
        <w:t>8.1 定标方式</w:t>
      </w:r>
    </w:p>
    <w:p>
      <w:pPr>
        <w:spacing w:line="360" w:lineRule="auto"/>
        <w:ind w:firstLine="420" w:firstLineChars="200"/>
        <w:rPr>
          <w:rStyle w:val="18"/>
          <w:rFonts w:ascii="宋体" w:hAnsi="宋体"/>
        </w:rPr>
      </w:pPr>
      <w:r>
        <w:rPr>
          <w:rStyle w:val="18"/>
          <w:rFonts w:ascii="宋体" w:hAnsi="宋体"/>
        </w:rPr>
        <w:t>除投标人须知前附表规定评标委员会直接确定中标人外，招标人依据评标委员会推荐的中标候选人确定中标人，评标委员会推荐中标候选人的人数</w:t>
      </w:r>
      <w:r>
        <w:rPr>
          <w:rStyle w:val="18"/>
          <w:rFonts w:ascii="宋体" w:hAnsi="宋体"/>
          <w:kern w:val="0"/>
          <w:szCs w:val="21"/>
        </w:rPr>
        <w:t>不超过3个</w:t>
      </w:r>
      <w:r>
        <w:rPr>
          <w:rStyle w:val="18"/>
          <w:rFonts w:ascii="宋体" w:hAnsi="宋体"/>
        </w:rPr>
        <w:t>。</w:t>
      </w:r>
    </w:p>
    <w:p>
      <w:pPr>
        <w:spacing w:line="360" w:lineRule="auto"/>
        <w:ind w:firstLine="420" w:firstLineChars="200"/>
        <w:rPr>
          <w:rStyle w:val="18"/>
          <w:rFonts w:ascii="宋体" w:hAnsi="宋体"/>
        </w:rPr>
      </w:pPr>
      <w:r>
        <w:rPr>
          <w:rStyle w:val="18"/>
          <w:rFonts w:ascii="宋体" w:hAnsi="宋体"/>
        </w:rPr>
        <w:t>8.2 中标人公告及中标通知</w:t>
      </w:r>
    </w:p>
    <w:p>
      <w:pPr>
        <w:spacing w:line="360" w:lineRule="auto"/>
        <w:ind w:firstLine="420" w:firstLineChars="200"/>
        <w:rPr>
          <w:rStyle w:val="18"/>
          <w:rFonts w:ascii="宋体" w:hAnsi="宋体"/>
        </w:rPr>
      </w:pPr>
      <w:r>
        <w:rPr>
          <w:rStyle w:val="18"/>
          <w:rFonts w:ascii="宋体" w:hAnsi="宋体"/>
        </w:rPr>
        <w:t>招标人在本招标文件规定的投标有效期内将中标人名称、中标价在与招标公告相同的发布媒介上予以公告，并以书面形式向中标人发出中标通知书。</w:t>
      </w:r>
    </w:p>
    <w:p>
      <w:pPr>
        <w:pStyle w:val="24"/>
        <w:ind w:firstLine="118"/>
        <w:rPr>
          <w:rStyle w:val="18"/>
          <w:rFonts w:ascii="宋体" w:hAnsi="宋体" w:eastAsia="宋体"/>
        </w:rPr>
      </w:pPr>
      <w:r>
        <w:rPr>
          <w:rStyle w:val="18"/>
          <w:rFonts w:ascii="宋体" w:hAnsi="宋体" w:eastAsia="宋体"/>
        </w:rPr>
        <w:t>8.3 履约保证金</w:t>
      </w:r>
    </w:p>
    <w:p>
      <w:pPr>
        <w:spacing w:line="360" w:lineRule="auto"/>
        <w:ind w:firstLine="420" w:firstLineChars="200"/>
        <w:rPr>
          <w:rStyle w:val="18"/>
          <w:rFonts w:ascii="宋体" w:hAnsi="宋体"/>
        </w:rPr>
      </w:pPr>
      <w:r>
        <w:rPr>
          <w:rStyle w:val="18"/>
          <w:rFonts w:ascii="宋体" w:hAnsi="宋体"/>
        </w:rPr>
        <w:t>8.3.1在签订合同前，中标人应按投标人须知前附表规定的形式和招标文件“合同条款及格式”规定的或者事先经过招标人书面认可的履约保证金格式向招标人提交履约保证金。联合体中标的，其履约保证金由牵头人递交。</w:t>
      </w:r>
    </w:p>
    <w:p>
      <w:pPr>
        <w:spacing w:line="360" w:lineRule="auto"/>
        <w:ind w:firstLine="420" w:firstLineChars="200"/>
        <w:rPr>
          <w:rStyle w:val="18"/>
          <w:rFonts w:ascii="宋体" w:hAnsi="宋体"/>
        </w:rPr>
      </w:pPr>
      <w:r>
        <w:rPr>
          <w:rStyle w:val="18"/>
          <w:rFonts w:ascii="宋体" w:hAnsi="宋体"/>
        </w:rPr>
        <w:t>8.3.2 中标人不能按本章第8.3.1项要求提交履约保证金的，视为放弃中标，其投标保证金不予退还，给招标人造成的损失超过投标保证金数额的，中标人还应当对超过部分予以赔偿。</w:t>
      </w:r>
    </w:p>
    <w:p>
      <w:pPr>
        <w:pStyle w:val="24"/>
        <w:ind w:firstLine="118"/>
        <w:rPr>
          <w:rStyle w:val="18"/>
          <w:rFonts w:ascii="宋体" w:hAnsi="宋体" w:eastAsia="宋体"/>
        </w:rPr>
      </w:pPr>
      <w:r>
        <w:rPr>
          <w:rStyle w:val="18"/>
          <w:rFonts w:ascii="宋体" w:hAnsi="宋体" w:eastAsia="宋体"/>
        </w:rPr>
        <w:t>8.4 签订合同</w:t>
      </w:r>
    </w:p>
    <w:p>
      <w:pPr>
        <w:spacing w:line="360" w:lineRule="auto"/>
        <w:ind w:firstLine="420" w:firstLineChars="200"/>
        <w:rPr>
          <w:rStyle w:val="18"/>
          <w:rFonts w:ascii="宋体" w:hAnsi="宋体"/>
        </w:rPr>
      </w:pPr>
      <w:r>
        <w:rPr>
          <w:rStyle w:val="18"/>
          <w:rFonts w:ascii="宋体" w:hAnsi="宋体"/>
        </w:rPr>
        <w:t>8.4.1招标人和中标人应当自中标通知书发出之日起7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360" w:lineRule="auto"/>
        <w:ind w:firstLine="420" w:firstLineChars="200"/>
        <w:rPr>
          <w:rStyle w:val="18"/>
          <w:rFonts w:ascii="宋体" w:hAnsi="宋体"/>
        </w:rPr>
      </w:pPr>
      <w:r>
        <w:rPr>
          <w:rStyle w:val="18"/>
          <w:rFonts w:ascii="宋体" w:hAnsi="宋体"/>
        </w:rPr>
        <w:t>8.4.2 发出中标通知书后，招标人无正当理由拒签合同的，招标人向中标人退还投标保证金；给中标人造成损失的，还应当赔偿损失。</w:t>
      </w:r>
    </w:p>
    <w:p>
      <w:pPr>
        <w:pStyle w:val="22"/>
        <w:rPr>
          <w:rStyle w:val="18"/>
          <w:rFonts w:ascii="宋体" w:hAnsi="宋体"/>
        </w:rPr>
      </w:pPr>
      <w:r>
        <w:rPr>
          <w:rStyle w:val="18"/>
          <w:rFonts w:ascii="宋体" w:hAnsi="宋体"/>
        </w:rPr>
        <w:t>9.纪律和监督</w:t>
      </w:r>
    </w:p>
    <w:p>
      <w:pPr>
        <w:pStyle w:val="24"/>
        <w:ind w:firstLine="118"/>
        <w:rPr>
          <w:rStyle w:val="18"/>
          <w:rFonts w:ascii="宋体" w:hAnsi="宋体" w:eastAsia="宋体"/>
        </w:rPr>
      </w:pPr>
      <w:r>
        <w:rPr>
          <w:rStyle w:val="18"/>
          <w:rFonts w:ascii="宋体" w:hAnsi="宋体" w:eastAsia="宋体"/>
        </w:rPr>
        <w:t>9.1 对招标人的纪律要求</w:t>
      </w:r>
    </w:p>
    <w:p>
      <w:pPr>
        <w:spacing w:line="360" w:lineRule="auto"/>
        <w:ind w:firstLine="420"/>
        <w:rPr>
          <w:rStyle w:val="18"/>
          <w:rFonts w:ascii="宋体" w:hAnsi="宋体"/>
          <w:szCs w:val="21"/>
        </w:rPr>
      </w:pPr>
      <w:r>
        <w:rPr>
          <w:rStyle w:val="18"/>
          <w:rFonts w:ascii="宋体" w:hAnsi="宋体"/>
          <w:szCs w:val="21"/>
        </w:rPr>
        <w:t>招标人不得泄露招标投标活动中应当保密的情况和资料，不得与投标人串通损害国家利益、社会公众利益或者他人合法权益。</w:t>
      </w:r>
    </w:p>
    <w:p>
      <w:pPr>
        <w:pStyle w:val="24"/>
        <w:spacing w:before="60" w:after="60" w:line="360" w:lineRule="auto"/>
        <w:ind w:firstLine="118"/>
        <w:rPr>
          <w:rStyle w:val="18"/>
          <w:rFonts w:ascii="宋体" w:hAnsi="宋体" w:eastAsia="宋体"/>
          <w:szCs w:val="24"/>
        </w:rPr>
      </w:pPr>
      <w:r>
        <w:rPr>
          <w:rStyle w:val="18"/>
          <w:rFonts w:ascii="宋体" w:hAnsi="宋体" w:eastAsia="宋体"/>
          <w:szCs w:val="24"/>
        </w:rPr>
        <w:t>9.2 对投标人的纪律要求</w:t>
      </w:r>
    </w:p>
    <w:p>
      <w:pPr>
        <w:spacing w:line="360" w:lineRule="auto"/>
        <w:ind w:firstLine="420"/>
        <w:rPr>
          <w:rStyle w:val="18"/>
          <w:rFonts w:ascii="宋体" w:hAnsi="宋体"/>
          <w:szCs w:val="21"/>
        </w:rPr>
      </w:pPr>
      <w:r>
        <w:rPr>
          <w:rStyle w:val="18"/>
          <w:rFonts w:ascii="宋体" w:hAnsi="宋体"/>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24"/>
        <w:spacing w:before="60" w:after="60" w:line="360" w:lineRule="auto"/>
        <w:ind w:firstLine="118"/>
        <w:rPr>
          <w:rStyle w:val="18"/>
          <w:rFonts w:ascii="宋体" w:hAnsi="宋体" w:eastAsia="宋体"/>
          <w:szCs w:val="24"/>
        </w:rPr>
      </w:pPr>
      <w:r>
        <w:rPr>
          <w:rStyle w:val="18"/>
          <w:rFonts w:ascii="宋体" w:hAnsi="宋体" w:eastAsia="宋体"/>
          <w:szCs w:val="24"/>
        </w:rPr>
        <w:t>9.3 对评标委员会成员的纪律要求</w:t>
      </w:r>
    </w:p>
    <w:p>
      <w:pPr>
        <w:spacing w:line="360" w:lineRule="auto"/>
        <w:ind w:firstLine="420"/>
        <w:rPr>
          <w:rStyle w:val="18"/>
          <w:rFonts w:ascii="宋体" w:hAnsi="宋体"/>
          <w:szCs w:val="21"/>
        </w:rPr>
      </w:pPr>
      <w:r>
        <w:rPr>
          <w:rStyle w:val="18"/>
          <w:rFonts w:ascii="宋体" w:hAnsi="宋体"/>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没有规定的评审因素和标准进行评标。</w:t>
      </w:r>
    </w:p>
    <w:p>
      <w:pPr>
        <w:pStyle w:val="24"/>
        <w:spacing w:before="60" w:after="60" w:line="360" w:lineRule="auto"/>
        <w:ind w:firstLine="118"/>
        <w:rPr>
          <w:rStyle w:val="18"/>
          <w:rFonts w:ascii="宋体" w:hAnsi="宋体" w:eastAsia="宋体"/>
          <w:szCs w:val="24"/>
        </w:rPr>
      </w:pPr>
      <w:r>
        <w:rPr>
          <w:rStyle w:val="18"/>
          <w:rFonts w:ascii="宋体" w:hAnsi="宋体" w:eastAsia="宋体"/>
          <w:szCs w:val="24"/>
        </w:rPr>
        <w:t>9.4 对与评标活动有关的工作人员的纪律要求</w:t>
      </w:r>
    </w:p>
    <w:p>
      <w:pPr>
        <w:spacing w:line="360" w:lineRule="auto"/>
        <w:ind w:firstLine="420"/>
        <w:rPr>
          <w:rStyle w:val="18"/>
          <w:rFonts w:ascii="宋体" w:hAnsi="宋体"/>
          <w:szCs w:val="21"/>
        </w:rPr>
      </w:pPr>
      <w:r>
        <w:rPr>
          <w:rStyle w:val="18"/>
          <w:rFonts w:ascii="宋体" w:hAnsi="宋体"/>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24"/>
        <w:spacing w:before="60" w:after="60" w:line="360" w:lineRule="auto"/>
        <w:ind w:firstLine="118"/>
        <w:rPr>
          <w:rStyle w:val="18"/>
          <w:rFonts w:ascii="宋体" w:hAnsi="宋体" w:eastAsia="宋体"/>
          <w:szCs w:val="24"/>
        </w:rPr>
      </w:pPr>
      <w:r>
        <w:rPr>
          <w:rStyle w:val="18"/>
          <w:rFonts w:ascii="宋体" w:hAnsi="宋体" w:eastAsia="宋体"/>
          <w:szCs w:val="24"/>
        </w:rPr>
        <w:t>9.5 投诉</w:t>
      </w:r>
    </w:p>
    <w:p>
      <w:pPr>
        <w:spacing w:line="360" w:lineRule="auto"/>
        <w:ind w:firstLine="420"/>
        <w:rPr>
          <w:rStyle w:val="18"/>
          <w:rFonts w:ascii="宋体" w:hAnsi="宋体"/>
          <w:szCs w:val="21"/>
        </w:rPr>
      </w:pPr>
      <w:r>
        <w:rPr>
          <w:rStyle w:val="18"/>
          <w:rFonts w:ascii="宋体" w:hAnsi="宋体"/>
          <w:szCs w:val="21"/>
        </w:rPr>
        <w:t>投标人或者其他利害关系人认为招标投标活动不符合法律、行政法规规定的，可以自知道或者应当知道之日起10日内向有关行政监督部门投诉。投标人或者其他利害关系人就资格预审文件、招标文件、开标、评标结果事项投诉的，应当先向招标人提出异议。</w:t>
      </w:r>
    </w:p>
    <w:p>
      <w:pPr>
        <w:pStyle w:val="22"/>
        <w:rPr>
          <w:rStyle w:val="18"/>
          <w:rFonts w:ascii="宋体" w:hAnsi="宋体"/>
        </w:rPr>
      </w:pPr>
      <w:r>
        <w:rPr>
          <w:rStyle w:val="18"/>
          <w:rFonts w:ascii="宋体" w:hAnsi="宋体"/>
        </w:rPr>
        <w:t>10. 招标人需要补充的其他内容</w:t>
      </w:r>
    </w:p>
    <w:p>
      <w:pPr>
        <w:spacing w:line="360" w:lineRule="auto"/>
        <w:ind w:firstLine="420"/>
        <w:rPr>
          <w:rStyle w:val="18"/>
          <w:rFonts w:ascii="宋体" w:hAnsi="宋体"/>
          <w:szCs w:val="21"/>
        </w:rPr>
      </w:pPr>
      <w:r>
        <w:rPr>
          <w:rStyle w:val="18"/>
          <w:rFonts w:ascii="宋体" w:hAnsi="宋体"/>
          <w:szCs w:val="21"/>
        </w:rPr>
        <w:t>需要补充的其他内容：见投标人须知前附表。</w:t>
      </w:r>
    </w:p>
    <w:p>
      <w:pPr>
        <w:spacing w:line="360" w:lineRule="auto"/>
        <w:ind w:firstLine="420"/>
        <w:rPr>
          <w:rStyle w:val="18"/>
          <w:rFonts w:ascii="宋体" w:hAnsi="宋体"/>
          <w:szCs w:val="21"/>
        </w:rPr>
      </w:pPr>
    </w:p>
    <w:p>
      <w:pPr>
        <w:spacing w:line="360" w:lineRule="auto"/>
        <w:ind w:firstLine="420"/>
        <w:rPr>
          <w:rStyle w:val="18"/>
          <w:rFonts w:ascii="宋体" w:hAnsi="宋体"/>
          <w:szCs w:val="21"/>
        </w:rPr>
      </w:pPr>
    </w:p>
    <w:p>
      <w:pPr>
        <w:pStyle w:val="11"/>
        <w:ind w:firstLine="442"/>
        <w:rPr>
          <w:rStyle w:val="18"/>
          <w:rFonts w:ascii="宋体" w:hAnsi="宋体" w:cs="宋体"/>
          <w:b/>
          <w:bCs/>
          <w:kern w:val="44"/>
          <w:sz w:val="44"/>
          <w:szCs w:val="44"/>
        </w:rPr>
      </w:pPr>
      <w:r>
        <w:rPr>
          <w:rStyle w:val="18"/>
          <w:rFonts w:ascii="宋体" w:hAnsi="宋体" w:cs="宋体"/>
          <w:b/>
          <w:bCs/>
          <w:kern w:val="44"/>
          <w:sz w:val="44"/>
          <w:szCs w:val="44"/>
        </w:rPr>
        <w:br w:type="page"/>
      </w:r>
    </w:p>
    <w:p>
      <w:pPr>
        <w:pStyle w:val="21"/>
        <w:numPr>
          <w:ilvl w:val="0"/>
          <w:numId w:val="3"/>
        </w:numPr>
        <w:outlineLvl w:val="0"/>
        <w:rPr>
          <w:rStyle w:val="18"/>
          <w:rFonts w:ascii="宋体" w:hAnsi="宋体" w:cs="宋体"/>
        </w:rPr>
      </w:pPr>
      <w:bookmarkStart w:id="8" w:name="_Toc159"/>
      <w:bookmarkStart w:id="9" w:name="_Toc23822"/>
      <w:bookmarkStart w:id="10" w:name="_Toc10011"/>
      <w:bookmarkStart w:id="11" w:name="_Toc4173"/>
      <w:r>
        <w:rPr>
          <w:rStyle w:val="18"/>
          <w:rFonts w:ascii="宋体" w:hAnsi="宋体" w:cs="宋体"/>
        </w:rPr>
        <w:t>评标办法（综合评分法）</w:t>
      </w:r>
      <w:bookmarkEnd w:id="8"/>
      <w:bookmarkEnd w:id="9"/>
      <w:bookmarkEnd w:id="10"/>
      <w:bookmarkEnd w:id="11"/>
    </w:p>
    <w:p>
      <w:pPr>
        <w:pStyle w:val="23"/>
        <w:rPr>
          <w:rStyle w:val="18"/>
          <w:rFonts w:ascii="宋体" w:hAnsi="宋体" w:eastAsia="宋体" w:cs="宋体"/>
          <w:b w:val="0"/>
          <w:sz w:val="24"/>
        </w:rPr>
      </w:pPr>
      <w:r>
        <w:rPr>
          <w:rStyle w:val="18"/>
          <w:rFonts w:ascii="宋体" w:hAnsi="宋体" w:eastAsia="宋体" w:cs="宋体"/>
        </w:rPr>
        <w:t>评标办法前附表</w:t>
      </w:r>
    </w:p>
    <w:tbl>
      <w:tblPr>
        <w:tblStyle w:val="12"/>
        <w:tblW w:w="970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3"/>
        <w:gridCol w:w="1080"/>
        <w:gridCol w:w="2609"/>
        <w:gridCol w:w="51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1963"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b/>
              </w:rPr>
            </w:pPr>
            <w:r>
              <w:rPr>
                <w:rStyle w:val="18"/>
                <w:rFonts w:ascii="宋体" w:hAnsi="宋体"/>
                <w:b/>
              </w:rPr>
              <w:t>条款号</w:t>
            </w:r>
          </w:p>
        </w:tc>
        <w:tc>
          <w:tcPr>
            <w:tcW w:w="2609"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b/>
              </w:rPr>
            </w:pPr>
            <w:r>
              <w:rPr>
                <w:rStyle w:val="18"/>
                <w:rFonts w:ascii="宋体" w:hAnsi="宋体"/>
                <w:b/>
              </w:rPr>
              <w:t>评审因素</w:t>
            </w:r>
          </w:p>
        </w:tc>
        <w:tc>
          <w:tcPr>
            <w:tcW w:w="5128"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b/>
              </w:rPr>
            </w:pPr>
            <w:r>
              <w:rPr>
                <w:rStyle w:val="18"/>
                <w:rFonts w:ascii="宋体" w:hAnsi="宋体"/>
                <w:b/>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883"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rPr>
            </w:pPr>
            <w:r>
              <w:rPr>
                <w:rStyle w:val="18"/>
                <w:rFonts w:ascii="宋体" w:hAnsi="宋体"/>
              </w:rPr>
              <w:t>2.1.1</w:t>
            </w:r>
          </w:p>
        </w:tc>
        <w:tc>
          <w:tcPr>
            <w:tcW w:w="1080"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rPr>
            </w:pPr>
            <w:r>
              <w:rPr>
                <w:rStyle w:val="18"/>
                <w:rFonts w:ascii="宋体" w:hAnsi="宋体"/>
              </w:rPr>
              <w:t>形式评审标准</w:t>
            </w:r>
          </w:p>
        </w:tc>
        <w:tc>
          <w:tcPr>
            <w:tcW w:w="2609" w:type="dxa"/>
            <w:tcBorders>
              <w:top w:val="single" w:color="000000" w:sz="4" w:space="0"/>
              <w:left w:val="single" w:color="000000" w:sz="4" w:space="0"/>
              <w:bottom w:val="single" w:color="000000" w:sz="4" w:space="0"/>
              <w:right w:val="single" w:color="000000" w:sz="4" w:space="0"/>
            </w:tcBorders>
            <w:vAlign w:val="center"/>
          </w:tcPr>
          <w:p>
            <w:pPr>
              <w:rPr>
                <w:rStyle w:val="18"/>
                <w:rFonts w:ascii="宋体" w:hAnsi="宋体"/>
              </w:rPr>
            </w:pPr>
            <w:r>
              <w:rPr>
                <w:rStyle w:val="18"/>
                <w:rFonts w:ascii="宋体" w:hAnsi="宋体"/>
              </w:rPr>
              <w:t>投标人名称</w:t>
            </w:r>
          </w:p>
        </w:tc>
        <w:tc>
          <w:tcPr>
            <w:tcW w:w="5128" w:type="dxa"/>
            <w:tcBorders>
              <w:top w:val="single" w:color="000000" w:sz="4" w:space="0"/>
              <w:left w:val="single" w:color="000000" w:sz="4" w:space="0"/>
              <w:bottom w:val="single" w:color="000000" w:sz="4" w:space="0"/>
              <w:right w:val="single" w:color="000000" w:sz="4" w:space="0"/>
            </w:tcBorders>
            <w:vAlign w:val="center"/>
          </w:tcPr>
          <w:p>
            <w:pPr>
              <w:rPr>
                <w:rStyle w:val="18"/>
                <w:rFonts w:ascii="宋体" w:hAnsi="宋体"/>
              </w:rPr>
            </w:pPr>
            <w:r>
              <w:rPr>
                <w:rStyle w:val="18"/>
                <w:rFonts w:ascii="宋体" w:hAnsi="宋体"/>
              </w:rPr>
              <w:t>投标人名称与营业执照、资质证书一致；不一致的，需提供有效证明材料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8" w:hRule="atLeast"/>
        </w:trPr>
        <w:tc>
          <w:tcPr>
            <w:tcW w:w="883" w:type="dxa"/>
            <w:vMerge w:val="continue"/>
            <w:tcBorders>
              <w:top w:val="single" w:color="000000" w:sz="4" w:space="0"/>
              <w:left w:val="single" w:color="000000" w:sz="4" w:space="0"/>
              <w:bottom w:val="single" w:color="000000" w:sz="4" w:space="0"/>
              <w:right w:val="single" w:color="000000" w:sz="4" w:space="0"/>
            </w:tcBorders>
          </w:tcPr>
          <w:p>
            <w:pPr>
              <w:rPr>
                <w:rStyle w:val="18"/>
                <w:rFonts w:ascii="宋体" w:hAnsi="宋体"/>
              </w:rPr>
            </w:pPr>
          </w:p>
        </w:tc>
        <w:tc>
          <w:tcPr>
            <w:tcW w:w="1080" w:type="dxa"/>
            <w:vMerge w:val="continue"/>
            <w:tcBorders>
              <w:top w:val="single" w:color="000000" w:sz="4" w:space="0"/>
              <w:left w:val="single" w:color="000000" w:sz="4" w:space="0"/>
              <w:bottom w:val="single" w:color="000000" w:sz="4" w:space="0"/>
              <w:right w:val="single" w:color="000000" w:sz="4" w:space="0"/>
            </w:tcBorders>
          </w:tcPr>
          <w:p>
            <w:pPr>
              <w:jc w:val="center"/>
              <w:rPr>
                <w:rStyle w:val="18"/>
                <w:rFonts w:ascii="宋体" w:hAnsi="宋体"/>
              </w:rPr>
            </w:pPr>
          </w:p>
        </w:tc>
        <w:tc>
          <w:tcPr>
            <w:tcW w:w="2609" w:type="dxa"/>
            <w:tcBorders>
              <w:top w:val="single" w:color="000000" w:sz="4" w:space="0"/>
              <w:left w:val="single" w:color="000000" w:sz="4" w:space="0"/>
              <w:bottom w:val="single" w:color="000000" w:sz="4" w:space="0"/>
              <w:right w:val="single" w:color="000000" w:sz="4" w:space="0"/>
            </w:tcBorders>
            <w:vAlign w:val="center"/>
          </w:tcPr>
          <w:p>
            <w:pPr>
              <w:rPr>
                <w:rStyle w:val="18"/>
                <w:rFonts w:ascii="宋体" w:hAnsi="宋体"/>
              </w:rPr>
            </w:pPr>
            <w:r>
              <w:rPr>
                <w:rStyle w:val="18"/>
                <w:rFonts w:ascii="宋体" w:hAnsi="宋体"/>
              </w:rPr>
              <w:t>投标文件签字盖章</w:t>
            </w:r>
          </w:p>
        </w:tc>
        <w:tc>
          <w:tcPr>
            <w:tcW w:w="5128" w:type="dxa"/>
            <w:tcBorders>
              <w:top w:val="single" w:color="000000" w:sz="4" w:space="0"/>
              <w:left w:val="single" w:color="000000" w:sz="4" w:space="0"/>
              <w:bottom w:val="single" w:color="000000" w:sz="4" w:space="0"/>
              <w:right w:val="single" w:color="000000" w:sz="4" w:space="0"/>
            </w:tcBorders>
            <w:vAlign w:val="center"/>
          </w:tcPr>
          <w:p>
            <w:pPr>
              <w:rPr>
                <w:rStyle w:val="18"/>
                <w:rFonts w:ascii="宋体" w:hAnsi="宋体"/>
              </w:rPr>
            </w:pPr>
            <w:r>
              <w:rPr>
                <w:rStyle w:val="18"/>
                <w:rFonts w:ascii="宋体" w:hAnsi="宋体"/>
              </w:rPr>
              <w:t>加盖投标人公章和企业法定代表人（或企业法定代表人委托代理人）印章（或签字）。如投标函加盖企业法定代表人委托代理人印章（或签字）的，委托代理人需有合法、有效的委托书（原件）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883" w:type="dxa"/>
            <w:vMerge w:val="continue"/>
            <w:tcBorders>
              <w:top w:val="single" w:color="000000" w:sz="4" w:space="0"/>
              <w:left w:val="single" w:color="000000" w:sz="4" w:space="0"/>
              <w:bottom w:val="single" w:color="000000" w:sz="4" w:space="0"/>
              <w:right w:val="single" w:color="000000" w:sz="4" w:space="0"/>
            </w:tcBorders>
          </w:tcPr>
          <w:p>
            <w:pPr>
              <w:rPr>
                <w:rStyle w:val="18"/>
                <w:rFonts w:ascii="宋体" w:hAnsi="宋体"/>
              </w:rPr>
            </w:pPr>
          </w:p>
        </w:tc>
        <w:tc>
          <w:tcPr>
            <w:tcW w:w="1080" w:type="dxa"/>
            <w:vMerge w:val="continue"/>
            <w:tcBorders>
              <w:top w:val="single" w:color="000000" w:sz="4" w:space="0"/>
              <w:left w:val="single" w:color="000000" w:sz="4" w:space="0"/>
              <w:bottom w:val="single" w:color="000000" w:sz="4" w:space="0"/>
              <w:right w:val="single" w:color="000000" w:sz="4" w:space="0"/>
            </w:tcBorders>
          </w:tcPr>
          <w:p>
            <w:pPr>
              <w:jc w:val="center"/>
              <w:rPr>
                <w:rStyle w:val="18"/>
                <w:rFonts w:ascii="宋体" w:hAnsi="宋体"/>
              </w:rPr>
            </w:pPr>
          </w:p>
        </w:tc>
        <w:tc>
          <w:tcPr>
            <w:tcW w:w="2609" w:type="dxa"/>
            <w:tcBorders>
              <w:top w:val="single" w:color="000000" w:sz="4" w:space="0"/>
              <w:left w:val="single" w:color="000000" w:sz="4" w:space="0"/>
              <w:bottom w:val="single" w:color="000000" w:sz="4" w:space="0"/>
              <w:right w:val="single" w:color="000000" w:sz="4" w:space="0"/>
            </w:tcBorders>
            <w:vAlign w:val="center"/>
          </w:tcPr>
          <w:p>
            <w:pPr>
              <w:textAlignment w:val="center"/>
              <w:rPr>
                <w:rStyle w:val="18"/>
                <w:rFonts w:ascii="宋体" w:hAnsi="宋体"/>
              </w:rPr>
            </w:pPr>
            <w:r>
              <w:rPr>
                <w:rStyle w:val="18"/>
                <w:rFonts w:ascii="宋体" w:hAnsi="宋体"/>
              </w:rPr>
              <w:t>投标文件的组成</w:t>
            </w:r>
          </w:p>
        </w:tc>
        <w:tc>
          <w:tcPr>
            <w:tcW w:w="5128" w:type="dxa"/>
            <w:tcBorders>
              <w:top w:val="single" w:color="000000" w:sz="4" w:space="0"/>
              <w:left w:val="single" w:color="000000" w:sz="4" w:space="0"/>
              <w:bottom w:val="single" w:color="000000" w:sz="4" w:space="0"/>
              <w:right w:val="single" w:color="000000" w:sz="4" w:space="0"/>
            </w:tcBorders>
            <w:vAlign w:val="center"/>
          </w:tcPr>
          <w:p>
            <w:pPr>
              <w:textAlignment w:val="center"/>
              <w:rPr>
                <w:rStyle w:val="18"/>
                <w:rFonts w:ascii="宋体" w:hAnsi="宋体"/>
              </w:rPr>
            </w:pPr>
            <w:r>
              <w:rPr>
                <w:rStyle w:val="18"/>
                <w:rFonts w:ascii="宋体" w:hAnsi="宋体"/>
              </w:rPr>
              <w:t>符合第二章“投标人须知”第3.1.1项规定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883" w:type="dxa"/>
            <w:vMerge w:val="continue"/>
            <w:tcBorders>
              <w:top w:val="single" w:color="000000" w:sz="4" w:space="0"/>
              <w:left w:val="single" w:color="000000" w:sz="4" w:space="0"/>
              <w:bottom w:val="single" w:color="000000" w:sz="4" w:space="0"/>
              <w:right w:val="single" w:color="000000" w:sz="4" w:space="0"/>
            </w:tcBorders>
          </w:tcPr>
          <w:p>
            <w:pPr>
              <w:rPr>
                <w:rStyle w:val="18"/>
                <w:rFonts w:ascii="宋体" w:hAnsi="宋体"/>
              </w:rPr>
            </w:pPr>
          </w:p>
        </w:tc>
        <w:tc>
          <w:tcPr>
            <w:tcW w:w="1080" w:type="dxa"/>
            <w:vMerge w:val="continue"/>
            <w:tcBorders>
              <w:top w:val="single" w:color="000000" w:sz="4" w:space="0"/>
              <w:left w:val="single" w:color="000000" w:sz="4" w:space="0"/>
              <w:bottom w:val="single" w:color="000000" w:sz="4" w:space="0"/>
              <w:right w:val="single" w:color="000000" w:sz="4" w:space="0"/>
            </w:tcBorders>
          </w:tcPr>
          <w:p>
            <w:pPr>
              <w:jc w:val="center"/>
              <w:rPr>
                <w:rStyle w:val="18"/>
                <w:rFonts w:ascii="宋体" w:hAnsi="宋体"/>
              </w:rPr>
            </w:pPr>
          </w:p>
        </w:tc>
        <w:tc>
          <w:tcPr>
            <w:tcW w:w="2609" w:type="dxa"/>
            <w:tcBorders>
              <w:top w:val="single" w:color="000000" w:sz="4" w:space="0"/>
              <w:left w:val="single" w:color="000000" w:sz="4" w:space="0"/>
              <w:bottom w:val="single" w:color="000000" w:sz="4" w:space="0"/>
              <w:right w:val="single" w:color="000000" w:sz="4" w:space="0"/>
            </w:tcBorders>
            <w:vAlign w:val="center"/>
          </w:tcPr>
          <w:p>
            <w:pPr>
              <w:textAlignment w:val="center"/>
              <w:rPr>
                <w:rStyle w:val="18"/>
                <w:rFonts w:ascii="宋体" w:hAnsi="宋体"/>
              </w:rPr>
            </w:pPr>
            <w:r>
              <w:rPr>
                <w:rStyle w:val="18"/>
                <w:rFonts w:ascii="宋体" w:hAnsi="宋体"/>
              </w:rPr>
              <w:t>投标文件及报价唯一</w:t>
            </w:r>
          </w:p>
        </w:tc>
        <w:tc>
          <w:tcPr>
            <w:tcW w:w="5128" w:type="dxa"/>
            <w:tcBorders>
              <w:top w:val="single" w:color="000000" w:sz="4" w:space="0"/>
              <w:left w:val="single" w:color="000000" w:sz="4" w:space="0"/>
              <w:bottom w:val="single" w:color="000000" w:sz="4" w:space="0"/>
              <w:right w:val="single" w:color="000000" w:sz="4" w:space="0"/>
            </w:tcBorders>
            <w:vAlign w:val="center"/>
          </w:tcPr>
          <w:p>
            <w:pPr>
              <w:textAlignment w:val="center"/>
              <w:rPr>
                <w:rStyle w:val="18"/>
                <w:rFonts w:ascii="宋体" w:hAnsi="宋体"/>
              </w:rPr>
            </w:pPr>
            <w:r>
              <w:rPr>
                <w:rStyle w:val="18"/>
                <w:rFonts w:ascii="宋体" w:hAnsi="宋体"/>
              </w:rPr>
              <w:t>只能有一个投标文件及有效报价（招标文件要求提交备选投标的除外）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883" w:type="dxa"/>
            <w:vMerge w:val="continue"/>
            <w:tcBorders>
              <w:top w:val="single" w:color="000000" w:sz="4" w:space="0"/>
              <w:left w:val="single" w:color="000000" w:sz="4" w:space="0"/>
              <w:bottom w:val="single" w:color="000000" w:sz="4" w:space="0"/>
              <w:right w:val="single" w:color="000000" w:sz="4" w:space="0"/>
            </w:tcBorders>
          </w:tcPr>
          <w:p>
            <w:pPr>
              <w:rPr>
                <w:rStyle w:val="18"/>
                <w:rFonts w:ascii="宋体" w:hAnsi="宋体"/>
              </w:rPr>
            </w:pPr>
          </w:p>
        </w:tc>
        <w:tc>
          <w:tcPr>
            <w:tcW w:w="1080" w:type="dxa"/>
            <w:vMerge w:val="continue"/>
            <w:tcBorders>
              <w:top w:val="single" w:color="000000" w:sz="4" w:space="0"/>
              <w:left w:val="single" w:color="000000" w:sz="4" w:space="0"/>
              <w:bottom w:val="single" w:color="000000" w:sz="4" w:space="0"/>
              <w:right w:val="single" w:color="000000" w:sz="4" w:space="0"/>
            </w:tcBorders>
          </w:tcPr>
          <w:p>
            <w:pPr>
              <w:jc w:val="center"/>
              <w:rPr>
                <w:rStyle w:val="18"/>
                <w:rFonts w:ascii="宋体" w:hAnsi="宋体"/>
              </w:rPr>
            </w:pPr>
          </w:p>
        </w:tc>
        <w:tc>
          <w:tcPr>
            <w:tcW w:w="2609" w:type="dxa"/>
            <w:tcBorders>
              <w:top w:val="single" w:color="000000" w:sz="4" w:space="0"/>
              <w:left w:val="single" w:color="000000" w:sz="4" w:space="0"/>
              <w:bottom w:val="single" w:color="000000" w:sz="4" w:space="0"/>
              <w:right w:val="single" w:color="000000" w:sz="4" w:space="0"/>
            </w:tcBorders>
            <w:vAlign w:val="center"/>
          </w:tcPr>
          <w:p>
            <w:pPr>
              <w:ind w:firstLine="420" w:firstLineChars="200"/>
              <w:rPr>
                <w:rStyle w:val="18"/>
                <w:rFonts w:ascii="宋体" w:hAnsi="宋体"/>
              </w:rPr>
            </w:pPr>
            <w:r>
              <w:rPr>
                <w:rStyle w:val="18"/>
                <w:rFonts w:ascii="宋体" w:hAnsi="宋体"/>
              </w:rPr>
              <w:t>……</w:t>
            </w:r>
          </w:p>
        </w:tc>
        <w:tc>
          <w:tcPr>
            <w:tcW w:w="5128" w:type="dxa"/>
            <w:tcBorders>
              <w:top w:val="single" w:color="000000" w:sz="4" w:space="0"/>
              <w:left w:val="single" w:color="000000" w:sz="4" w:space="0"/>
              <w:bottom w:val="single" w:color="000000" w:sz="4" w:space="0"/>
              <w:right w:val="single" w:color="000000" w:sz="4" w:space="0"/>
            </w:tcBorders>
            <w:vAlign w:val="center"/>
          </w:tcPr>
          <w:p>
            <w:pPr>
              <w:ind w:firstLine="420" w:firstLineChars="200"/>
              <w:rPr>
                <w:rStyle w:val="18"/>
                <w:rFonts w:ascii="宋体" w:hAnsi="宋体"/>
              </w:rPr>
            </w:pPr>
            <w:r>
              <w:rPr>
                <w:rStyle w:val="18"/>
                <w:rFonts w:ascii="宋体" w:hAnsi="宋体"/>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883"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rPr>
            </w:pPr>
            <w:r>
              <w:rPr>
                <w:rStyle w:val="18"/>
                <w:rFonts w:ascii="宋体" w:hAnsi="宋体"/>
              </w:rPr>
              <w:t>2.1.2</w:t>
            </w:r>
          </w:p>
        </w:tc>
        <w:tc>
          <w:tcPr>
            <w:tcW w:w="1080"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rPr>
            </w:pPr>
            <w:r>
              <w:rPr>
                <w:rStyle w:val="18"/>
                <w:rFonts w:ascii="宋体" w:hAnsi="宋体"/>
              </w:rPr>
              <w:t>资格评审标准</w:t>
            </w:r>
          </w:p>
          <w:p>
            <w:pPr>
              <w:jc w:val="center"/>
              <w:rPr>
                <w:rStyle w:val="18"/>
                <w:rFonts w:ascii="宋体" w:hAnsi="宋体"/>
              </w:rPr>
            </w:pPr>
          </w:p>
        </w:tc>
        <w:tc>
          <w:tcPr>
            <w:tcW w:w="2609" w:type="dxa"/>
            <w:tcBorders>
              <w:top w:val="single" w:color="000000" w:sz="4" w:space="0"/>
              <w:left w:val="single" w:color="000000" w:sz="4" w:space="0"/>
              <w:bottom w:val="single" w:color="000000" w:sz="4" w:space="0"/>
              <w:right w:val="single" w:color="000000" w:sz="4" w:space="0"/>
            </w:tcBorders>
            <w:vAlign w:val="center"/>
          </w:tcPr>
          <w:p>
            <w:pPr>
              <w:rPr>
                <w:rStyle w:val="18"/>
                <w:rFonts w:ascii="宋体" w:hAnsi="宋体"/>
              </w:rPr>
            </w:pPr>
            <w:r>
              <w:rPr>
                <w:rStyle w:val="18"/>
                <w:rFonts w:ascii="宋体" w:hAnsi="宋体"/>
              </w:rPr>
              <w:t>营业执照</w:t>
            </w:r>
          </w:p>
        </w:tc>
        <w:tc>
          <w:tcPr>
            <w:tcW w:w="5128" w:type="dxa"/>
            <w:tcBorders>
              <w:top w:val="single" w:color="000000" w:sz="4" w:space="0"/>
              <w:left w:val="single" w:color="000000" w:sz="4" w:space="0"/>
              <w:bottom w:val="single" w:color="000000" w:sz="4" w:space="0"/>
              <w:right w:val="single" w:color="000000" w:sz="4" w:space="0"/>
            </w:tcBorders>
            <w:vAlign w:val="center"/>
          </w:tcPr>
          <w:p>
            <w:pPr>
              <w:rPr>
                <w:rStyle w:val="18"/>
                <w:rFonts w:ascii="宋体" w:hAnsi="宋体"/>
              </w:rPr>
            </w:pPr>
            <w:r>
              <w:rPr>
                <w:rStyle w:val="18"/>
                <w:rFonts w:ascii="宋体" w:hAnsi="宋体"/>
              </w:rPr>
              <w:t>具备有效的营业执照</w:t>
            </w:r>
            <w:r>
              <w:rPr>
                <w:rStyle w:val="18"/>
                <w:rFonts w:hint="eastAsia" w:ascii="宋体" w:hAnsi="宋体"/>
              </w:rPr>
              <w:t>、资质证书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8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rPr>
            </w:pPr>
          </w:p>
        </w:tc>
        <w:tc>
          <w:tcPr>
            <w:tcW w:w="2609" w:type="dxa"/>
            <w:tcBorders>
              <w:top w:val="single" w:color="000000" w:sz="4" w:space="0"/>
              <w:left w:val="single" w:color="000000" w:sz="4" w:space="0"/>
              <w:bottom w:val="single" w:color="000000" w:sz="4" w:space="0"/>
              <w:right w:val="single" w:color="000000" w:sz="4" w:space="0"/>
            </w:tcBorders>
            <w:vAlign w:val="center"/>
          </w:tcPr>
          <w:p>
            <w:pPr>
              <w:rPr>
                <w:rStyle w:val="18"/>
                <w:rFonts w:ascii="宋体" w:hAnsi="宋体"/>
              </w:rPr>
            </w:pPr>
            <w:r>
              <w:rPr>
                <w:rStyle w:val="18"/>
                <w:rFonts w:ascii="宋体" w:hAnsi="宋体"/>
              </w:rPr>
              <w:t>联合体投标人</w:t>
            </w:r>
          </w:p>
        </w:tc>
        <w:tc>
          <w:tcPr>
            <w:tcW w:w="5128" w:type="dxa"/>
            <w:tcBorders>
              <w:top w:val="single" w:color="000000" w:sz="4" w:space="0"/>
              <w:left w:val="single" w:color="000000" w:sz="4" w:space="0"/>
              <w:bottom w:val="single" w:color="000000" w:sz="4" w:space="0"/>
              <w:right w:val="single" w:color="000000" w:sz="4" w:space="0"/>
            </w:tcBorders>
            <w:vAlign w:val="center"/>
          </w:tcPr>
          <w:p>
            <w:pPr>
              <w:rPr>
                <w:rStyle w:val="18"/>
                <w:rFonts w:ascii="宋体" w:hAnsi="宋体"/>
              </w:rPr>
            </w:pPr>
            <w:r>
              <w:rPr>
                <w:rStyle w:val="18"/>
                <w:rFonts w:ascii="宋体" w:hAnsi="宋体"/>
              </w:rPr>
              <w:t xml:space="preserve">符合第二章“投标人须知”第1.4.2 项规定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8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rPr>
            </w:pPr>
          </w:p>
        </w:tc>
        <w:tc>
          <w:tcPr>
            <w:tcW w:w="2609" w:type="dxa"/>
            <w:tcBorders>
              <w:top w:val="single" w:color="000000" w:sz="4" w:space="0"/>
              <w:left w:val="single" w:color="000000" w:sz="4" w:space="0"/>
              <w:bottom w:val="single" w:color="000000" w:sz="4" w:space="0"/>
              <w:right w:val="single" w:color="000000" w:sz="4" w:space="0"/>
            </w:tcBorders>
            <w:vAlign w:val="center"/>
          </w:tcPr>
          <w:p>
            <w:pPr>
              <w:rPr>
                <w:rStyle w:val="18"/>
                <w:rFonts w:ascii="宋体" w:hAnsi="宋体"/>
              </w:rPr>
            </w:pPr>
            <w:r>
              <w:rPr>
                <w:rStyle w:val="18"/>
                <w:rFonts w:ascii="宋体" w:hAnsi="宋体"/>
              </w:rPr>
              <w:t>……</w:t>
            </w:r>
          </w:p>
        </w:tc>
        <w:tc>
          <w:tcPr>
            <w:tcW w:w="5128" w:type="dxa"/>
            <w:tcBorders>
              <w:top w:val="single" w:color="000000" w:sz="4" w:space="0"/>
              <w:left w:val="single" w:color="000000" w:sz="4" w:space="0"/>
              <w:bottom w:val="single" w:color="000000" w:sz="4" w:space="0"/>
              <w:right w:val="single" w:color="000000" w:sz="4" w:space="0"/>
            </w:tcBorders>
            <w:vAlign w:val="center"/>
          </w:tcPr>
          <w:p>
            <w:pPr>
              <w:rPr>
                <w:rStyle w:val="18"/>
                <w:rFonts w:ascii="宋体" w:hAnsi="宋体"/>
              </w:rPr>
            </w:pPr>
            <w:r>
              <w:rPr>
                <w:rStyle w:val="18"/>
                <w:rFonts w:ascii="宋体" w:hAnsi="宋体"/>
              </w:rPr>
              <w:t>符合第二章“投标人须知”第1.4.1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8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rPr>
            </w:pPr>
          </w:p>
        </w:tc>
        <w:tc>
          <w:tcPr>
            <w:tcW w:w="2609" w:type="dxa"/>
            <w:tcBorders>
              <w:top w:val="single" w:color="000000" w:sz="4" w:space="0"/>
              <w:left w:val="single" w:color="000000" w:sz="4" w:space="0"/>
              <w:bottom w:val="single" w:color="000000" w:sz="4" w:space="0"/>
              <w:right w:val="single" w:color="000000" w:sz="4" w:space="0"/>
            </w:tcBorders>
            <w:vAlign w:val="center"/>
          </w:tcPr>
          <w:p>
            <w:pPr>
              <w:rPr>
                <w:rStyle w:val="18"/>
                <w:rFonts w:ascii="宋体" w:hAnsi="宋体"/>
              </w:rPr>
            </w:pPr>
            <w:r>
              <w:rPr>
                <w:rStyle w:val="18"/>
                <w:rFonts w:ascii="宋体" w:hAnsi="宋体"/>
              </w:rPr>
              <w:t>……</w:t>
            </w:r>
          </w:p>
        </w:tc>
        <w:tc>
          <w:tcPr>
            <w:tcW w:w="5128" w:type="dxa"/>
            <w:tcBorders>
              <w:top w:val="single" w:color="000000" w:sz="4" w:space="0"/>
              <w:left w:val="single" w:color="000000" w:sz="4" w:space="0"/>
              <w:bottom w:val="single" w:color="000000" w:sz="4" w:space="0"/>
              <w:right w:val="single" w:color="000000" w:sz="4" w:space="0"/>
            </w:tcBorders>
            <w:vAlign w:val="center"/>
          </w:tcPr>
          <w:p>
            <w:pPr>
              <w:rPr>
                <w:rStyle w:val="18"/>
                <w:rFonts w:ascii="宋体" w:hAnsi="宋体"/>
              </w:rPr>
            </w:pPr>
            <w:r>
              <w:rPr>
                <w:rStyle w:val="18"/>
                <w:rFonts w:ascii="宋体" w:hAnsi="宋体"/>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883"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rPr>
            </w:pPr>
            <w:r>
              <w:rPr>
                <w:rStyle w:val="18"/>
                <w:rFonts w:ascii="宋体" w:hAnsi="宋体"/>
              </w:rPr>
              <w:t>2.1.3</w:t>
            </w:r>
          </w:p>
        </w:tc>
        <w:tc>
          <w:tcPr>
            <w:tcW w:w="1080"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rPr>
            </w:pPr>
            <w:r>
              <w:rPr>
                <w:rStyle w:val="18"/>
                <w:rFonts w:ascii="宋体" w:hAnsi="宋体"/>
              </w:rPr>
              <w:t>响应性评审标准</w:t>
            </w:r>
          </w:p>
          <w:p>
            <w:pPr>
              <w:jc w:val="center"/>
              <w:rPr>
                <w:rStyle w:val="18"/>
                <w:rFonts w:ascii="宋体" w:hAnsi="宋体"/>
              </w:rPr>
            </w:pPr>
          </w:p>
        </w:tc>
        <w:tc>
          <w:tcPr>
            <w:tcW w:w="2609" w:type="dxa"/>
            <w:tcBorders>
              <w:top w:val="single" w:color="000000" w:sz="4" w:space="0"/>
              <w:left w:val="single" w:color="000000" w:sz="4" w:space="0"/>
              <w:bottom w:val="single" w:color="000000" w:sz="4" w:space="0"/>
              <w:right w:val="single" w:color="000000" w:sz="4" w:space="0"/>
            </w:tcBorders>
          </w:tcPr>
          <w:p>
            <w:pPr>
              <w:rPr>
                <w:rStyle w:val="18"/>
                <w:rFonts w:ascii="宋体" w:hAnsi="宋体"/>
              </w:rPr>
            </w:pPr>
            <w:r>
              <w:rPr>
                <w:rStyle w:val="18"/>
                <w:rFonts w:ascii="宋体" w:hAnsi="宋体"/>
              </w:rPr>
              <w:t>投标内容</w:t>
            </w:r>
          </w:p>
        </w:tc>
        <w:tc>
          <w:tcPr>
            <w:tcW w:w="5128" w:type="dxa"/>
            <w:tcBorders>
              <w:top w:val="single" w:color="000000" w:sz="4" w:space="0"/>
              <w:left w:val="single" w:color="000000" w:sz="4" w:space="0"/>
              <w:bottom w:val="single" w:color="000000" w:sz="4" w:space="0"/>
              <w:right w:val="single" w:color="000000" w:sz="4" w:space="0"/>
            </w:tcBorders>
            <w:vAlign w:val="center"/>
          </w:tcPr>
          <w:p>
            <w:pPr>
              <w:rPr>
                <w:rStyle w:val="18"/>
                <w:rFonts w:ascii="宋体" w:hAnsi="宋体"/>
              </w:rPr>
            </w:pPr>
            <w:r>
              <w:rPr>
                <w:rStyle w:val="18"/>
                <w:rFonts w:ascii="宋体" w:hAnsi="宋体"/>
              </w:rPr>
              <w:t>符合第二章“投标人须知”第1.3.1项规定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8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rPr>
            </w:pPr>
          </w:p>
        </w:tc>
        <w:tc>
          <w:tcPr>
            <w:tcW w:w="2609" w:type="dxa"/>
            <w:tcBorders>
              <w:top w:val="single" w:color="000000" w:sz="4" w:space="0"/>
              <w:left w:val="single" w:color="000000" w:sz="4" w:space="0"/>
              <w:bottom w:val="single" w:color="000000" w:sz="4" w:space="0"/>
              <w:right w:val="single" w:color="000000" w:sz="4" w:space="0"/>
            </w:tcBorders>
            <w:vAlign w:val="center"/>
          </w:tcPr>
          <w:p>
            <w:pPr>
              <w:rPr>
                <w:rStyle w:val="18"/>
                <w:rFonts w:ascii="宋体" w:hAnsi="宋体"/>
              </w:rPr>
            </w:pPr>
            <w:r>
              <w:rPr>
                <w:rStyle w:val="18"/>
                <w:rFonts w:ascii="宋体" w:hAnsi="宋体"/>
              </w:rPr>
              <w:t>交货期或交付使用期</w:t>
            </w:r>
          </w:p>
        </w:tc>
        <w:tc>
          <w:tcPr>
            <w:tcW w:w="5128" w:type="dxa"/>
            <w:tcBorders>
              <w:top w:val="single" w:color="000000" w:sz="4" w:space="0"/>
              <w:left w:val="single" w:color="000000" w:sz="4" w:space="0"/>
              <w:bottom w:val="single" w:color="000000" w:sz="4" w:space="0"/>
              <w:right w:val="single" w:color="000000" w:sz="4" w:space="0"/>
            </w:tcBorders>
            <w:vAlign w:val="center"/>
          </w:tcPr>
          <w:p>
            <w:pPr>
              <w:rPr>
                <w:rStyle w:val="18"/>
                <w:rFonts w:ascii="宋体" w:hAnsi="宋体"/>
              </w:rPr>
            </w:pPr>
            <w:r>
              <w:rPr>
                <w:rStyle w:val="18"/>
                <w:rFonts w:ascii="宋体" w:hAnsi="宋体"/>
              </w:rPr>
              <w:t>符合第二章“投标人须知”第1.3.2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8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rPr>
            </w:pPr>
          </w:p>
        </w:tc>
        <w:tc>
          <w:tcPr>
            <w:tcW w:w="2609" w:type="dxa"/>
            <w:tcBorders>
              <w:top w:val="single" w:color="000000" w:sz="4" w:space="0"/>
              <w:left w:val="single" w:color="000000" w:sz="4" w:space="0"/>
              <w:bottom w:val="single" w:color="000000" w:sz="4" w:space="0"/>
              <w:right w:val="single" w:color="000000" w:sz="4" w:space="0"/>
            </w:tcBorders>
            <w:vAlign w:val="center"/>
          </w:tcPr>
          <w:p>
            <w:pPr>
              <w:rPr>
                <w:rStyle w:val="18"/>
                <w:rFonts w:ascii="宋体" w:hAnsi="宋体"/>
              </w:rPr>
            </w:pPr>
            <w:r>
              <w:rPr>
                <w:rStyle w:val="18"/>
                <w:rFonts w:ascii="宋体" w:hAnsi="宋体"/>
              </w:rPr>
              <w:t>质量要求</w:t>
            </w:r>
          </w:p>
        </w:tc>
        <w:tc>
          <w:tcPr>
            <w:tcW w:w="5128" w:type="dxa"/>
            <w:tcBorders>
              <w:top w:val="single" w:color="000000" w:sz="4" w:space="0"/>
              <w:left w:val="single" w:color="000000" w:sz="4" w:space="0"/>
              <w:bottom w:val="single" w:color="000000" w:sz="4" w:space="0"/>
              <w:right w:val="single" w:color="000000" w:sz="4" w:space="0"/>
            </w:tcBorders>
            <w:vAlign w:val="center"/>
          </w:tcPr>
          <w:p>
            <w:pPr>
              <w:rPr>
                <w:rStyle w:val="18"/>
                <w:rFonts w:ascii="宋体" w:hAnsi="宋体"/>
              </w:rPr>
            </w:pPr>
            <w:r>
              <w:rPr>
                <w:rStyle w:val="18"/>
                <w:rFonts w:ascii="宋体" w:hAnsi="宋体"/>
              </w:rPr>
              <w:t>符合第二章“投标人须知”第1.3.4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8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rPr>
            </w:pPr>
          </w:p>
        </w:tc>
        <w:tc>
          <w:tcPr>
            <w:tcW w:w="2609" w:type="dxa"/>
            <w:tcBorders>
              <w:top w:val="single" w:color="000000" w:sz="4" w:space="0"/>
              <w:left w:val="single" w:color="000000" w:sz="4" w:space="0"/>
              <w:bottom w:val="single" w:color="000000" w:sz="4" w:space="0"/>
              <w:right w:val="single" w:color="000000" w:sz="4" w:space="0"/>
            </w:tcBorders>
            <w:vAlign w:val="center"/>
          </w:tcPr>
          <w:p>
            <w:pPr>
              <w:rPr>
                <w:rStyle w:val="18"/>
                <w:rFonts w:ascii="宋体" w:hAnsi="宋体"/>
              </w:rPr>
            </w:pPr>
            <w:r>
              <w:rPr>
                <w:rStyle w:val="18"/>
                <w:rFonts w:ascii="宋体" w:hAnsi="宋体"/>
              </w:rPr>
              <w:t>投标保证金</w:t>
            </w:r>
          </w:p>
        </w:tc>
        <w:tc>
          <w:tcPr>
            <w:tcW w:w="5128" w:type="dxa"/>
            <w:tcBorders>
              <w:top w:val="single" w:color="000000" w:sz="4" w:space="0"/>
              <w:left w:val="single" w:color="000000" w:sz="4" w:space="0"/>
              <w:bottom w:val="single" w:color="000000" w:sz="4" w:space="0"/>
              <w:right w:val="single" w:color="000000" w:sz="4" w:space="0"/>
            </w:tcBorders>
            <w:vAlign w:val="center"/>
          </w:tcPr>
          <w:p>
            <w:pPr>
              <w:rPr>
                <w:rStyle w:val="18"/>
                <w:rFonts w:ascii="宋体" w:hAnsi="宋体"/>
              </w:rPr>
            </w:pPr>
            <w:r>
              <w:rPr>
                <w:rStyle w:val="18"/>
                <w:rFonts w:ascii="宋体" w:hAnsi="宋体"/>
              </w:rPr>
              <w:t>符合第二章“投标人须知”第3.4.1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883" w:type="dxa"/>
            <w:vMerge w:val="continue"/>
            <w:tcBorders>
              <w:top w:val="single" w:color="000000" w:sz="4" w:space="0"/>
              <w:left w:val="single" w:color="000000" w:sz="4" w:space="0"/>
              <w:bottom w:val="single" w:color="000000" w:sz="4" w:space="0"/>
              <w:right w:val="single" w:color="000000" w:sz="4" w:space="0"/>
            </w:tcBorders>
          </w:tcPr>
          <w:p>
            <w:pPr>
              <w:rPr>
                <w:rStyle w:val="18"/>
                <w:rFonts w:ascii="宋体" w:hAnsi="宋体"/>
              </w:rPr>
            </w:pPr>
          </w:p>
        </w:tc>
        <w:tc>
          <w:tcPr>
            <w:tcW w:w="1080" w:type="dxa"/>
            <w:vMerge w:val="continue"/>
            <w:tcBorders>
              <w:top w:val="single" w:color="000000" w:sz="4" w:space="0"/>
              <w:left w:val="single" w:color="000000" w:sz="4" w:space="0"/>
              <w:bottom w:val="single" w:color="000000" w:sz="4" w:space="0"/>
              <w:right w:val="single" w:color="000000" w:sz="4" w:space="0"/>
            </w:tcBorders>
          </w:tcPr>
          <w:p>
            <w:pPr>
              <w:rPr>
                <w:rStyle w:val="18"/>
                <w:rFonts w:ascii="宋体" w:hAnsi="宋体"/>
              </w:rPr>
            </w:pPr>
          </w:p>
        </w:tc>
        <w:tc>
          <w:tcPr>
            <w:tcW w:w="2609" w:type="dxa"/>
            <w:tcBorders>
              <w:top w:val="single" w:color="000000" w:sz="4" w:space="0"/>
              <w:left w:val="single" w:color="000000" w:sz="4" w:space="0"/>
              <w:bottom w:val="single" w:color="000000" w:sz="4" w:space="0"/>
              <w:right w:val="single" w:color="000000" w:sz="4" w:space="0"/>
            </w:tcBorders>
            <w:vAlign w:val="center"/>
          </w:tcPr>
          <w:p>
            <w:pPr>
              <w:rPr>
                <w:rStyle w:val="18"/>
                <w:rFonts w:ascii="宋体" w:hAnsi="宋体"/>
              </w:rPr>
            </w:pPr>
            <w:r>
              <w:rPr>
                <w:rStyle w:val="18"/>
                <w:rFonts w:ascii="宋体" w:hAnsi="宋体"/>
              </w:rPr>
              <w:t>投标货物清单</w:t>
            </w:r>
          </w:p>
        </w:tc>
        <w:tc>
          <w:tcPr>
            <w:tcW w:w="5128" w:type="dxa"/>
            <w:tcBorders>
              <w:top w:val="single" w:color="000000" w:sz="4" w:space="0"/>
              <w:left w:val="single" w:color="000000" w:sz="4" w:space="0"/>
              <w:bottom w:val="single" w:color="000000" w:sz="4" w:space="0"/>
              <w:right w:val="single" w:color="000000" w:sz="4" w:space="0"/>
            </w:tcBorders>
            <w:vAlign w:val="center"/>
          </w:tcPr>
          <w:p>
            <w:pPr>
              <w:rPr>
                <w:rStyle w:val="18"/>
                <w:rFonts w:ascii="宋体" w:hAnsi="宋体"/>
              </w:rPr>
            </w:pPr>
            <w:r>
              <w:rPr>
                <w:rStyle w:val="18"/>
                <w:rFonts w:ascii="宋体" w:hAnsi="宋体"/>
              </w:rPr>
              <w:t>符合第五章“货物清单”给出的范围及数量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883" w:type="dxa"/>
            <w:vMerge w:val="continue"/>
            <w:tcBorders>
              <w:top w:val="single" w:color="000000" w:sz="4" w:space="0"/>
              <w:left w:val="single" w:color="000000" w:sz="4" w:space="0"/>
              <w:bottom w:val="single" w:color="000000" w:sz="4" w:space="0"/>
              <w:right w:val="single" w:color="000000" w:sz="4" w:space="0"/>
            </w:tcBorders>
          </w:tcPr>
          <w:p>
            <w:pPr>
              <w:rPr>
                <w:rStyle w:val="18"/>
                <w:rFonts w:ascii="宋体" w:hAnsi="宋体"/>
              </w:rPr>
            </w:pPr>
          </w:p>
        </w:tc>
        <w:tc>
          <w:tcPr>
            <w:tcW w:w="1080" w:type="dxa"/>
            <w:vMerge w:val="continue"/>
            <w:tcBorders>
              <w:top w:val="single" w:color="000000" w:sz="4" w:space="0"/>
              <w:left w:val="single" w:color="000000" w:sz="4" w:space="0"/>
              <w:bottom w:val="single" w:color="000000" w:sz="4" w:space="0"/>
              <w:right w:val="single" w:color="000000" w:sz="4" w:space="0"/>
            </w:tcBorders>
          </w:tcPr>
          <w:p>
            <w:pPr>
              <w:rPr>
                <w:rStyle w:val="18"/>
                <w:rFonts w:ascii="宋体" w:hAnsi="宋体"/>
              </w:rPr>
            </w:pPr>
          </w:p>
        </w:tc>
        <w:tc>
          <w:tcPr>
            <w:tcW w:w="2609" w:type="dxa"/>
            <w:tcBorders>
              <w:top w:val="single" w:color="000000" w:sz="4" w:space="0"/>
              <w:left w:val="single" w:color="000000" w:sz="4" w:space="0"/>
              <w:bottom w:val="single" w:color="000000" w:sz="4" w:space="0"/>
              <w:right w:val="single" w:color="000000" w:sz="4" w:space="0"/>
            </w:tcBorders>
          </w:tcPr>
          <w:p>
            <w:pPr>
              <w:ind w:firstLine="2"/>
              <w:rPr>
                <w:rStyle w:val="18"/>
                <w:rFonts w:ascii="宋体" w:hAnsi="宋体"/>
              </w:rPr>
            </w:pPr>
            <w:r>
              <w:rPr>
                <w:rStyle w:val="18"/>
                <w:rFonts w:ascii="宋体" w:hAnsi="宋体"/>
              </w:rPr>
              <w:t>……</w:t>
            </w:r>
          </w:p>
        </w:tc>
        <w:tc>
          <w:tcPr>
            <w:tcW w:w="5128" w:type="dxa"/>
            <w:tcBorders>
              <w:top w:val="single" w:color="000000" w:sz="4" w:space="0"/>
              <w:left w:val="single" w:color="000000" w:sz="4" w:space="0"/>
              <w:bottom w:val="single" w:color="000000" w:sz="4" w:space="0"/>
              <w:right w:val="single" w:color="000000" w:sz="4" w:space="0"/>
            </w:tcBorders>
            <w:vAlign w:val="center"/>
          </w:tcPr>
          <w:p>
            <w:pPr>
              <w:rPr>
                <w:rStyle w:val="18"/>
                <w:rFonts w:ascii="宋体" w:hAnsi="宋体"/>
              </w:rPr>
            </w:pPr>
            <w:r>
              <w:rPr>
                <w:rStyle w:val="18"/>
                <w:rFonts w:ascii="宋体" w:hAnsi="宋体"/>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883" w:type="dxa"/>
            <w:vMerge w:val="continue"/>
            <w:tcBorders>
              <w:top w:val="single" w:color="000000" w:sz="4" w:space="0"/>
              <w:left w:val="single" w:color="000000" w:sz="4" w:space="0"/>
              <w:bottom w:val="single" w:color="000000" w:sz="4" w:space="0"/>
              <w:right w:val="single" w:color="000000" w:sz="4" w:space="0"/>
            </w:tcBorders>
          </w:tcPr>
          <w:p>
            <w:pPr>
              <w:rPr>
                <w:rStyle w:val="18"/>
                <w:rFonts w:ascii="宋体" w:hAnsi="宋体"/>
              </w:rPr>
            </w:pPr>
          </w:p>
        </w:tc>
        <w:tc>
          <w:tcPr>
            <w:tcW w:w="1080" w:type="dxa"/>
            <w:vMerge w:val="continue"/>
            <w:tcBorders>
              <w:top w:val="single" w:color="000000" w:sz="4" w:space="0"/>
              <w:left w:val="single" w:color="000000" w:sz="4" w:space="0"/>
              <w:bottom w:val="single" w:color="000000" w:sz="4" w:space="0"/>
              <w:right w:val="single" w:color="000000" w:sz="4" w:space="0"/>
            </w:tcBorders>
          </w:tcPr>
          <w:p>
            <w:pPr>
              <w:rPr>
                <w:rStyle w:val="18"/>
                <w:rFonts w:ascii="宋体" w:hAnsi="宋体"/>
              </w:rPr>
            </w:pPr>
          </w:p>
        </w:tc>
        <w:tc>
          <w:tcPr>
            <w:tcW w:w="2609" w:type="dxa"/>
            <w:tcBorders>
              <w:top w:val="single" w:color="000000" w:sz="4" w:space="0"/>
              <w:left w:val="single" w:color="000000" w:sz="4" w:space="0"/>
              <w:bottom w:val="single" w:color="000000" w:sz="4" w:space="0"/>
              <w:right w:val="single" w:color="000000" w:sz="4" w:space="0"/>
            </w:tcBorders>
            <w:vAlign w:val="center"/>
          </w:tcPr>
          <w:p>
            <w:pPr>
              <w:rPr>
                <w:rStyle w:val="18"/>
                <w:rFonts w:ascii="宋体" w:hAnsi="宋体"/>
              </w:rPr>
            </w:pPr>
            <w:r>
              <w:rPr>
                <w:rStyle w:val="18"/>
                <w:rFonts w:ascii="宋体" w:hAnsi="宋体"/>
              </w:rPr>
              <w:t>其他</w:t>
            </w:r>
          </w:p>
        </w:tc>
        <w:tc>
          <w:tcPr>
            <w:tcW w:w="5128" w:type="dxa"/>
            <w:tcBorders>
              <w:top w:val="single" w:color="000000" w:sz="4" w:space="0"/>
              <w:left w:val="single" w:color="000000" w:sz="4" w:space="0"/>
              <w:bottom w:val="single" w:color="000000" w:sz="4" w:space="0"/>
              <w:right w:val="single" w:color="000000" w:sz="4" w:space="0"/>
            </w:tcBorders>
            <w:vAlign w:val="center"/>
          </w:tcPr>
          <w:p>
            <w:pPr>
              <w:rPr>
                <w:rStyle w:val="18"/>
                <w:rFonts w:ascii="宋体" w:hAnsi="宋体"/>
              </w:rPr>
            </w:pPr>
            <w:r>
              <w:rPr>
                <w:rStyle w:val="18"/>
                <w:rFonts w:ascii="宋体" w:hAnsi="宋体"/>
              </w:rPr>
              <w:t>无本章3.2.3所列情形之一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2" w:hRule="atLeast"/>
        </w:trPr>
        <w:tc>
          <w:tcPr>
            <w:tcW w:w="1963"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rPr>
            </w:pPr>
            <w:r>
              <w:rPr>
                <w:rStyle w:val="18"/>
                <w:rFonts w:ascii="宋体" w:hAnsi="宋体"/>
              </w:rPr>
              <w:t>2.2.1</w:t>
            </w:r>
          </w:p>
        </w:tc>
        <w:tc>
          <w:tcPr>
            <w:tcW w:w="2609"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rPr>
            </w:pPr>
            <w:r>
              <w:rPr>
                <w:rStyle w:val="18"/>
                <w:rFonts w:ascii="宋体" w:hAnsi="宋体"/>
              </w:rPr>
              <w:t>分值构成</w:t>
            </w:r>
          </w:p>
          <w:p>
            <w:pPr>
              <w:jc w:val="center"/>
              <w:rPr>
                <w:rStyle w:val="18"/>
                <w:rFonts w:ascii="宋体" w:hAnsi="宋体"/>
              </w:rPr>
            </w:pPr>
            <w:r>
              <w:rPr>
                <w:rStyle w:val="18"/>
                <w:rFonts w:ascii="宋体" w:hAnsi="宋体"/>
              </w:rPr>
              <w:t>(总分100分)</w:t>
            </w:r>
          </w:p>
        </w:tc>
        <w:tc>
          <w:tcPr>
            <w:tcW w:w="5128" w:type="dxa"/>
            <w:tcBorders>
              <w:top w:val="single" w:color="000000" w:sz="4" w:space="0"/>
              <w:left w:val="single" w:color="000000" w:sz="4" w:space="0"/>
              <w:bottom w:val="single" w:color="000000" w:sz="4" w:space="0"/>
              <w:right w:val="single" w:color="000000" w:sz="4" w:space="0"/>
            </w:tcBorders>
          </w:tcPr>
          <w:p>
            <w:pPr>
              <w:ind w:firstLine="420" w:firstLineChars="200"/>
              <w:rPr>
                <w:rStyle w:val="18"/>
                <w:rFonts w:ascii="宋体" w:hAnsi="宋体"/>
              </w:rPr>
            </w:pPr>
          </w:p>
          <w:p>
            <w:pPr>
              <w:ind w:firstLine="420" w:firstLineChars="200"/>
              <w:rPr>
                <w:rStyle w:val="18"/>
                <w:rFonts w:ascii="宋体" w:hAnsi="宋体"/>
              </w:rPr>
            </w:pPr>
          </w:p>
          <w:p>
            <w:pPr>
              <w:ind w:firstLine="420" w:firstLineChars="200"/>
              <w:rPr>
                <w:rStyle w:val="18"/>
                <w:rFonts w:ascii="宋体" w:hAnsi="宋体"/>
              </w:rPr>
            </w:pPr>
            <w:r>
              <w:rPr>
                <w:rStyle w:val="18"/>
                <w:rFonts w:ascii="宋体" w:hAnsi="宋体"/>
              </w:rPr>
              <w:t>投标报价：</w:t>
            </w:r>
            <w:r>
              <w:rPr>
                <w:rStyle w:val="18"/>
                <w:rFonts w:ascii="宋体" w:hAnsi="宋体"/>
                <w:u w:val="single"/>
              </w:rPr>
              <w:t xml:space="preserve">    </w:t>
            </w:r>
            <w:r>
              <w:rPr>
                <w:rStyle w:val="18"/>
                <w:rFonts w:hint="eastAsia" w:ascii="宋体" w:hAnsi="宋体"/>
                <w:u w:val="single"/>
              </w:rPr>
              <w:t>47</w:t>
            </w:r>
            <w:r>
              <w:rPr>
                <w:rStyle w:val="18"/>
                <w:rFonts w:ascii="宋体" w:hAnsi="宋体"/>
                <w:u w:val="single"/>
              </w:rPr>
              <w:t xml:space="preserve">   </w:t>
            </w:r>
            <w:r>
              <w:rPr>
                <w:rStyle w:val="18"/>
                <w:rFonts w:ascii="宋体" w:hAnsi="宋体"/>
              </w:rPr>
              <w:t>分</w:t>
            </w:r>
          </w:p>
          <w:p>
            <w:pPr>
              <w:ind w:firstLine="420" w:firstLineChars="200"/>
              <w:rPr>
                <w:rStyle w:val="18"/>
                <w:rFonts w:ascii="宋体" w:hAnsi="宋体"/>
              </w:rPr>
            </w:pPr>
            <w:r>
              <w:rPr>
                <w:rStyle w:val="18"/>
                <w:rFonts w:ascii="宋体" w:hAnsi="宋体"/>
              </w:rPr>
              <w:t>技术响应：</w:t>
            </w:r>
            <w:r>
              <w:rPr>
                <w:rStyle w:val="18"/>
                <w:rFonts w:ascii="宋体" w:hAnsi="宋体"/>
                <w:u w:val="single"/>
              </w:rPr>
              <w:t xml:space="preserve"> </w:t>
            </w:r>
            <w:r>
              <w:rPr>
                <w:rStyle w:val="18"/>
                <w:rFonts w:hint="eastAsia" w:ascii="宋体" w:hAnsi="宋体"/>
                <w:u w:val="single"/>
              </w:rPr>
              <w:t xml:space="preserve"> </w:t>
            </w:r>
            <w:r>
              <w:rPr>
                <w:rStyle w:val="18"/>
                <w:rFonts w:ascii="宋体" w:hAnsi="宋体"/>
                <w:u w:val="single"/>
              </w:rPr>
              <w:t xml:space="preserve">  </w:t>
            </w:r>
            <w:r>
              <w:rPr>
                <w:rStyle w:val="18"/>
                <w:rFonts w:hint="eastAsia" w:ascii="宋体" w:hAnsi="宋体"/>
                <w:u w:val="single"/>
              </w:rPr>
              <w:t xml:space="preserve">50  </w:t>
            </w:r>
            <w:r>
              <w:rPr>
                <w:rStyle w:val="18"/>
                <w:rFonts w:ascii="宋体" w:hAnsi="宋体"/>
                <w:u w:val="single"/>
              </w:rPr>
              <w:t xml:space="preserve">  </w:t>
            </w:r>
            <w:r>
              <w:rPr>
                <w:rStyle w:val="18"/>
                <w:rFonts w:ascii="宋体" w:hAnsi="宋体"/>
              </w:rPr>
              <w:t>分</w:t>
            </w:r>
          </w:p>
          <w:p>
            <w:pPr>
              <w:ind w:firstLine="420" w:firstLineChars="200"/>
              <w:rPr>
                <w:rStyle w:val="18"/>
                <w:rFonts w:ascii="宋体" w:hAnsi="宋体"/>
              </w:rPr>
            </w:pPr>
            <w:r>
              <w:rPr>
                <w:rStyle w:val="18"/>
                <w:rFonts w:ascii="宋体" w:hAnsi="宋体"/>
              </w:rPr>
              <w:t>商务响应：</w:t>
            </w:r>
            <w:r>
              <w:rPr>
                <w:rStyle w:val="18"/>
                <w:rFonts w:ascii="宋体" w:hAnsi="宋体"/>
                <w:u w:val="single"/>
              </w:rPr>
              <w:t xml:space="preserve">    </w:t>
            </w:r>
            <w:r>
              <w:rPr>
                <w:rStyle w:val="18"/>
                <w:rFonts w:hint="eastAsia" w:ascii="宋体" w:hAnsi="宋体"/>
                <w:u w:val="single"/>
              </w:rPr>
              <w:t>3</w:t>
            </w:r>
            <w:r>
              <w:rPr>
                <w:rStyle w:val="18"/>
                <w:rFonts w:ascii="宋体" w:hAnsi="宋体"/>
                <w:u w:val="single"/>
              </w:rPr>
              <w:t xml:space="preserve">   </w:t>
            </w:r>
            <w:r>
              <w:rPr>
                <w:rStyle w:val="18"/>
                <w:rFonts w:ascii="宋体" w:hAnsi="宋体"/>
              </w:rPr>
              <w:t>分</w:t>
            </w:r>
          </w:p>
          <w:p>
            <w:pPr>
              <w:ind w:firstLine="420" w:firstLineChars="200"/>
              <w:rPr>
                <w:rStyle w:val="18"/>
                <w:rFonts w:ascii="宋体" w:hAnsi="宋体"/>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1963"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b/>
              </w:rPr>
            </w:pPr>
            <w:r>
              <w:rPr>
                <w:rStyle w:val="18"/>
                <w:rFonts w:ascii="宋体" w:hAnsi="宋体"/>
                <w:b/>
              </w:rPr>
              <w:t>条款号</w:t>
            </w:r>
          </w:p>
        </w:tc>
        <w:tc>
          <w:tcPr>
            <w:tcW w:w="2609"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b/>
              </w:rPr>
            </w:pPr>
            <w:r>
              <w:rPr>
                <w:rStyle w:val="18"/>
                <w:rFonts w:ascii="宋体" w:hAnsi="宋体"/>
                <w:b/>
              </w:rPr>
              <w:t>评分因素</w:t>
            </w:r>
          </w:p>
        </w:tc>
        <w:tc>
          <w:tcPr>
            <w:tcW w:w="5128"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b/>
              </w:rPr>
            </w:pPr>
            <w:r>
              <w:rPr>
                <w:rStyle w:val="18"/>
                <w:rFonts w:ascii="宋体" w:hAnsi="宋体"/>
                <w:b/>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9" w:hRule="atLeast"/>
        </w:trPr>
        <w:tc>
          <w:tcPr>
            <w:tcW w:w="883"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b/>
              </w:rPr>
            </w:pPr>
            <w:r>
              <w:rPr>
                <w:rStyle w:val="18"/>
                <w:rFonts w:ascii="宋体" w:hAnsi="宋体"/>
              </w:rPr>
              <w:t>2.2.3(1)</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rPr>
            </w:pPr>
            <w:r>
              <w:rPr>
                <w:rStyle w:val="18"/>
                <w:rFonts w:ascii="宋体" w:hAnsi="宋体"/>
              </w:rPr>
              <w:t>投标报价</w:t>
            </w:r>
          </w:p>
          <w:p>
            <w:pPr>
              <w:jc w:val="center"/>
              <w:rPr>
                <w:rStyle w:val="18"/>
                <w:rFonts w:ascii="宋体" w:hAnsi="宋体"/>
              </w:rPr>
            </w:pPr>
            <w:r>
              <w:rPr>
                <w:rStyle w:val="18"/>
                <w:rFonts w:ascii="宋体" w:hAnsi="宋体"/>
              </w:rPr>
              <w:t>（</w:t>
            </w:r>
            <w:r>
              <w:rPr>
                <w:rStyle w:val="18"/>
                <w:rFonts w:hint="eastAsia" w:ascii="宋体" w:hAnsi="宋体"/>
                <w:u w:val="single"/>
              </w:rPr>
              <w:t>47</w:t>
            </w:r>
            <w:r>
              <w:rPr>
                <w:rStyle w:val="18"/>
                <w:rFonts w:ascii="宋体" w:hAnsi="宋体"/>
              </w:rPr>
              <w:t>）分</w:t>
            </w:r>
          </w:p>
        </w:tc>
        <w:tc>
          <w:tcPr>
            <w:tcW w:w="2609"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rPr>
            </w:pPr>
            <w:r>
              <w:rPr>
                <w:rStyle w:val="18"/>
                <w:rFonts w:ascii="宋体" w:hAnsi="宋体"/>
              </w:rPr>
              <w:t>投标报价与评标基准价</w:t>
            </w:r>
          </w:p>
        </w:tc>
        <w:tc>
          <w:tcPr>
            <w:tcW w:w="5128" w:type="dxa"/>
            <w:tcBorders>
              <w:top w:val="single" w:color="000000" w:sz="4" w:space="0"/>
              <w:left w:val="single" w:color="000000" w:sz="4" w:space="0"/>
              <w:bottom w:val="single" w:color="000000" w:sz="4" w:space="0"/>
              <w:right w:val="single" w:color="000000" w:sz="4" w:space="0"/>
            </w:tcBorders>
            <w:vAlign w:val="center"/>
          </w:tcPr>
          <w:p>
            <w:pPr>
              <w:jc w:val="left"/>
            </w:pPr>
            <w:r>
              <w:rPr>
                <w:rFonts w:hint="eastAsia"/>
              </w:rPr>
              <w:t>本次招标，以进入详细评审的各有效投标人投标价的算术平均值为评标基准价。投标价等于评标基准价的为价格分的满分，即47分，投标人的投标价比评标基准价每高1%扣0.1分，每低1%扣0.1分，计算到小数点后两位；中间值按比例内插。</w:t>
            </w:r>
          </w:p>
          <w:p>
            <w:pPr>
              <w:jc w:val="left"/>
              <w:rPr>
                <w:rStyle w:val="18"/>
                <w:rFonts w:ascii="宋体" w:hAnsi="宋体"/>
              </w:rPr>
            </w:pPr>
            <w:r>
              <w:rPr>
                <w:rFonts w:hint="eastAsia"/>
              </w:rPr>
              <w:t>2）若有效投标报价为7家以上（含7家）时，去掉一个最高报价和一个最低报价后取算术平均值；若有效投标报价为7家以下时所有有效投标报价的算术平均值</w:t>
            </w:r>
            <w:r>
              <w:rPr>
                <w:rFonts w:hint="eastAsia" w:ascii="宋体" w:hAnsi="宋体" w:cs="宋体"/>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8" w:hRule="atLeast"/>
        </w:trPr>
        <w:tc>
          <w:tcPr>
            <w:tcW w:w="883" w:type="dxa"/>
            <w:vMerge w:val="restart"/>
            <w:tcBorders>
              <w:top w:val="single" w:color="000000" w:sz="4" w:space="0"/>
              <w:left w:val="single" w:color="000000" w:sz="4" w:space="0"/>
              <w:right w:val="single" w:color="000000" w:sz="4" w:space="0"/>
            </w:tcBorders>
            <w:vAlign w:val="center"/>
          </w:tcPr>
          <w:p>
            <w:pPr>
              <w:jc w:val="center"/>
              <w:rPr>
                <w:rStyle w:val="18"/>
                <w:rFonts w:ascii="宋体" w:hAnsi="宋体"/>
              </w:rPr>
            </w:pPr>
            <w:r>
              <w:rPr>
                <w:rStyle w:val="18"/>
                <w:rFonts w:hint="eastAsia" w:ascii="宋体" w:hAnsi="宋体"/>
              </w:rPr>
              <w:t>2</w:t>
            </w:r>
            <w:r>
              <w:rPr>
                <w:rStyle w:val="18"/>
                <w:rFonts w:ascii="宋体" w:hAnsi="宋体"/>
              </w:rPr>
              <w:t>.2.3(2)</w:t>
            </w:r>
          </w:p>
        </w:tc>
        <w:tc>
          <w:tcPr>
            <w:tcW w:w="1080" w:type="dxa"/>
            <w:vMerge w:val="restart"/>
            <w:tcBorders>
              <w:top w:val="single" w:color="000000" w:sz="4" w:space="0"/>
              <w:left w:val="single" w:color="000000" w:sz="4" w:space="0"/>
              <w:right w:val="single" w:color="000000" w:sz="4" w:space="0"/>
            </w:tcBorders>
            <w:vAlign w:val="center"/>
          </w:tcPr>
          <w:p>
            <w:pPr>
              <w:jc w:val="center"/>
              <w:rPr>
                <w:rStyle w:val="18"/>
                <w:rFonts w:ascii="宋体" w:hAnsi="宋体"/>
              </w:rPr>
            </w:pPr>
            <w:r>
              <w:rPr>
                <w:rStyle w:val="18"/>
                <w:rFonts w:ascii="宋体" w:hAnsi="宋体"/>
              </w:rPr>
              <w:t>技术部分</w:t>
            </w:r>
          </w:p>
          <w:p>
            <w:pPr>
              <w:jc w:val="center"/>
              <w:rPr>
                <w:rStyle w:val="18"/>
                <w:rFonts w:ascii="宋体" w:hAnsi="宋体"/>
              </w:rPr>
            </w:pPr>
            <w:r>
              <w:rPr>
                <w:rStyle w:val="18"/>
                <w:rFonts w:ascii="宋体" w:hAnsi="宋体"/>
              </w:rPr>
              <w:t>（</w:t>
            </w:r>
            <w:r>
              <w:rPr>
                <w:rStyle w:val="18"/>
                <w:rFonts w:hint="eastAsia" w:ascii="宋体" w:hAnsi="宋体"/>
                <w:szCs w:val="21"/>
              </w:rPr>
              <w:t>50</w:t>
            </w:r>
            <w:r>
              <w:rPr>
                <w:rStyle w:val="18"/>
                <w:rFonts w:ascii="宋体" w:hAnsi="宋体"/>
                <w:szCs w:val="21"/>
              </w:rPr>
              <w:t>）</w:t>
            </w:r>
            <w:r>
              <w:rPr>
                <w:rStyle w:val="18"/>
                <w:rFonts w:ascii="宋体" w:hAnsi="宋体"/>
              </w:rPr>
              <w:t>分</w:t>
            </w:r>
          </w:p>
        </w:tc>
        <w:tc>
          <w:tcPr>
            <w:tcW w:w="2609"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rPr>
            </w:pPr>
            <w:r>
              <w:rPr>
                <w:rStyle w:val="18"/>
                <w:rFonts w:hint="eastAsia" w:ascii="宋体" w:hAnsi="宋体"/>
                <w:szCs w:val="21"/>
              </w:rPr>
              <w:t>设备技术实施要求及配置</w:t>
            </w:r>
            <w:r>
              <w:rPr>
                <w:rStyle w:val="18"/>
                <w:rFonts w:ascii="宋体" w:hAnsi="宋体"/>
                <w:szCs w:val="21"/>
              </w:rPr>
              <w:t>（</w:t>
            </w:r>
            <w:r>
              <w:rPr>
                <w:rStyle w:val="18"/>
                <w:rFonts w:hint="eastAsia" w:ascii="宋体" w:hAnsi="宋体"/>
                <w:szCs w:val="21"/>
              </w:rPr>
              <w:t>34</w:t>
            </w:r>
            <w:r>
              <w:rPr>
                <w:rStyle w:val="18"/>
                <w:rFonts w:ascii="宋体" w:hAnsi="宋体"/>
                <w:szCs w:val="21"/>
              </w:rPr>
              <w:t>分）</w:t>
            </w:r>
          </w:p>
        </w:tc>
        <w:tc>
          <w:tcPr>
            <w:tcW w:w="5128" w:type="dxa"/>
            <w:tcBorders>
              <w:top w:val="single" w:color="000000" w:sz="4" w:space="0"/>
              <w:left w:val="single" w:color="000000" w:sz="4" w:space="0"/>
              <w:bottom w:val="single" w:color="000000" w:sz="4" w:space="0"/>
              <w:right w:val="single" w:color="000000" w:sz="4" w:space="0"/>
            </w:tcBorders>
          </w:tcPr>
          <w:p>
            <w:pPr>
              <w:pStyle w:val="11"/>
              <w:ind w:firstLine="210"/>
              <w:rPr>
                <w:sz w:val="21"/>
              </w:rPr>
            </w:pPr>
            <w:r>
              <w:rPr>
                <w:rFonts w:hint="eastAsia"/>
                <w:sz w:val="21"/>
              </w:rPr>
              <w:t>1、低温储粮技术要求中，实施方案共两项（粮面低温系统实施方案、</w:t>
            </w:r>
            <w:r>
              <w:rPr>
                <w:sz w:val="21"/>
              </w:rPr>
              <w:t>整仓降温水冷谷冷系统实施方案</w:t>
            </w:r>
            <w:r>
              <w:rPr>
                <w:rFonts w:hint="eastAsia"/>
                <w:sz w:val="21"/>
              </w:rPr>
              <w:t>），每项为8分，共16分。进行综合评比，方案需要有明确的技术措施、作业示意图、施工组织设计、施工计划、质量保证措施等，最优每项得8分，最低每项得1分，无方案不得分；</w:t>
            </w:r>
          </w:p>
          <w:p>
            <w:pPr>
              <w:jc w:val="left"/>
            </w:pPr>
            <w:r>
              <w:rPr>
                <w:rFonts w:hint="eastAsia"/>
              </w:rPr>
              <w:t>2、氮气气调及环流熏蒸储粮技术要求中，实施方案共两项（制氮机组及气调控制系统实施方案、通风及环流熏蒸系统实施方案），每项为9分，共18分。进行综合评比，方案需要有明确的技术措施、作业示意图、施工组织设计、施工计划、质量保证措施等，最优每项得9分，最低每项得1分，无方案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trPr>
        <w:tc>
          <w:tcPr>
            <w:tcW w:w="883" w:type="dxa"/>
            <w:vMerge w:val="continue"/>
            <w:tcBorders>
              <w:left w:val="single" w:color="000000" w:sz="4" w:space="0"/>
              <w:right w:val="single" w:color="000000" w:sz="4" w:space="0"/>
            </w:tcBorders>
            <w:vAlign w:val="center"/>
          </w:tcPr>
          <w:p>
            <w:pPr>
              <w:jc w:val="center"/>
              <w:rPr>
                <w:rStyle w:val="18"/>
                <w:rFonts w:ascii="宋体" w:hAnsi="宋体"/>
              </w:rPr>
            </w:pPr>
            <w:r>
              <w:rPr>
                <w:rStyle w:val="18"/>
                <w:rFonts w:hint="eastAsia" w:ascii="宋体" w:hAnsi="宋体"/>
              </w:rPr>
              <w:t>评审</w:t>
            </w:r>
          </w:p>
        </w:tc>
        <w:tc>
          <w:tcPr>
            <w:tcW w:w="1080" w:type="dxa"/>
            <w:vMerge w:val="continue"/>
            <w:tcBorders>
              <w:left w:val="single" w:color="000000" w:sz="4" w:space="0"/>
              <w:right w:val="single" w:color="000000" w:sz="4" w:space="0"/>
            </w:tcBorders>
            <w:vAlign w:val="center"/>
          </w:tcPr>
          <w:p>
            <w:pPr>
              <w:jc w:val="center"/>
              <w:rPr>
                <w:rStyle w:val="18"/>
                <w:rFonts w:ascii="宋体" w:hAnsi="宋体"/>
              </w:rPr>
            </w:pPr>
          </w:p>
        </w:tc>
        <w:tc>
          <w:tcPr>
            <w:tcW w:w="2609"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rPr>
            </w:pPr>
            <w:r>
              <w:rPr>
                <w:rStyle w:val="18"/>
                <w:rFonts w:hint="eastAsia" w:ascii="宋体" w:hAnsi="宋体"/>
                <w:szCs w:val="21"/>
              </w:rPr>
              <w:t>售后服务方案（5分）</w:t>
            </w:r>
          </w:p>
        </w:tc>
        <w:tc>
          <w:tcPr>
            <w:tcW w:w="5128" w:type="dxa"/>
            <w:tcBorders>
              <w:top w:val="single" w:color="000000" w:sz="4" w:space="0"/>
              <w:left w:val="single" w:color="000000" w:sz="4" w:space="0"/>
              <w:bottom w:val="single" w:color="000000" w:sz="4" w:space="0"/>
              <w:right w:val="single" w:color="000000" w:sz="4" w:space="0"/>
            </w:tcBorders>
            <w:vAlign w:val="center"/>
          </w:tcPr>
          <w:p>
            <w:pPr>
              <w:jc w:val="left"/>
              <w:rPr>
                <w:rStyle w:val="18"/>
                <w:rFonts w:ascii="宋体" w:hAnsi="宋体"/>
                <w:szCs w:val="21"/>
              </w:rPr>
            </w:pPr>
            <w:r>
              <w:rPr>
                <w:rFonts w:hint="eastAsia"/>
              </w:rPr>
              <w:t>根据投标人提供的售后服务计划（方案）、服务响应时间等综合评分，售后服务方案包含售后服务承诺、质量保证方案、质保期内/外方案、保修措施、保修流程等，最优得5分，最低得1分，无方案不得分。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trPr>
        <w:tc>
          <w:tcPr>
            <w:tcW w:w="883" w:type="dxa"/>
            <w:vMerge w:val="continue"/>
            <w:tcBorders>
              <w:left w:val="single" w:color="000000" w:sz="4" w:space="0"/>
              <w:right w:val="single" w:color="000000" w:sz="4" w:space="0"/>
            </w:tcBorders>
            <w:vAlign w:val="center"/>
          </w:tcPr>
          <w:p>
            <w:pPr>
              <w:jc w:val="center"/>
              <w:rPr>
                <w:rStyle w:val="18"/>
                <w:rFonts w:ascii="宋体" w:hAnsi="宋体"/>
              </w:rPr>
            </w:pPr>
          </w:p>
        </w:tc>
        <w:tc>
          <w:tcPr>
            <w:tcW w:w="1080" w:type="dxa"/>
            <w:vMerge w:val="continue"/>
            <w:tcBorders>
              <w:left w:val="single" w:color="000000" w:sz="4" w:space="0"/>
              <w:right w:val="single" w:color="000000" w:sz="4" w:space="0"/>
            </w:tcBorders>
            <w:vAlign w:val="center"/>
          </w:tcPr>
          <w:p>
            <w:pPr>
              <w:jc w:val="center"/>
              <w:rPr>
                <w:rStyle w:val="18"/>
                <w:rFonts w:ascii="宋体" w:hAnsi="宋体"/>
              </w:rPr>
            </w:pPr>
          </w:p>
        </w:tc>
        <w:tc>
          <w:tcPr>
            <w:tcW w:w="2609"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rPr>
            </w:pPr>
            <w:r>
              <w:rPr>
                <w:rStyle w:val="18"/>
                <w:rFonts w:hint="eastAsia" w:ascii="宋体" w:hAnsi="宋体"/>
                <w:szCs w:val="21"/>
              </w:rPr>
              <w:t>质保期（2分）</w:t>
            </w:r>
          </w:p>
        </w:tc>
        <w:tc>
          <w:tcPr>
            <w:tcW w:w="5128" w:type="dxa"/>
            <w:tcBorders>
              <w:top w:val="single" w:color="000000" w:sz="4" w:space="0"/>
              <w:left w:val="single" w:color="000000" w:sz="4" w:space="0"/>
              <w:bottom w:val="single" w:color="000000" w:sz="4" w:space="0"/>
              <w:right w:val="single" w:color="000000" w:sz="4" w:space="0"/>
            </w:tcBorders>
            <w:vAlign w:val="center"/>
          </w:tcPr>
          <w:p>
            <w:pPr>
              <w:jc w:val="left"/>
              <w:rPr>
                <w:rStyle w:val="18"/>
                <w:rFonts w:ascii="宋体" w:hAnsi="宋体"/>
                <w:szCs w:val="21"/>
              </w:rPr>
            </w:pPr>
            <w:r>
              <w:rPr>
                <w:rFonts w:hint="eastAsia" w:ascii="宋体" w:hAnsi="宋体" w:cs="宋体"/>
              </w:rPr>
              <w:t>投标人在一年质保期的基础上承诺每增加半年得</w:t>
            </w:r>
            <w:r>
              <w:rPr>
                <w:rFonts w:ascii="宋体" w:hAnsi="宋体" w:cs="宋体"/>
              </w:rPr>
              <w:t>1</w:t>
            </w:r>
            <w:r>
              <w:rPr>
                <w:rFonts w:hint="eastAsia" w:ascii="宋体" w:hAnsi="宋体" w:cs="宋体"/>
              </w:rPr>
              <w:t>分，最多得2分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trPr>
        <w:tc>
          <w:tcPr>
            <w:tcW w:w="883" w:type="dxa"/>
            <w:vMerge w:val="continue"/>
            <w:tcBorders>
              <w:left w:val="single" w:color="000000" w:sz="4" w:space="0"/>
              <w:right w:val="single" w:color="000000" w:sz="4" w:space="0"/>
            </w:tcBorders>
            <w:vAlign w:val="center"/>
          </w:tcPr>
          <w:p>
            <w:pPr>
              <w:jc w:val="center"/>
              <w:rPr>
                <w:rStyle w:val="18"/>
                <w:rFonts w:ascii="宋体" w:hAnsi="宋体"/>
              </w:rPr>
            </w:pPr>
          </w:p>
        </w:tc>
        <w:tc>
          <w:tcPr>
            <w:tcW w:w="1080" w:type="dxa"/>
            <w:vMerge w:val="continue"/>
            <w:tcBorders>
              <w:left w:val="single" w:color="000000" w:sz="4" w:space="0"/>
              <w:right w:val="single" w:color="000000" w:sz="4" w:space="0"/>
            </w:tcBorders>
            <w:vAlign w:val="center"/>
          </w:tcPr>
          <w:p>
            <w:pPr>
              <w:jc w:val="center"/>
              <w:rPr>
                <w:rStyle w:val="18"/>
                <w:rFonts w:ascii="宋体" w:hAnsi="宋体"/>
              </w:rPr>
            </w:pPr>
          </w:p>
        </w:tc>
        <w:tc>
          <w:tcPr>
            <w:tcW w:w="2609"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rPr>
            </w:pPr>
            <w:r>
              <w:rPr>
                <w:rStyle w:val="18"/>
                <w:rFonts w:hint="eastAsia" w:ascii="宋体" w:hAnsi="宋体"/>
                <w:szCs w:val="21"/>
              </w:rPr>
              <w:t>证书4分</w:t>
            </w:r>
          </w:p>
        </w:tc>
        <w:tc>
          <w:tcPr>
            <w:tcW w:w="5128" w:type="dxa"/>
            <w:tcBorders>
              <w:top w:val="single" w:color="000000" w:sz="4" w:space="0"/>
              <w:left w:val="single" w:color="000000" w:sz="4" w:space="0"/>
              <w:bottom w:val="single" w:color="000000" w:sz="4" w:space="0"/>
              <w:right w:val="single" w:color="000000" w:sz="4" w:space="0"/>
            </w:tcBorders>
            <w:vAlign w:val="center"/>
          </w:tcPr>
          <w:p>
            <w:pPr>
              <w:jc w:val="left"/>
              <w:rPr>
                <w:rStyle w:val="18"/>
                <w:rFonts w:ascii="宋体" w:hAnsi="宋体"/>
                <w:szCs w:val="21"/>
              </w:rPr>
            </w:pPr>
            <w:r>
              <w:rPr>
                <w:rFonts w:hint="eastAsia" w:ascii="宋体" w:hAnsi="宋体" w:cs="宋体"/>
              </w:rPr>
              <w:t>投标人具有绿色储粮设备相关专利证书，每获得一项得</w:t>
            </w:r>
            <w:r>
              <w:rPr>
                <w:rFonts w:ascii="宋体" w:hAnsi="宋体" w:cs="宋体"/>
              </w:rPr>
              <w:t>1</w:t>
            </w:r>
            <w:r>
              <w:rPr>
                <w:rFonts w:hint="eastAsia" w:ascii="宋体" w:hAnsi="宋体" w:cs="宋体"/>
              </w:rPr>
              <w:t>分，最多得</w:t>
            </w:r>
            <w:r>
              <w:rPr>
                <w:rFonts w:ascii="宋体" w:hAnsi="宋体" w:cs="宋体"/>
              </w:rPr>
              <w:t>4</w:t>
            </w:r>
            <w:r>
              <w:rPr>
                <w:rFonts w:hint="eastAsia" w:ascii="宋体" w:hAnsi="宋体" w:cs="宋体"/>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6" w:hRule="atLeast"/>
        </w:trPr>
        <w:tc>
          <w:tcPr>
            <w:tcW w:w="883" w:type="dxa"/>
            <w:vMerge w:val="continue"/>
            <w:tcBorders>
              <w:left w:val="single" w:color="000000" w:sz="4" w:space="0"/>
              <w:right w:val="single" w:color="000000" w:sz="4" w:space="0"/>
            </w:tcBorders>
            <w:vAlign w:val="center"/>
          </w:tcPr>
          <w:p>
            <w:pPr>
              <w:jc w:val="center"/>
              <w:rPr>
                <w:rStyle w:val="18"/>
                <w:rFonts w:ascii="宋体" w:hAnsi="宋体"/>
              </w:rPr>
            </w:pPr>
          </w:p>
        </w:tc>
        <w:tc>
          <w:tcPr>
            <w:tcW w:w="1080" w:type="dxa"/>
            <w:vMerge w:val="continue"/>
            <w:tcBorders>
              <w:left w:val="single" w:color="000000" w:sz="4" w:space="0"/>
              <w:right w:val="single" w:color="000000" w:sz="4" w:space="0"/>
            </w:tcBorders>
            <w:vAlign w:val="center"/>
          </w:tcPr>
          <w:p>
            <w:pPr>
              <w:jc w:val="center"/>
              <w:rPr>
                <w:rStyle w:val="18"/>
                <w:rFonts w:ascii="宋体" w:hAnsi="宋体"/>
              </w:rPr>
            </w:pPr>
          </w:p>
        </w:tc>
        <w:tc>
          <w:tcPr>
            <w:tcW w:w="2609"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rPr>
            </w:pPr>
            <w:r>
              <w:rPr>
                <w:rStyle w:val="18"/>
                <w:rFonts w:ascii="宋体" w:hAnsi="宋体"/>
              </w:rPr>
              <w:t>投标文件的编制 （</w:t>
            </w:r>
            <w:r>
              <w:rPr>
                <w:rStyle w:val="18"/>
                <w:rFonts w:hint="eastAsia" w:ascii="宋体" w:hAnsi="宋体"/>
              </w:rPr>
              <w:t>1</w:t>
            </w:r>
            <w:r>
              <w:rPr>
                <w:rStyle w:val="18"/>
                <w:rFonts w:ascii="宋体" w:hAnsi="宋体"/>
              </w:rPr>
              <w:t>分）</w:t>
            </w:r>
          </w:p>
        </w:tc>
        <w:tc>
          <w:tcPr>
            <w:tcW w:w="5128" w:type="dxa"/>
            <w:tcBorders>
              <w:top w:val="single" w:color="000000" w:sz="4" w:space="0"/>
              <w:left w:val="single" w:color="000000" w:sz="4" w:space="0"/>
              <w:bottom w:val="single" w:color="000000" w:sz="4" w:space="0"/>
              <w:right w:val="single" w:color="000000" w:sz="4" w:space="0"/>
            </w:tcBorders>
            <w:vAlign w:val="center"/>
          </w:tcPr>
          <w:p>
            <w:pPr>
              <w:rPr>
                <w:rStyle w:val="18"/>
                <w:rFonts w:ascii="宋体" w:hAnsi="宋体"/>
              </w:rPr>
            </w:pPr>
            <w:r>
              <w:rPr>
                <w:rStyle w:val="18"/>
                <w:rFonts w:ascii="宋体" w:hAnsi="宋体"/>
              </w:rPr>
              <w:t>是否按招标文件规定的顺序装订，最高为0.5分。</w:t>
            </w:r>
          </w:p>
          <w:p>
            <w:r>
              <w:rPr>
                <w:rStyle w:val="18"/>
                <w:rFonts w:ascii="宋体" w:hAnsi="宋体"/>
              </w:rPr>
              <w:t>是否具有投标文件目录、编页码，评标引索页”有利于评委评审、查阅，最高为0.5分。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3" w:hRule="atLeast"/>
        </w:trPr>
        <w:tc>
          <w:tcPr>
            <w:tcW w:w="883" w:type="dxa"/>
            <w:vMerge w:val="continue"/>
            <w:tcBorders>
              <w:left w:val="single" w:color="000000" w:sz="4" w:space="0"/>
              <w:bottom w:val="single" w:color="000000" w:sz="4" w:space="0"/>
              <w:right w:val="single" w:color="000000" w:sz="4" w:space="0"/>
            </w:tcBorders>
            <w:vAlign w:val="center"/>
          </w:tcPr>
          <w:p>
            <w:pPr>
              <w:jc w:val="center"/>
              <w:rPr>
                <w:rStyle w:val="18"/>
                <w:rFonts w:ascii="宋体" w:hAnsi="宋体"/>
              </w:rPr>
            </w:pPr>
          </w:p>
        </w:tc>
        <w:tc>
          <w:tcPr>
            <w:tcW w:w="1080" w:type="dxa"/>
            <w:vMerge w:val="continue"/>
            <w:tcBorders>
              <w:left w:val="single" w:color="000000" w:sz="4" w:space="0"/>
              <w:bottom w:val="single" w:color="000000" w:sz="4" w:space="0"/>
              <w:right w:val="single" w:color="000000" w:sz="4" w:space="0"/>
            </w:tcBorders>
            <w:vAlign w:val="center"/>
          </w:tcPr>
          <w:p>
            <w:pPr>
              <w:jc w:val="center"/>
              <w:rPr>
                <w:rStyle w:val="18"/>
                <w:rFonts w:ascii="宋体" w:hAnsi="宋体"/>
              </w:rPr>
            </w:pPr>
          </w:p>
        </w:tc>
        <w:tc>
          <w:tcPr>
            <w:tcW w:w="2609"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kern w:val="0"/>
                <w:szCs w:val="21"/>
              </w:rPr>
            </w:pPr>
            <w:r>
              <w:rPr>
                <w:rStyle w:val="18"/>
                <w:rFonts w:ascii="宋体" w:hAnsi="宋体"/>
              </w:rPr>
              <w:t>业绩（</w:t>
            </w:r>
            <w:r>
              <w:rPr>
                <w:rStyle w:val="18"/>
                <w:rFonts w:hint="eastAsia" w:ascii="宋体" w:hAnsi="宋体"/>
              </w:rPr>
              <w:t>4</w:t>
            </w:r>
            <w:r>
              <w:rPr>
                <w:rStyle w:val="18"/>
                <w:rFonts w:ascii="宋体" w:hAnsi="宋体"/>
              </w:rPr>
              <w:t>分）</w:t>
            </w:r>
          </w:p>
        </w:tc>
        <w:tc>
          <w:tcPr>
            <w:tcW w:w="512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rPr>
            </w:pPr>
            <w:r>
              <w:rPr>
                <w:rFonts w:hint="eastAsia" w:ascii="宋体" w:hAnsi="宋体"/>
              </w:rPr>
              <w:t>（1）投标人</w:t>
            </w:r>
            <w:r>
              <w:rPr>
                <w:rFonts w:ascii="宋体" w:hAnsi="宋体"/>
              </w:rPr>
              <w:t>具备粮库氮气气调储粮类似业绩，每提供一</w:t>
            </w:r>
            <w:r>
              <w:rPr>
                <w:rFonts w:hint="eastAsia" w:ascii="宋体" w:hAnsi="宋体"/>
              </w:rPr>
              <w:t>份合同</w:t>
            </w:r>
            <w:r>
              <w:rPr>
                <w:rFonts w:ascii="宋体" w:hAnsi="宋体"/>
              </w:rPr>
              <w:t>得0.5分，最多得2分</w:t>
            </w:r>
          </w:p>
          <w:p>
            <w:pPr>
              <w:rPr>
                <w:rFonts w:ascii="宋体" w:hAnsi="宋体"/>
              </w:rPr>
            </w:pPr>
            <w:r>
              <w:rPr>
                <w:rFonts w:ascii="宋体" w:hAnsi="宋体"/>
              </w:rPr>
              <w:t>注：需提供合同协议书复印件</w:t>
            </w:r>
            <w:r>
              <w:rPr>
                <w:rFonts w:hint="eastAsia" w:ascii="宋体" w:hAnsi="宋体"/>
              </w:rPr>
              <w:t>并加盖公章</w:t>
            </w:r>
          </w:p>
          <w:p>
            <w:pPr>
              <w:rPr>
                <w:rFonts w:ascii="宋体" w:hAnsi="宋体"/>
              </w:rPr>
            </w:pPr>
            <w:r>
              <w:rPr>
                <w:rFonts w:hint="eastAsia" w:ascii="宋体" w:hAnsi="宋体"/>
              </w:rPr>
              <w:t>（2）投标人</w:t>
            </w:r>
            <w:r>
              <w:rPr>
                <w:rFonts w:ascii="宋体" w:hAnsi="宋体"/>
              </w:rPr>
              <w:t>具备粮库低温储粮设备类似业绩，每提供一个得0.5分，最多得2分</w:t>
            </w:r>
          </w:p>
          <w:p>
            <w:pPr>
              <w:rPr>
                <w:rStyle w:val="18"/>
                <w:rFonts w:ascii="宋体" w:hAnsi="宋体"/>
                <w:szCs w:val="21"/>
              </w:rPr>
            </w:pPr>
            <w:r>
              <w:rPr>
                <w:rFonts w:ascii="宋体" w:hAnsi="宋体"/>
              </w:rPr>
              <w:t>注：需提供合同协议书复印件</w:t>
            </w:r>
            <w:r>
              <w:rPr>
                <w:rFonts w:hint="eastAsia" w:ascii="宋体" w:hAnsi="宋体"/>
              </w:rPr>
              <w:t>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0" w:hRule="atLeast"/>
        </w:trPr>
        <w:tc>
          <w:tcPr>
            <w:tcW w:w="883"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rPr>
            </w:pPr>
            <w:r>
              <w:rPr>
                <w:rStyle w:val="18"/>
                <w:rFonts w:hint="eastAsia" w:ascii="宋体" w:hAnsi="宋体"/>
              </w:rPr>
              <w:t>2.2.3（3）</w:t>
            </w:r>
          </w:p>
        </w:tc>
        <w:tc>
          <w:tcPr>
            <w:tcW w:w="1080" w:type="dxa"/>
            <w:tcBorders>
              <w:left w:val="single" w:color="000000" w:sz="4" w:space="0"/>
              <w:right w:val="single" w:color="000000" w:sz="4" w:space="0"/>
            </w:tcBorders>
            <w:vAlign w:val="center"/>
          </w:tcPr>
          <w:p>
            <w:pPr>
              <w:jc w:val="center"/>
              <w:rPr>
                <w:rStyle w:val="18"/>
                <w:rFonts w:ascii="宋体" w:hAnsi="宋体"/>
              </w:rPr>
            </w:pPr>
            <w:r>
              <w:rPr>
                <w:rStyle w:val="18"/>
                <w:rFonts w:hint="eastAsia" w:ascii="宋体" w:hAnsi="宋体"/>
              </w:rPr>
              <w:t>商务部分（3分）</w:t>
            </w:r>
          </w:p>
          <w:p>
            <w:pPr>
              <w:jc w:val="center"/>
              <w:rPr>
                <w:rStyle w:val="18"/>
                <w:rFonts w:ascii="宋体" w:hAnsi="宋体"/>
              </w:rPr>
            </w:pPr>
          </w:p>
        </w:tc>
        <w:tc>
          <w:tcPr>
            <w:tcW w:w="2609"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rPr>
            </w:pPr>
            <w:r>
              <w:rPr>
                <w:rStyle w:val="18"/>
                <w:rFonts w:hint="eastAsia" w:ascii="宋体" w:hAnsi="宋体"/>
              </w:rPr>
              <w:t>诚信投标</w:t>
            </w:r>
          </w:p>
          <w:p>
            <w:pPr>
              <w:jc w:val="center"/>
              <w:rPr>
                <w:rStyle w:val="18"/>
                <w:rFonts w:ascii="宋体" w:hAnsi="宋体"/>
              </w:rPr>
            </w:pPr>
            <w:r>
              <w:rPr>
                <w:rStyle w:val="18"/>
                <w:rFonts w:hint="eastAsia" w:ascii="宋体" w:hAnsi="宋体"/>
              </w:rPr>
              <w:t>（1分）</w:t>
            </w:r>
          </w:p>
        </w:tc>
        <w:tc>
          <w:tcPr>
            <w:tcW w:w="5128" w:type="dxa"/>
            <w:tcBorders>
              <w:top w:val="single" w:color="000000" w:sz="4" w:space="0"/>
              <w:left w:val="single" w:color="000000" w:sz="4" w:space="0"/>
              <w:bottom w:val="single" w:color="000000" w:sz="4" w:space="0"/>
              <w:right w:val="single" w:color="000000" w:sz="4" w:space="0"/>
            </w:tcBorders>
            <w:vAlign w:val="center"/>
          </w:tcPr>
          <w:p>
            <w:pPr>
              <w:rPr>
                <w:rStyle w:val="18"/>
                <w:rFonts w:ascii="宋体" w:hAnsi="宋体"/>
              </w:rPr>
            </w:pPr>
            <w:r>
              <w:rPr>
                <w:rFonts w:hint="eastAsia" w:ascii="宋体" w:hAnsi="宋体"/>
                <w:lang w:val="zh-CN"/>
              </w:rPr>
              <w:t>投标人提交签署并盖章《盐城市大丰区政府招标采购供应商承诺书》原件的得1分；没有提供的不得分。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883" w:type="dxa"/>
            <w:vMerge w:val="restart"/>
            <w:tcBorders>
              <w:left w:val="single" w:color="000000" w:sz="4" w:space="0"/>
              <w:right w:val="single" w:color="000000" w:sz="4" w:space="0"/>
            </w:tcBorders>
            <w:vAlign w:val="center"/>
          </w:tcPr>
          <w:p>
            <w:pPr>
              <w:jc w:val="center"/>
              <w:rPr>
                <w:rStyle w:val="18"/>
                <w:rFonts w:ascii="宋体" w:hAnsi="宋体"/>
              </w:rPr>
            </w:pPr>
          </w:p>
        </w:tc>
        <w:tc>
          <w:tcPr>
            <w:tcW w:w="1080" w:type="dxa"/>
            <w:vMerge w:val="restart"/>
            <w:tcBorders>
              <w:left w:val="single" w:color="000000" w:sz="4" w:space="0"/>
              <w:right w:val="single" w:color="000000" w:sz="4" w:space="0"/>
            </w:tcBorders>
            <w:vAlign w:val="center"/>
          </w:tcPr>
          <w:p>
            <w:pPr>
              <w:jc w:val="center"/>
              <w:rPr>
                <w:rStyle w:val="18"/>
                <w:rFonts w:ascii="宋体" w:hAnsi="宋体"/>
              </w:rPr>
            </w:pPr>
          </w:p>
        </w:tc>
        <w:tc>
          <w:tcPr>
            <w:tcW w:w="2609" w:type="dxa"/>
            <w:vMerge w:val="restart"/>
            <w:tcBorders>
              <w:top w:val="single" w:color="auto" w:sz="4" w:space="0"/>
              <w:left w:val="single" w:color="000000" w:sz="4" w:space="0"/>
              <w:right w:val="single" w:color="000000" w:sz="4" w:space="0"/>
            </w:tcBorders>
            <w:vAlign w:val="center"/>
          </w:tcPr>
          <w:p>
            <w:pPr>
              <w:jc w:val="center"/>
              <w:rPr>
                <w:rStyle w:val="18"/>
                <w:rFonts w:ascii="宋体" w:hAnsi="宋体"/>
              </w:rPr>
            </w:pPr>
            <w:r>
              <w:rPr>
                <w:rStyle w:val="18"/>
                <w:rFonts w:hint="eastAsia" w:ascii="宋体" w:hAnsi="宋体"/>
              </w:rPr>
              <w:t>证书（2分）</w:t>
            </w:r>
          </w:p>
        </w:tc>
        <w:tc>
          <w:tcPr>
            <w:tcW w:w="512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2"/>
                <w:szCs w:val="21"/>
                <w:lang w:val="zh-CN" w:bidi="zh-CN"/>
              </w:rPr>
            </w:pPr>
            <w:r>
              <w:rPr>
                <w:rFonts w:ascii="宋体" w:hAnsi="宋体"/>
              </w:rPr>
              <w:t>投标人具有ISO9001质量管理体系认证证书的得1分。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883" w:type="dxa"/>
            <w:vMerge w:val="continue"/>
            <w:tcBorders>
              <w:left w:val="single" w:color="000000" w:sz="4" w:space="0"/>
              <w:right w:val="single" w:color="000000" w:sz="4" w:space="0"/>
            </w:tcBorders>
            <w:vAlign w:val="center"/>
          </w:tcPr>
          <w:p>
            <w:pPr>
              <w:jc w:val="center"/>
              <w:rPr>
                <w:rStyle w:val="18"/>
                <w:rFonts w:ascii="宋体" w:hAnsi="宋体"/>
              </w:rPr>
            </w:pPr>
          </w:p>
        </w:tc>
        <w:tc>
          <w:tcPr>
            <w:tcW w:w="1080" w:type="dxa"/>
            <w:vMerge w:val="continue"/>
            <w:tcBorders>
              <w:left w:val="single" w:color="000000" w:sz="4" w:space="0"/>
              <w:right w:val="single" w:color="000000" w:sz="4" w:space="0"/>
            </w:tcBorders>
            <w:vAlign w:val="center"/>
          </w:tcPr>
          <w:p>
            <w:pPr>
              <w:jc w:val="center"/>
              <w:rPr>
                <w:rStyle w:val="18"/>
                <w:rFonts w:ascii="宋体" w:hAnsi="宋体"/>
              </w:rPr>
            </w:pPr>
          </w:p>
        </w:tc>
        <w:tc>
          <w:tcPr>
            <w:tcW w:w="2609" w:type="dxa"/>
            <w:vMerge w:val="continue"/>
            <w:tcBorders>
              <w:left w:val="single" w:color="000000" w:sz="4" w:space="0"/>
              <w:bottom w:val="single" w:color="auto" w:sz="4" w:space="0"/>
              <w:right w:val="single" w:color="000000" w:sz="4" w:space="0"/>
            </w:tcBorders>
            <w:vAlign w:val="center"/>
          </w:tcPr>
          <w:p>
            <w:pPr>
              <w:jc w:val="center"/>
              <w:rPr>
                <w:rStyle w:val="18"/>
                <w:rFonts w:ascii="宋体" w:hAnsi="宋体"/>
              </w:rPr>
            </w:pPr>
          </w:p>
        </w:tc>
        <w:tc>
          <w:tcPr>
            <w:tcW w:w="512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rPr>
            </w:pPr>
            <w:r>
              <w:rPr>
                <w:rFonts w:ascii="宋体" w:hAnsi="宋体"/>
              </w:rPr>
              <w:t>投标人具有高新技术企业的得1分</w:t>
            </w:r>
          </w:p>
        </w:tc>
      </w:tr>
    </w:tbl>
    <w:p>
      <w:pPr>
        <w:pStyle w:val="23"/>
        <w:rPr>
          <w:rStyle w:val="18"/>
          <w:rFonts w:ascii="宋体" w:hAnsi="宋体" w:eastAsia="宋体" w:cs="宋体"/>
        </w:rPr>
      </w:pPr>
      <w:r>
        <w:rPr>
          <w:rStyle w:val="18"/>
          <w:rFonts w:ascii="宋体" w:hAnsi="宋体" w:eastAsia="宋体" w:cs="宋体"/>
        </w:rPr>
        <w:t>1 评标方法</w:t>
      </w:r>
    </w:p>
    <w:p>
      <w:pPr>
        <w:spacing w:line="500" w:lineRule="exact"/>
        <w:ind w:firstLine="420" w:firstLineChars="200"/>
        <w:jc w:val="left"/>
        <w:rPr>
          <w:rStyle w:val="18"/>
          <w:rFonts w:ascii="宋体" w:hAnsi="宋体"/>
          <w:kern w:val="0"/>
        </w:rPr>
      </w:pPr>
      <w:r>
        <w:rPr>
          <w:rStyle w:val="18"/>
          <w:rFonts w:ascii="宋体" w:hAnsi="宋体"/>
          <w:kern w:val="0"/>
        </w:rPr>
        <w:t>本次评标采用综合评分法。评标委员会对满足招标文件实质性要求的投标文件，按照本章第2.2款规定的评分标准进行打分，并按得分由高到低顺序推荐中标候选人，或根据招标人授权直接确定中标人。综合评分相等时，以投标报价低的优先；投标报价也相等的，由招标人自行确定。</w:t>
      </w:r>
    </w:p>
    <w:p>
      <w:pPr>
        <w:pStyle w:val="23"/>
        <w:rPr>
          <w:rStyle w:val="18"/>
          <w:rFonts w:ascii="宋体" w:hAnsi="宋体" w:eastAsia="宋体" w:cs="宋体"/>
        </w:rPr>
      </w:pPr>
      <w:r>
        <w:rPr>
          <w:rStyle w:val="18"/>
          <w:rFonts w:ascii="宋体" w:hAnsi="宋体" w:eastAsia="宋体" w:cs="宋体"/>
        </w:rPr>
        <w:t>2 评审标准</w:t>
      </w:r>
    </w:p>
    <w:p>
      <w:pPr>
        <w:pStyle w:val="24"/>
        <w:ind w:firstLine="118"/>
        <w:rPr>
          <w:rStyle w:val="18"/>
          <w:rFonts w:ascii="宋体" w:hAnsi="宋体" w:eastAsia="宋体"/>
          <w:szCs w:val="24"/>
        </w:rPr>
      </w:pPr>
      <w:r>
        <w:rPr>
          <w:rStyle w:val="18"/>
          <w:rFonts w:ascii="宋体" w:hAnsi="宋体" w:eastAsia="宋体"/>
          <w:szCs w:val="24"/>
        </w:rPr>
        <w:t>2.1 初步评审标准</w:t>
      </w:r>
    </w:p>
    <w:p>
      <w:pPr>
        <w:spacing w:line="360" w:lineRule="auto"/>
        <w:ind w:firstLine="420" w:firstLineChars="200"/>
        <w:rPr>
          <w:rStyle w:val="18"/>
          <w:rFonts w:ascii="宋体" w:hAnsi="宋体"/>
        </w:rPr>
      </w:pPr>
      <w:r>
        <w:rPr>
          <w:rStyle w:val="18"/>
          <w:rFonts w:ascii="宋体" w:hAnsi="宋体"/>
        </w:rPr>
        <w:t>2.1.1 形式评审标准：见评标办法前附表。</w:t>
      </w:r>
    </w:p>
    <w:p>
      <w:pPr>
        <w:spacing w:line="360" w:lineRule="auto"/>
        <w:ind w:firstLine="420" w:firstLineChars="200"/>
        <w:rPr>
          <w:rStyle w:val="18"/>
          <w:rFonts w:ascii="宋体" w:hAnsi="宋体"/>
        </w:rPr>
      </w:pPr>
      <w:r>
        <w:rPr>
          <w:rStyle w:val="18"/>
          <w:rFonts w:ascii="宋体" w:hAnsi="宋体"/>
        </w:rPr>
        <w:t>2.1.2 资格评审标准：见评标办法前附表。</w:t>
      </w:r>
    </w:p>
    <w:p>
      <w:pPr>
        <w:spacing w:line="360" w:lineRule="auto"/>
        <w:ind w:firstLine="420" w:firstLineChars="200"/>
        <w:rPr>
          <w:rStyle w:val="18"/>
          <w:rFonts w:ascii="宋体" w:hAnsi="宋体"/>
        </w:rPr>
      </w:pPr>
      <w:r>
        <w:rPr>
          <w:rStyle w:val="18"/>
          <w:rFonts w:ascii="宋体" w:hAnsi="宋体"/>
        </w:rPr>
        <w:t>2.1.3 响应性评审标准：见评标办法前附表。</w:t>
      </w:r>
    </w:p>
    <w:p>
      <w:pPr>
        <w:pStyle w:val="24"/>
        <w:ind w:firstLine="118"/>
        <w:rPr>
          <w:rStyle w:val="18"/>
          <w:rFonts w:ascii="宋体" w:hAnsi="宋体" w:eastAsia="宋体"/>
        </w:rPr>
      </w:pPr>
      <w:r>
        <w:rPr>
          <w:rStyle w:val="18"/>
          <w:rFonts w:ascii="宋体" w:hAnsi="宋体" w:eastAsia="宋体"/>
        </w:rPr>
        <w:t>2.2 分值构成与评分标准</w:t>
      </w:r>
    </w:p>
    <w:p>
      <w:pPr>
        <w:spacing w:line="360" w:lineRule="auto"/>
        <w:ind w:firstLine="420" w:firstLineChars="200"/>
        <w:rPr>
          <w:rStyle w:val="18"/>
          <w:rFonts w:ascii="宋体" w:hAnsi="宋体"/>
        </w:rPr>
      </w:pPr>
      <w:r>
        <w:rPr>
          <w:rStyle w:val="18"/>
          <w:rFonts w:ascii="宋体" w:hAnsi="宋体"/>
        </w:rPr>
        <w:t>2.2.1 分值构成</w:t>
      </w:r>
    </w:p>
    <w:p>
      <w:pPr>
        <w:spacing w:line="360" w:lineRule="auto"/>
        <w:ind w:firstLine="420" w:firstLineChars="200"/>
        <w:rPr>
          <w:rStyle w:val="18"/>
          <w:rFonts w:ascii="宋体" w:hAnsi="宋体"/>
        </w:rPr>
      </w:pPr>
      <w:r>
        <w:rPr>
          <w:rStyle w:val="18"/>
          <w:rFonts w:ascii="宋体" w:hAnsi="宋体"/>
        </w:rPr>
        <w:t>(l）投标报价：见评标办法前附表；</w:t>
      </w:r>
    </w:p>
    <w:p>
      <w:pPr>
        <w:spacing w:line="360" w:lineRule="auto"/>
        <w:ind w:firstLine="420" w:firstLineChars="200"/>
        <w:rPr>
          <w:rStyle w:val="18"/>
          <w:rFonts w:ascii="宋体" w:hAnsi="宋体"/>
        </w:rPr>
      </w:pPr>
      <w:r>
        <w:rPr>
          <w:rStyle w:val="18"/>
          <w:rFonts w:ascii="宋体" w:hAnsi="宋体"/>
        </w:rPr>
        <w:t>(2）技术响应：见评标办法前附表；</w:t>
      </w:r>
    </w:p>
    <w:p>
      <w:pPr>
        <w:spacing w:line="360" w:lineRule="auto"/>
        <w:ind w:firstLine="420" w:firstLineChars="200"/>
        <w:rPr>
          <w:rStyle w:val="18"/>
          <w:rFonts w:ascii="宋体" w:hAnsi="宋体"/>
        </w:rPr>
      </w:pPr>
      <w:r>
        <w:rPr>
          <w:rStyle w:val="18"/>
          <w:rFonts w:ascii="宋体" w:hAnsi="宋体"/>
        </w:rPr>
        <w:t>(3）商务响应：见评标办法前附表；</w:t>
      </w:r>
    </w:p>
    <w:p>
      <w:pPr>
        <w:spacing w:line="360" w:lineRule="auto"/>
        <w:ind w:firstLine="420"/>
        <w:rPr>
          <w:rStyle w:val="18"/>
          <w:rFonts w:ascii="宋体" w:hAnsi="宋体"/>
        </w:rPr>
      </w:pPr>
      <w:r>
        <w:rPr>
          <w:rStyle w:val="18"/>
          <w:rFonts w:ascii="宋体" w:hAnsi="宋体"/>
        </w:rPr>
        <w:t>(4) 售后服务：见评标办法前附表；</w:t>
      </w:r>
    </w:p>
    <w:p>
      <w:pPr>
        <w:spacing w:line="360" w:lineRule="auto"/>
        <w:ind w:firstLine="420"/>
        <w:rPr>
          <w:rStyle w:val="18"/>
          <w:rFonts w:ascii="宋体" w:hAnsi="宋体"/>
        </w:rPr>
      </w:pPr>
      <w:r>
        <w:rPr>
          <w:rStyle w:val="18"/>
          <w:rFonts w:ascii="宋体" w:hAnsi="宋体"/>
        </w:rPr>
        <w:t>(5）安装及调试方案：见评标办法前附表；</w:t>
      </w:r>
    </w:p>
    <w:p>
      <w:pPr>
        <w:spacing w:line="360" w:lineRule="auto"/>
        <w:ind w:firstLine="315" w:firstLineChars="150"/>
        <w:rPr>
          <w:rStyle w:val="18"/>
          <w:rFonts w:ascii="宋体" w:hAnsi="宋体"/>
        </w:rPr>
      </w:pPr>
      <w:r>
        <w:rPr>
          <w:rStyle w:val="18"/>
          <w:rFonts w:ascii="宋体" w:hAnsi="宋体"/>
        </w:rPr>
        <w:t>（6）业绩：见评标办法前附表；</w:t>
      </w:r>
    </w:p>
    <w:p>
      <w:pPr>
        <w:spacing w:line="360" w:lineRule="auto"/>
        <w:ind w:firstLine="315" w:firstLineChars="150"/>
        <w:rPr>
          <w:rStyle w:val="18"/>
          <w:rFonts w:ascii="宋体" w:hAnsi="宋体"/>
        </w:rPr>
      </w:pPr>
      <w:r>
        <w:rPr>
          <w:rStyle w:val="18"/>
          <w:rFonts w:ascii="宋体" w:hAnsi="宋体"/>
        </w:rPr>
        <w:t>（7）其他评分因素：见评标办法前附表。</w:t>
      </w:r>
    </w:p>
    <w:p>
      <w:pPr>
        <w:spacing w:line="360" w:lineRule="auto"/>
        <w:ind w:firstLine="420" w:firstLineChars="200"/>
        <w:rPr>
          <w:rStyle w:val="18"/>
          <w:rFonts w:ascii="宋体" w:hAnsi="宋体"/>
        </w:rPr>
      </w:pPr>
      <w:r>
        <w:rPr>
          <w:rStyle w:val="18"/>
          <w:rFonts w:ascii="宋体" w:hAnsi="宋体"/>
        </w:rPr>
        <w:t>2.2.2 评标基准价计算方法：见评标办法前附表。</w:t>
      </w:r>
    </w:p>
    <w:p>
      <w:pPr>
        <w:spacing w:line="360" w:lineRule="auto"/>
        <w:ind w:firstLine="420" w:firstLineChars="200"/>
        <w:rPr>
          <w:rStyle w:val="18"/>
          <w:rFonts w:ascii="宋体" w:hAnsi="宋体"/>
        </w:rPr>
      </w:pPr>
      <w:r>
        <w:rPr>
          <w:rStyle w:val="18"/>
          <w:rFonts w:ascii="宋体" w:hAnsi="宋体"/>
        </w:rPr>
        <w:t>2.2.3 评分标准</w:t>
      </w:r>
    </w:p>
    <w:p>
      <w:pPr>
        <w:spacing w:line="360" w:lineRule="auto"/>
        <w:ind w:firstLine="420" w:firstLineChars="200"/>
        <w:rPr>
          <w:rStyle w:val="18"/>
          <w:rFonts w:ascii="宋体" w:hAnsi="宋体"/>
        </w:rPr>
      </w:pPr>
      <w:r>
        <w:rPr>
          <w:rStyle w:val="18"/>
          <w:rFonts w:ascii="宋体" w:hAnsi="宋体"/>
        </w:rPr>
        <w:t>(l）投标报价：见评标办法前附表；</w:t>
      </w:r>
    </w:p>
    <w:p>
      <w:pPr>
        <w:spacing w:line="360" w:lineRule="auto"/>
        <w:ind w:firstLine="420" w:firstLineChars="200"/>
        <w:rPr>
          <w:rStyle w:val="18"/>
          <w:rFonts w:ascii="宋体" w:hAnsi="宋体"/>
        </w:rPr>
      </w:pPr>
      <w:r>
        <w:rPr>
          <w:rStyle w:val="18"/>
          <w:rFonts w:ascii="宋体" w:hAnsi="宋体"/>
        </w:rPr>
        <w:t>(2）技术响应：见评标办法前附表；</w:t>
      </w:r>
    </w:p>
    <w:p>
      <w:pPr>
        <w:spacing w:line="360" w:lineRule="auto"/>
        <w:ind w:firstLine="420" w:firstLineChars="200"/>
        <w:rPr>
          <w:rStyle w:val="18"/>
          <w:rFonts w:ascii="宋体" w:hAnsi="宋体"/>
        </w:rPr>
      </w:pPr>
      <w:r>
        <w:rPr>
          <w:rStyle w:val="18"/>
          <w:rFonts w:ascii="宋体" w:hAnsi="宋体"/>
        </w:rPr>
        <w:t>(3）商务响应：见评标办法前附表；</w:t>
      </w:r>
    </w:p>
    <w:p>
      <w:pPr>
        <w:spacing w:line="360" w:lineRule="auto"/>
        <w:ind w:firstLine="420"/>
        <w:rPr>
          <w:rStyle w:val="18"/>
          <w:rFonts w:ascii="宋体" w:hAnsi="宋体"/>
        </w:rPr>
      </w:pPr>
      <w:r>
        <w:rPr>
          <w:rStyle w:val="18"/>
          <w:rFonts w:ascii="宋体" w:hAnsi="宋体"/>
        </w:rPr>
        <w:t>(4) 售后服务：见评标办法前附表；</w:t>
      </w:r>
    </w:p>
    <w:p>
      <w:pPr>
        <w:spacing w:line="360" w:lineRule="auto"/>
        <w:ind w:firstLine="420"/>
        <w:rPr>
          <w:rStyle w:val="18"/>
          <w:rFonts w:ascii="宋体" w:hAnsi="宋体"/>
        </w:rPr>
      </w:pPr>
      <w:r>
        <w:rPr>
          <w:rStyle w:val="18"/>
          <w:rFonts w:ascii="宋体" w:hAnsi="宋体"/>
        </w:rPr>
        <w:t>(5）安装及调试方案：见评标办法前附表；</w:t>
      </w:r>
    </w:p>
    <w:p>
      <w:pPr>
        <w:spacing w:line="360" w:lineRule="auto"/>
        <w:ind w:firstLine="315" w:firstLineChars="150"/>
        <w:rPr>
          <w:rStyle w:val="18"/>
          <w:rFonts w:ascii="宋体" w:hAnsi="宋体"/>
        </w:rPr>
      </w:pPr>
      <w:r>
        <w:rPr>
          <w:rStyle w:val="18"/>
          <w:rFonts w:ascii="宋体" w:hAnsi="宋体"/>
        </w:rPr>
        <w:t>（6）业绩：见评标办法前附表；</w:t>
      </w:r>
    </w:p>
    <w:p>
      <w:pPr>
        <w:spacing w:line="360" w:lineRule="auto"/>
        <w:ind w:firstLine="315" w:firstLineChars="150"/>
        <w:rPr>
          <w:rStyle w:val="18"/>
          <w:rFonts w:ascii="宋体" w:hAnsi="宋体"/>
        </w:rPr>
      </w:pPr>
      <w:r>
        <w:rPr>
          <w:rStyle w:val="18"/>
          <w:rFonts w:ascii="宋体" w:hAnsi="宋体"/>
        </w:rPr>
        <w:t>（7）其他评分因素：见评标办法前附表。</w:t>
      </w:r>
    </w:p>
    <w:p>
      <w:pPr>
        <w:pStyle w:val="23"/>
        <w:rPr>
          <w:rStyle w:val="18"/>
          <w:rFonts w:ascii="宋体" w:hAnsi="宋体" w:eastAsia="宋体" w:cs="宋体"/>
        </w:rPr>
      </w:pPr>
      <w:r>
        <w:rPr>
          <w:rStyle w:val="18"/>
          <w:rFonts w:ascii="宋体" w:hAnsi="宋体" w:eastAsia="宋体" w:cs="宋体"/>
        </w:rPr>
        <w:t>3 评标程序</w:t>
      </w:r>
    </w:p>
    <w:p>
      <w:pPr>
        <w:pStyle w:val="24"/>
        <w:ind w:firstLine="118"/>
        <w:rPr>
          <w:rStyle w:val="18"/>
          <w:rFonts w:ascii="宋体" w:hAnsi="宋体" w:eastAsia="宋体"/>
        </w:rPr>
      </w:pPr>
      <w:r>
        <w:rPr>
          <w:rStyle w:val="18"/>
          <w:rFonts w:ascii="宋体" w:hAnsi="宋体" w:eastAsia="宋体"/>
          <w:kern w:val="0"/>
        </w:rPr>
        <w:t>3.1 评标准备</w:t>
      </w:r>
    </w:p>
    <w:p>
      <w:pPr>
        <w:spacing w:line="500" w:lineRule="exact"/>
        <w:ind w:firstLine="420" w:firstLineChars="200"/>
        <w:jc w:val="left"/>
        <w:rPr>
          <w:rStyle w:val="18"/>
          <w:rFonts w:ascii="宋体" w:hAnsi="宋体"/>
          <w:kern w:val="0"/>
        </w:rPr>
      </w:pPr>
      <w:r>
        <w:rPr>
          <w:rStyle w:val="18"/>
          <w:rFonts w:ascii="宋体" w:hAnsi="宋体"/>
          <w:kern w:val="0"/>
        </w:rPr>
        <w:t>3.1.1 评标委员会成员到达评标现场时应在签到表上签到</w:t>
      </w:r>
      <w:r>
        <w:rPr>
          <w:rStyle w:val="18"/>
          <w:rFonts w:ascii="宋体" w:hAnsi="宋体"/>
          <w:kern w:val="0"/>
          <w:szCs w:val="21"/>
        </w:rPr>
        <w:t>（或通过门禁系统签到）</w:t>
      </w:r>
      <w:r>
        <w:rPr>
          <w:rStyle w:val="18"/>
          <w:rFonts w:ascii="宋体" w:hAnsi="宋体"/>
          <w:kern w:val="0"/>
        </w:rPr>
        <w:t>以证明其出席。</w:t>
      </w:r>
    </w:p>
    <w:p>
      <w:pPr>
        <w:spacing w:line="500" w:lineRule="exact"/>
        <w:ind w:firstLine="420" w:firstLineChars="200"/>
        <w:jc w:val="left"/>
        <w:rPr>
          <w:rStyle w:val="18"/>
          <w:rFonts w:ascii="宋体" w:hAnsi="宋体"/>
          <w:kern w:val="0"/>
        </w:rPr>
      </w:pPr>
      <w:r>
        <w:rPr>
          <w:rStyle w:val="18"/>
          <w:rFonts w:ascii="宋体" w:hAnsi="宋体"/>
          <w:kern w:val="0"/>
        </w:rPr>
        <w:t>3.1.2 评标委员会成员首先推选一名评标委员会负责人，负责评标活动的组织领导工作。</w:t>
      </w:r>
    </w:p>
    <w:p>
      <w:pPr>
        <w:spacing w:line="500" w:lineRule="exact"/>
        <w:ind w:firstLine="420" w:firstLineChars="200"/>
        <w:jc w:val="left"/>
        <w:rPr>
          <w:rStyle w:val="18"/>
          <w:rFonts w:ascii="宋体" w:hAnsi="宋体"/>
          <w:kern w:val="0"/>
        </w:rPr>
      </w:pPr>
      <w:r>
        <w:rPr>
          <w:rStyle w:val="18"/>
          <w:rFonts w:ascii="宋体" w:hAnsi="宋体"/>
          <w:kern w:val="0"/>
        </w:rPr>
        <w:t>3.1.3 招标人或招标代理机构应向评标委员会提供评标所需的信息和数据。评标委员会负责人应组织评标委员会成员认真研究招标文件，未在招标文件中规定的标准和方法不得作为评标的依据。</w:t>
      </w:r>
    </w:p>
    <w:p>
      <w:pPr>
        <w:pStyle w:val="24"/>
        <w:ind w:firstLine="118"/>
        <w:rPr>
          <w:rStyle w:val="18"/>
          <w:rFonts w:ascii="宋体" w:hAnsi="宋体" w:eastAsia="宋体"/>
        </w:rPr>
      </w:pPr>
      <w:r>
        <w:rPr>
          <w:rStyle w:val="18"/>
          <w:rFonts w:ascii="宋体" w:hAnsi="宋体" w:eastAsia="宋体"/>
        </w:rPr>
        <w:t>3.2 初步评审</w:t>
      </w:r>
    </w:p>
    <w:p>
      <w:pPr>
        <w:spacing w:line="360" w:lineRule="auto"/>
        <w:ind w:firstLine="420" w:firstLineChars="200"/>
        <w:rPr>
          <w:rStyle w:val="18"/>
          <w:rFonts w:ascii="宋体" w:hAnsi="宋体"/>
        </w:rPr>
      </w:pPr>
      <w:r>
        <w:rPr>
          <w:rStyle w:val="18"/>
          <w:rFonts w:ascii="宋体" w:hAnsi="宋体"/>
        </w:rPr>
        <w:t>3.2.1评标委员会依据本章第2.1 款规定的标准对投标文件进行初步评审。</w:t>
      </w:r>
    </w:p>
    <w:p>
      <w:pPr>
        <w:spacing w:line="360" w:lineRule="auto"/>
        <w:ind w:firstLine="420" w:firstLineChars="200"/>
        <w:rPr>
          <w:rStyle w:val="18"/>
          <w:rFonts w:ascii="宋体" w:hAnsi="宋体"/>
        </w:rPr>
      </w:pPr>
      <w:r>
        <w:rPr>
          <w:rStyle w:val="18"/>
          <w:rFonts w:ascii="宋体" w:hAnsi="宋体"/>
        </w:rPr>
        <w:t>3.2.2投标文件不符合本章第2.1款评审标准的，属于重大偏差，视为未能对招标文件作出实质性响应，应当作为无效投标予以否决。</w:t>
      </w:r>
    </w:p>
    <w:p>
      <w:pPr>
        <w:spacing w:line="360" w:lineRule="auto"/>
        <w:ind w:firstLine="420" w:firstLineChars="200"/>
        <w:rPr>
          <w:rStyle w:val="18"/>
          <w:rFonts w:ascii="宋体" w:hAnsi="宋体"/>
        </w:rPr>
      </w:pPr>
      <w:r>
        <w:rPr>
          <w:rStyle w:val="18"/>
          <w:rFonts w:ascii="宋体" w:hAnsi="宋体"/>
        </w:rPr>
        <w:t>3.2.3投标文件有下列情况之一的，视为未能对招标文件作出实质性响应：</w:t>
      </w:r>
    </w:p>
    <w:p>
      <w:pPr>
        <w:spacing w:line="360" w:lineRule="auto"/>
        <w:ind w:firstLine="420" w:firstLineChars="200"/>
        <w:rPr>
          <w:rStyle w:val="18"/>
          <w:rFonts w:ascii="宋体" w:hAnsi="宋体"/>
        </w:rPr>
      </w:pPr>
      <w:r>
        <w:rPr>
          <w:rStyle w:val="18"/>
          <w:rFonts w:ascii="宋体" w:hAnsi="宋体"/>
        </w:rPr>
        <w:t xml:space="preserve">（1）投标人资格条件不符合国家有关规定或招标文件要求的； </w:t>
      </w:r>
    </w:p>
    <w:p>
      <w:pPr>
        <w:spacing w:line="360" w:lineRule="auto"/>
        <w:ind w:firstLine="420" w:firstLineChars="200"/>
        <w:rPr>
          <w:rStyle w:val="18"/>
          <w:rFonts w:ascii="宋体" w:hAnsi="宋体"/>
        </w:rPr>
      </w:pPr>
      <w:r>
        <w:rPr>
          <w:rStyle w:val="18"/>
          <w:rFonts w:ascii="宋体" w:hAnsi="宋体"/>
        </w:rPr>
        <w:t>（2）组成联合体投标未提供联合体各方共同投标协议的；</w:t>
      </w:r>
    </w:p>
    <w:p>
      <w:pPr>
        <w:spacing w:line="360" w:lineRule="auto"/>
        <w:ind w:firstLine="420" w:firstLineChars="200"/>
        <w:rPr>
          <w:rStyle w:val="18"/>
          <w:rFonts w:ascii="宋体" w:hAnsi="宋体"/>
        </w:rPr>
      </w:pPr>
      <w:r>
        <w:rPr>
          <w:rStyle w:val="18"/>
          <w:rFonts w:ascii="宋体" w:hAnsi="宋体"/>
        </w:rPr>
        <w:t>（3）在同一招标项目中，联合体成员以自己名义单独投标或者参加其他联合体投标的；</w:t>
      </w:r>
    </w:p>
    <w:p>
      <w:pPr>
        <w:spacing w:line="360" w:lineRule="auto"/>
        <w:ind w:firstLine="420" w:firstLineChars="200"/>
        <w:rPr>
          <w:rStyle w:val="18"/>
          <w:rFonts w:ascii="宋体" w:hAnsi="宋体"/>
        </w:rPr>
      </w:pPr>
      <w:r>
        <w:rPr>
          <w:rStyle w:val="18"/>
          <w:rFonts w:ascii="宋体" w:hAnsi="宋体"/>
        </w:rPr>
        <w:t>（4）联合体成员与资格预审确定的结果不一致的；</w:t>
      </w:r>
    </w:p>
    <w:p>
      <w:pPr>
        <w:spacing w:line="360" w:lineRule="auto"/>
        <w:ind w:firstLine="420" w:firstLineChars="200"/>
        <w:rPr>
          <w:rStyle w:val="18"/>
          <w:rFonts w:ascii="宋体" w:hAnsi="宋体"/>
        </w:rPr>
      </w:pPr>
      <w:r>
        <w:rPr>
          <w:rStyle w:val="18"/>
          <w:rFonts w:ascii="宋体" w:hAnsi="宋体"/>
        </w:rPr>
        <w:t>（5）投标文件技术规格中一般参数超出招标文件允许偏离的最大范围或最高项数的；</w:t>
      </w:r>
    </w:p>
    <w:p>
      <w:pPr>
        <w:spacing w:line="360" w:lineRule="auto"/>
        <w:ind w:firstLine="420" w:firstLineChars="200"/>
        <w:rPr>
          <w:rStyle w:val="18"/>
          <w:rFonts w:ascii="宋体" w:hAnsi="宋体"/>
        </w:rPr>
      </w:pPr>
      <w:r>
        <w:rPr>
          <w:rStyle w:val="18"/>
          <w:rFonts w:ascii="宋体" w:hAnsi="宋体"/>
        </w:rPr>
        <w:t xml:space="preserve">（6）投标报价低于成本或者高于招标文件设定的最高投标限价的； </w:t>
      </w:r>
    </w:p>
    <w:p>
      <w:pPr>
        <w:spacing w:line="360" w:lineRule="auto"/>
        <w:ind w:firstLine="420" w:firstLineChars="200"/>
        <w:rPr>
          <w:rStyle w:val="18"/>
          <w:rFonts w:ascii="宋体" w:hAnsi="宋体"/>
        </w:rPr>
      </w:pPr>
      <w:r>
        <w:rPr>
          <w:rStyle w:val="18"/>
          <w:rFonts w:ascii="宋体" w:hAnsi="宋体"/>
        </w:rPr>
        <w:t xml:space="preserve">（7）明显不符合技术规范、技术标准的要求的； </w:t>
      </w:r>
    </w:p>
    <w:p>
      <w:pPr>
        <w:spacing w:line="360" w:lineRule="auto"/>
        <w:ind w:firstLine="420" w:firstLineChars="200"/>
        <w:rPr>
          <w:rStyle w:val="18"/>
          <w:rFonts w:ascii="宋体" w:hAnsi="宋体"/>
        </w:rPr>
      </w:pPr>
      <w:r>
        <w:rPr>
          <w:rStyle w:val="18"/>
          <w:rFonts w:ascii="宋体" w:hAnsi="宋体"/>
        </w:rPr>
        <w:t xml:space="preserve">（8）投标文件载明的货物包装方式、检验标准和方法等不符合招标文件的要求的； </w:t>
      </w:r>
    </w:p>
    <w:p>
      <w:pPr>
        <w:spacing w:line="360" w:lineRule="auto"/>
        <w:ind w:firstLine="420" w:firstLineChars="200"/>
        <w:rPr>
          <w:rStyle w:val="18"/>
          <w:rFonts w:ascii="宋体" w:hAnsi="宋体"/>
        </w:rPr>
      </w:pPr>
      <w:r>
        <w:rPr>
          <w:rStyle w:val="18"/>
          <w:rFonts w:ascii="宋体" w:hAnsi="宋体"/>
        </w:rPr>
        <w:t>（9）投标文件提出的工程验收、计量、价款结算和支付办法不能满足招标文件要求或招标人不能接受；</w:t>
      </w:r>
    </w:p>
    <w:p>
      <w:pPr>
        <w:spacing w:line="360" w:lineRule="auto"/>
        <w:ind w:firstLine="420" w:firstLineChars="200"/>
        <w:rPr>
          <w:rStyle w:val="18"/>
          <w:rFonts w:ascii="宋体" w:hAnsi="宋体"/>
        </w:rPr>
      </w:pPr>
      <w:r>
        <w:rPr>
          <w:rStyle w:val="18"/>
          <w:rFonts w:ascii="宋体" w:hAnsi="宋体"/>
        </w:rPr>
        <w:t xml:space="preserve">（10）不同投标人的投标文件出现了评标委员会认为不应当雷同的情况的； </w:t>
      </w:r>
    </w:p>
    <w:p>
      <w:pPr>
        <w:spacing w:line="360" w:lineRule="auto"/>
        <w:ind w:firstLine="420" w:firstLineChars="200"/>
        <w:rPr>
          <w:rStyle w:val="18"/>
          <w:rFonts w:ascii="宋体" w:hAnsi="宋体"/>
        </w:rPr>
      </w:pPr>
      <w:r>
        <w:rPr>
          <w:rStyle w:val="18"/>
          <w:rFonts w:ascii="宋体" w:hAnsi="宋体"/>
        </w:rPr>
        <w:t>（11）以他人的名义投标、串通投标、以行贿手段谋取中标或者以其他弄虚作假方式投标的。</w:t>
      </w:r>
    </w:p>
    <w:p>
      <w:pPr>
        <w:spacing w:line="360" w:lineRule="auto"/>
        <w:ind w:firstLine="420" w:firstLineChars="200"/>
        <w:rPr>
          <w:rStyle w:val="18"/>
          <w:rFonts w:ascii="宋体" w:hAnsi="宋体"/>
        </w:rPr>
      </w:pPr>
      <w:r>
        <w:rPr>
          <w:rStyle w:val="18"/>
          <w:rFonts w:ascii="宋体" w:hAnsi="宋体"/>
        </w:rPr>
        <w:t>3.2.4 投标报价有算术错误的，评标委员会按以下原则对投标报价进行修正，修正的价格经投标人书面确认后具有约束力。</w:t>
      </w:r>
    </w:p>
    <w:p>
      <w:pPr>
        <w:spacing w:line="360" w:lineRule="auto"/>
        <w:ind w:firstLine="420" w:firstLineChars="200"/>
        <w:rPr>
          <w:rStyle w:val="18"/>
          <w:rFonts w:ascii="宋体" w:hAnsi="宋体"/>
        </w:rPr>
      </w:pPr>
      <w:r>
        <w:rPr>
          <w:rStyle w:val="18"/>
          <w:rFonts w:ascii="宋体" w:hAnsi="宋体"/>
        </w:rPr>
        <w:t>(1）投标文件中的大写金额与小写金额不一致的，以大写金额为准；</w:t>
      </w:r>
    </w:p>
    <w:p>
      <w:pPr>
        <w:spacing w:line="360" w:lineRule="auto"/>
        <w:ind w:firstLine="420" w:firstLineChars="200"/>
        <w:rPr>
          <w:rStyle w:val="18"/>
          <w:rFonts w:ascii="宋体" w:hAnsi="宋体"/>
        </w:rPr>
      </w:pPr>
      <w:r>
        <w:rPr>
          <w:rStyle w:val="18"/>
          <w:rFonts w:ascii="宋体" w:hAnsi="宋体"/>
        </w:rPr>
        <w:t>(2）总价金额与依据单价计算出的结果不一致的，以单价金额为准修正总价，但单价金额小数点有明显错误的除外。</w:t>
      </w:r>
    </w:p>
    <w:p>
      <w:pPr>
        <w:spacing w:line="360" w:lineRule="auto"/>
        <w:ind w:firstLine="420" w:firstLineChars="200"/>
        <w:rPr>
          <w:rStyle w:val="18"/>
          <w:rFonts w:ascii="宋体" w:hAnsi="宋体"/>
        </w:rPr>
      </w:pPr>
      <w:r>
        <w:rPr>
          <w:rStyle w:val="18"/>
          <w:rFonts w:ascii="宋体" w:hAnsi="宋体"/>
        </w:rPr>
        <w:t>3.2.5 凡招标文件未明确标明无效标条款的，评标委员会不得作为判定无效投标的依据。</w:t>
      </w:r>
    </w:p>
    <w:p>
      <w:pPr>
        <w:pStyle w:val="24"/>
        <w:ind w:firstLine="118"/>
        <w:rPr>
          <w:rStyle w:val="18"/>
          <w:rFonts w:ascii="宋体" w:hAnsi="宋体" w:eastAsia="宋体"/>
        </w:rPr>
      </w:pPr>
      <w:r>
        <w:rPr>
          <w:rStyle w:val="18"/>
          <w:rFonts w:ascii="宋体" w:hAnsi="宋体" w:eastAsia="宋体"/>
        </w:rPr>
        <w:t>3.3 详细评审</w:t>
      </w:r>
    </w:p>
    <w:p>
      <w:pPr>
        <w:spacing w:line="400" w:lineRule="exact"/>
        <w:ind w:firstLine="420" w:firstLineChars="200"/>
        <w:rPr>
          <w:rStyle w:val="18"/>
          <w:rFonts w:ascii="宋体" w:hAnsi="宋体"/>
        </w:rPr>
      </w:pPr>
      <w:r>
        <w:rPr>
          <w:rStyle w:val="18"/>
          <w:rFonts w:ascii="宋体" w:hAnsi="宋体"/>
        </w:rPr>
        <w:t>3.2.1 评标委员会按本章第2.2款规定的量化因素和分值进行打分，并计算出综合评估得分。</w:t>
      </w:r>
    </w:p>
    <w:p>
      <w:pPr>
        <w:spacing w:line="400" w:lineRule="exact"/>
        <w:ind w:firstLine="420" w:firstLineChars="200"/>
        <w:rPr>
          <w:rStyle w:val="18"/>
          <w:rFonts w:ascii="宋体" w:hAnsi="宋体"/>
        </w:rPr>
      </w:pPr>
      <w:r>
        <w:rPr>
          <w:rStyle w:val="18"/>
          <w:rFonts w:ascii="宋体" w:hAnsi="宋体"/>
        </w:rPr>
        <w:t>3.2.2 评分分值计算保留小数点后两位，小数点后第三位“四舍五入”。</w:t>
      </w:r>
    </w:p>
    <w:p>
      <w:pPr>
        <w:pStyle w:val="24"/>
        <w:ind w:firstLine="118"/>
        <w:rPr>
          <w:rStyle w:val="18"/>
          <w:rFonts w:ascii="宋体" w:hAnsi="宋体" w:eastAsia="宋体"/>
        </w:rPr>
      </w:pPr>
      <w:r>
        <w:rPr>
          <w:rStyle w:val="18"/>
          <w:rFonts w:ascii="宋体" w:hAnsi="宋体" w:eastAsia="宋体"/>
        </w:rPr>
        <w:t>3.4 投标文件的澄清和补正</w:t>
      </w:r>
    </w:p>
    <w:p>
      <w:pPr>
        <w:spacing w:line="360" w:lineRule="auto"/>
        <w:ind w:firstLine="420" w:firstLineChars="200"/>
        <w:rPr>
          <w:rStyle w:val="18"/>
          <w:rFonts w:ascii="宋体" w:hAnsi="宋体"/>
        </w:rPr>
      </w:pPr>
      <w:r>
        <w:rPr>
          <w:rStyle w:val="18"/>
          <w:rFonts w:ascii="宋体" w:hAnsi="宋体"/>
        </w:rPr>
        <w:t>3.4.1 在评标过程中，评标委员会可以书面形式要求投标人对所提交投标文件中不明确的内容进行书面澄清或说明，或者对细微偏差进行补正。评标委员会不接受投标人主动提出的澄清、说明或补正。</w:t>
      </w:r>
    </w:p>
    <w:p>
      <w:pPr>
        <w:spacing w:line="360" w:lineRule="auto"/>
        <w:ind w:firstLine="420" w:firstLineChars="200"/>
        <w:rPr>
          <w:rStyle w:val="18"/>
          <w:rFonts w:ascii="宋体" w:hAnsi="宋体"/>
        </w:rPr>
      </w:pPr>
      <w:r>
        <w:rPr>
          <w:rStyle w:val="18"/>
          <w:rFonts w:ascii="宋体" w:hAnsi="宋体"/>
        </w:rPr>
        <w:t>3.4.2 澄清、说明和补正不得改变投标文件的实质性内容（算术性错误修正的除外）。投标人的书面澄清、说明和补正属于投标文件的组成部分。</w:t>
      </w:r>
    </w:p>
    <w:p>
      <w:pPr>
        <w:spacing w:line="360" w:lineRule="auto"/>
        <w:ind w:firstLine="420" w:firstLineChars="200"/>
        <w:rPr>
          <w:rStyle w:val="18"/>
          <w:rFonts w:ascii="宋体" w:hAnsi="宋体"/>
        </w:rPr>
      </w:pPr>
      <w:r>
        <w:rPr>
          <w:rStyle w:val="18"/>
          <w:rFonts w:ascii="宋体" w:hAnsi="宋体"/>
        </w:rPr>
        <w:t>3.4.3 评标委员会对投标人提交的澄清、说明或补正有疑问的，可以要求投标人进一步澄清、说明或补正。</w:t>
      </w:r>
    </w:p>
    <w:p>
      <w:pPr>
        <w:pStyle w:val="24"/>
        <w:ind w:firstLine="118"/>
        <w:rPr>
          <w:rStyle w:val="18"/>
          <w:rFonts w:ascii="宋体" w:hAnsi="宋体" w:eastAsia="宋体"/>
          <w:b/>
          <w:kern w:val="0"/>
        </w:rPr>
      </w:pPr>
      <w:r>
        <w:rPr>
          <w:rStyle w:val="18"/>
          <w:rFonts w:ascii="宋体" w:hAnsi="宋体" w:eastAsia="宋体"/>
        </w:rPr>
        <w:t>3.5 推荐中标候选人或直接确定中标人</w:t>
      </w:r>
    </w:p>
    <w:p>
      <w:pPr>
        <w:spacing w:line="500" w:lineRule="exact"/>
        <w:ind w:firstLine="420" w:firstLineChars="200"/>
        <w:jc w:val="left"/>
        <w:rPr>
          <w:rStyle w:val="18"/>
          <w:rFonts w:ascii="宋体" w:hAnsi="宋体"/>
          <w:kern w:val="0"/>
        </w:rPr>
      </w:pPr>
      <w:r>
        <w:rPr>
          <w:rStyle w:val="18"/>
          <w:rFonts w:ascii="宋体" w:hAnsi="宋体"/>
          <w:kern w:val="0"/>
        </w:rPr>
        <w:t>3.5.1 除投标人须知前附表授权直接确定中标人外，评标委员会在推荐中标候选人时，应遵照以下原则:</w:t>
      </w:r>
    </w:p>
    <w:p>
      <w:pPr>
        <w:spacing w:line="500" w:lineRule="exact"/>
        <w:ind w:firstLine="420" w:firstLineChars="200"/>
        <w:jc w:val="left"/>
        <w:rPr>
          <w:rStyle w:val="18"/>
          <w:rFonts w:ascii="宋体" w:hAnsi="宋体"/>
          <w:kern w:val="0"/>
        </w:rPr>
      </w:pPr>
      <w:r>
        <w:rPr>
          <w:rStyle w:val="18"/>
          <w:rFonts w:ascii="宋体" w:hAnsi="宋体"/>
          <w:kern w:val="0"/>
        </w:rPr>
        <w:t>(1)评标委员会按照最终得分由高至低的次序排列，并根据投标人须知前附表规定的中标候选人数量，将排序在前的投标人推荐为中标候选人。</w:t>
      </w:r>
    </w:p>
    <w:p>
      <w:pPr>
        <w:spacing w:line="500" w:lineRule="exact"/>
        <w:ind w:firstLine="420" w:firstLineChars="200"/>
        <w:jc w:val="left"/>
        <w:rPr>
          <w:rStyle w:val="18"/>
          <w:rFonts w:ascii="宋体" w:hAnsi="宋体"/>
          <w:kern w:val="0"/>
        </w:rPr>
      </w:pPr>
      <w:r>
        <w:rPr>
          <w:rStyle w:val="18"/>
          <w:rFonts w:ascii="宋体" w:hAnsi="宋体"/>
          <w:kern w:val="0"/>
        </w:rPr>
        <w:t>(2)如果评标委员会根据本章的规定作无效标处理后，有效投标不足三个，且少于投标人须知前附表规定的中标候选人数量的，则评标委员会可以将所有有效投标按最终得分由高至低的次序作为中标候选人向招标人推荐。如果因有效投标不足三个使得投标明显缺乏竞争的，评标委员会可以否决全部投标。</w:t>
      </w:r>
    </w:p>
    <w:p>
      <w:pPr>
        <w:spacing w:line="500" w:lineRule="exact"/>
        <w:ind w:firstLine="420" w:firstLineChars="200"/>
        <w:jc w:val="left"/>
        <w:rPr>
          <w:rStyle w:val="18"/>
          <w:rFonts w:ascii="宋体" w:hAnsi="宋体"/>
          <w:kern w:val="0"/>
          <w:sz w:val="28"/>
        </w:rPr>
      </w:pPr>
      <w:r>
        <w:rPr>
          <w:rStyle w:val="18"/>
          <w:rFonts w:ascii="宋体" w:hAnsi="宋体"/>
          <w:kern w:val="0"/>
        </w:rPr>
        <w:t>3.5.2 投标人须知前附表授权评标委员会直接确定中标人的，评标委员会按照最终得分由高至低的次序排列，并确定排名第一的投标人为中标人。</w:t>
      </w:r>
    </w:p>
    <w:p>
      <w:pPr>
        <w:pStyle w:val="24"/>
        <w:ind w:firstLine="118"/>
        <w:rPr>
          <w:rStyle w:val="18"/>
          <w:rFonts w:ascii="宋体" w:hAnsi="宋体" w:eastAsia="宋体"/>
        </w:rPr>
      </w:pPr>
      <w:r>
        <w:rPr>
          <w:rStyle w:val="18"/>
          <w:rFonts w:ascii="宋体" w:hAnsi="宋体" w:eastAsia="宋体"/>
        </w:rPr>
        <w:t xml:space="preserve">3.6 提交评标报告 </w:t>
      </w:r>
    </w:p>
    <w:p>
      <w:pPr>
        <w:spacing w:line="500" w:lineRule="exact"/>
        <w:ind w:firstLine="420" w:firstLineChars="200"/>
        <w:jc w:val="left"/>
        <w:rPr>
          <w:rStyle w:val="18"/>
          <w:rFonts w:ascii="宋体" w:hAnsi="宋体" w:cs="宋体"/>
        </w:rPr>
      </w:pPr>
      <w:r>
        <w:rPr>
          <w:rStyle w:val="18"/>
          <w:rFonts w:ascii="宋体" w:hAnsi="宋体"/>
          <w:kern w:val="0"/>
        </w:rPr>
        <w:t>评标委员会完成评标后，应当向招标人提交书面评标报告。评标报告应当由全体评标委员会成员签字，并于评标结束时抄送有关行政监督部门。</w:t>
      </w:r>
      <w:bookmarkStart w:id="12" w:name="_Toc18079"/>
      <w:bookmarkStart w:id="13" w:name="_Toc850"/>
    </w:p>
    <w:p>
      <w:pPr>
        <w:pStyle w:val="2"/>
        <w:rPr>
          <w:rStyle w:val="18"/>
          <w:rFonts w:ascii="宋体" w:hAnsi="宋体" w:cs="宋体"/>
        </w:rPr>
      </w:pPr>
    </w:p>
    <w:p>
      <w:pPr>
        <w:pStyle w:val="2"/>
        <w:rPr>
          <w:rStyle w:val="18"/>
          <w:rFonts w:ascii="宋体" w:hAnsi="宋体" w:cs="宋体"/>
        </w:rPr>
      </w:pPr>
    </w:p>
    <w:p>
      <w:pPr>
        <w:pStyle w:val="21"/>
        <w:outlineLvl w:val="0"/>
        <w:rPr>
          <w:rStyle w:val="18"/>
          <w:rFonts w:ascii="宋体" w:hAnsi="宋体" w:cs="宋体"/>
        </w:rPr>
      </w:pPr>
      <w:bookmarkStart w:id="14" w:name="_Toc15565"/>
      <w:bookmarkStart w:id="15" w:name="_Toc27224"/>
      <w:r>
        <w:rPr>
          <w:rStyle w:val="18"/>
          <w:rFonts w:ascii="宋体" w:hAnsi="宋体" w:cs="宋体"/>
        </w:rPr>
        <w:t>第四章 合同条款及格式</w:t>
      </w:r>
      <w:bookmarkEnd w:id="12"/>
      <w:bookmarkEnd w:id="13"/>
      <w:bookmarkEnd w:id="14"/>
      <w:bookmarkEnd w:id="15"/>
    </w:p>
    <w:p>
      <w:pPr>
        <w:pStyle w:val="27"/>
        <w:snapToGrid w:val="0"/>
        <w:spacing w:before="120" w:after="120" w:line="360" w:lineRule="auto"/>
        <w:jc w:val="left"/>
        <w:rPr>
          <w:rStyle w:val="18"/>
          <w:rFonts w:hAnsi="宋体"/>
          <w:sz w:val="21"/>
          <w:szCs w:val="21"/>
        </w:rPr>
      </w:pPr>
      <w:r>
        <w:rPr>
          <w:rStyle w:val="18"/>
          <w:rFonts w:hAnsi="宋体"/>
          <w:sz w:val="21"/>
          <w:szCs w:val="21"/>
        </w:rPr>
        <w:t xml:space="preserve">项目名称：                                      </w:t>
      </w:r>
    </w:p>
    <w:p>
      <w:pPr>
        <w:pStyle w:val="27"/>
        <w:snapToGrid w:val="0"/>
        <w:spacing w:before="120" w:after="120" w:line="360" w:lineRule="auto"/>
        <w:rPr>
          <w:rStyle w:val="18"/>
          <w:rFonts w:hAnsi="宋体"/>
          <w:sz w:val="21"/>
          <w:szCs w:val="21"/>
        </w:rPr>
      </w:pPr>
      <w:r>
        <w:rPr>
          <w:rStyle w:val="18"/>
          <w:rFonts w:hAnsi="宋体"/>
          <w:sz w:val="21"/>
          <w:szCs w:val="21"/>
        </w:rPr>
        <w:t>甲方：（买方）</w:t>
      </w:r>
    </w:p>
    <w:p>
      <w:pPr>
        <w:pStyle w:val="27"/>
        <w:snapToGrid w:val="0"/>
        <w:spacing w:before="120" w:after="120" w:line="360" w:lineRule="auto"/>
        <w:rPr>
          <w:rStyle w:val="18"/>
          <w:rFonts w:hAnsi="宋体"/>
          <w:sz w:val="21"/>
          <w:szCs w:val="21"/>
        </w:rPr>
      </w:pPr>
      <w:r>
        <w:rPr>
          <w:rStyle w:val="18"/>
          <w:rFonts w:hAnsi="宋体"/>
          <w:sz w:val="21"/>
          <w:szCs w:val="21"/>
        </w:rPr>
        <w:t>乙方：（卖方）</w:t>
      </w:r>
    </w:p>
    <w:p>
      <w:pPr>
        <w:pStyle w:val="27"/>
        <w:snapToGrid w:val="0"/>
        <w:spacing w:before="120" w:after="120" w:line="360" w:lineRule="auto"/>
        <w:ind w:firstLine="420" w:firstLineChars="200"/>
        <w:rPr>
          <w:rStyle w:val="18"/>
          <w:rFonts w:hAnsi="宋体"/>
          <w:b/>
          <w:sz w:val="21"/>
          <w:szCs w:val="21"/>
        </w:rPr>
      </w:pPr>
      <w:r>
        <w:rPr>
          <w:rStyle w:val="18"/>
          <w:rFonts w:hAnsi="宋体"/>
          <w:sz w:val="21"/>
          <w:szCs w:val="21"/>
        </w:rPr>
        <w:t>甲、乙双方根据</w:t>
      </w:r>
      <w:r>
        <w:rPr>
          <w:rStyle w:val="18"/>
          <w:rFonts w:hAnsi="宋体"/>
          <w:sz w:val="21"/>
          <w:szCs w:val="21"/>
          <w:u w:val="single"/>
        </w:rPr>
        <w:t xml:space="preserve">                 </w:t>
      </w:r>
      <w:r>
        <w:rPr>
          <w:rStyle w:val="18"/>
          <w:rFonts w:hAnsi="宋体"/>
          <w:sz w:val="21"/>
          <w:szCs w:val="21"/>
        </w:rPr>
        <w:t>项目公开招标的中标结果及中标通知书，签署本合同。</w:t>
      </w:r>
    </w:p>
    <w:p>
      <w:pPr>
        <w:pStyle w:val="27"/>
        <w:snapToGrid w:val="0"/>
        <w:spacing w:before="120" w:after="120" w:line="360" w:lineRule="auto"/>
        <w:rPr>
          <w:rStyle w:val="18"/>
          <w:rFonts w:hAnsi="宋体"/>
          <w:b/>
          <w:sz w:val="21"/>
          <w:szCs w:val="21"/>
        </w:rPr>
      </w:pPr>
      <w:r>
        <w:rPr>
          <w:rStyle w:val="18"/>
          <w:rFonts w:hAnsi="宋体"/>
          <w:b/>
          <w:sz w:val="21"/>
          <w:szCs w:val="21"/>
        </w:rPr>
        <w:t>一、货物内容</w:t>
      </w:r>
    </w:p>
    <w:p>
      <w:pPr>
        <w:pStyle w:val="27"/>
        <w:snapToGrid w:val="0"/>
        <w:spacing w:before="120" w:after="120" w:line="360" w:lineRule="auto"/>
        <w:rPr>
          <w:rStyle w:val="18"/>
          <w:rFonts w:hAnsi="宋体"/>
          <w:sz w:val="21"/>
          <w:szCs w:val="21"/>
        </w:rPr>
      </w:pPr>
      <w:r>
        <w:rPr>
          <w:rStyle w:val="18"/>
          <w:rFonts w:hAnsi="宋体"/>
          <w:sz w:val="21"/>
          <w:szCs w:val="21"/>
        </w:rPr>
        <w:t>1. 货物名称：</w:t>
      </w:r>
    </w:p>
    <w:p>
      <w:pPr>
        <w:pStyle w:val="27"/>
        <w:snapToGrid w:val="0"/>
        <w:spacing w:before="120" w:after="120" w:line="360" w:lineRule="auto"/>
        <w:rPr>
          <w:rStyle w:val="18"/>
          <w:rFonts w:hAnsi="宋体"/>
          <w:sz w:val="21"/>
          <w:szCs w:val="21"/>
        </w:rPr>
      </w:pPr>
      <w:r>
        <w:rPr>
          <w:rStyle w:val="18"/>
          <w:rFonts w:hAnsi="宋体"/>
          <w:sz w:val="21"/>
          <w:szCs w:val="21"/>
        </w:rPr>
        <w:t>2. 型号规格：</w:t>
      </w:r>
    </w:p>
    <w:p>
      <w:pPr>
        <w:pStyle w:val="27"/>
        <w:snapToGrid w:val="0"/>
        <w:spacing w:before="120" w:after="120" w:line="360" w:lineRule="auto"/>
        <w:rPr>
          <w:rStyle w:val="18"/>
          <w:rFonts w:hAnsi="宋体"/>
          <w:sz w:val="21"/>
          <w:szCs w:val="21"/>
        </w:rPr>
      </w:pPr>
      <w:r>
        <w:rPr>
          <w:rStyle w:val="18"/>
          <w:rFonts w:hAnsi="宋体"/>
          <w:sz w:val="21"/>
          <w:szCs w:val="21"/>
        </w:rPr>
        <w:t>3. 技术参数：</w:t>
      </w:r>
    </w:p>
    <w:p>
      <w:pPr>
        <w:pStyle w:val="27"/>
        <w:snapToGrid w:val="0"/>
        <w:spacing w:before="120" w:after="120" w:line="360" w:lineRule="auto"/>
        <w:rPr>
          <w:rStyle w:val="18"/>
          <w:rFonts w:hAnsi="宋体"/>
          <w:sz w:val="21"/>
          <w:szCs w:val="21"/>
        </w:rPr>
      </w:pPr>
      <w:r>
        <w:rPr>
          <w:rStyle w:val="18"/>
          <w:rFonts w:hAnsi="宋体"/>
          <w:sz w:val="21"/>
          <w:szCs w:val="21"/>
        </w:rPr>
        <w:t>4. 数量（单位）：</w:t>
      </w:r>
    </w:p>
    <w:p>
      <w:pPr>
        <w:pStyle w:val="27"/>
        <w:snapToGrid w:val="0"/>
        <w:spacing w:before="120" w:after="120" w:line="360" w:lineRule="auto"/>
        <w:rPr>
          <w:rStyle w:val="18"/>
          <w:rFonts w:hAnsi="宋体"/>
          <w:b/>
          <w:sz w:val="21"/>
          <w:szCs w:val="21"/>
        </w:rPr>
      </w:pPr>
      <w:r>
        <w:rPr>
          <w:rStyle w:val="18"/>
          <w:rFonts w:hAnsi="宋体"/>
          <w:b/>
          <w:sz w:val="21"/>
          <w:szCs w:val="21"/>
        </w:rPr>
        <w:t>二、合同金额</w:t>
      </w:r>
    </w:p>
    <w:p>
      <w:pPr>
        <w:pStyle w:val="27"/>
        <w:snapToGrid w:val="0"/>
        <w:spacing w:before="120" w:after="120" w:line="360" w:lineRule="auto"/>
        <w:ind w:left="359" w:hanging="359"/>
        <w:rPr>
          <w:rStyle w:val="18"/>
          <w:rFonts w:hAnsi="宋体"/>
          <w:sz w:val="21"/>
          <w:szCs w:val="21"/>
        </w:rPr>
      </w:pPr>
      <w:r>
        <w:rPr>
          <w:rStyle w:val="18"/>
          <w:rFonts w:hAnsi="宋体"/>
          <w:sz w:val="21"/>
          <w:szCs w:val="21"/>
        </w:rPr>
        <w:t xml:space="preserve"> 本合同金额为（大写）：________________________元（¥___________元）。</w:t>
      </w:r>
    </w:p>
    <w:p>
      <w:pPr>
        <w:pStyle w:val="27"/>
        <w:snapToGrid w:val="0"/>
        <w:spacing w:before="120" w:after="120" w:line="360" w:lineRule="auto"/>
        <w:rPr>
          <w:rStyle w:val="18"/>
          <w:rFonts w:hAnsi="宋体"/>
          <w:b/>
          <w:sz w:val="21"/>
          <w:szCs w:val="21"/>
        </w:rPr>
      </w:pPr>
      <w:r>
        <w:rPr>
          <w:rStyle w:val="18"/>
          <w:rFonts w:hAnsi="宋体"/>
          <w:b/>
          <w:sz w:val="21"/>
          <w:szCs w:val="21"/>
        </w:rPr>
        <w:t>三、技术资料</w:t>
      </w:r>
    </w:p>
    <w:p>
      <w:pPr>
        <w:pStyle w:val="27"/>
        <w:snapToGrid w:val="0"/>
        <w:spacing w:before="120" w:after="120" w:line="360" w:lineRule="auto"/>
        <w:ind w:left="359" w:hanging="359"/>
        <w:rPr>
          <w:rStyle w:val="18"/>
          <w:rFonts w:hAnsi="宋体"/>
          <w:sz w:val="21"/>
          <w:szCs w:val="21"/>
        </w:rPr>
      </w:pPr>
      <w:r>
        <w:rPr>
          <w:rStyle w:val="18"/>
          <w:rFonts w:hAnsi="宋体"/>
          <w:sz w:val="21"/>
          <w:szCs w:val="21"/>
        </w:rPr>
        <w:t>1.乙方应按采购文件规定的时间向甲方提供使用货物的有关技术资料。</w:t>
      </w:r>
    </w:p>
    <w:p>
      <w:pPr>
        <w:pStyle w:val="27"/>
        <w:snapToGrid w:val="0"/>
        <w:spacing w:before="120" w:after="120" w:line="360" w:lineRule="auto"/>
        <w:rPr>
          <w:rStyle w:val="18"/>
          <w:rFonts w:hAnsi="宋体"/>
          <w:sz w:val="21"/>
          <w:szCs w:val="21"/>
        </w:rPr>
      </w:pPr>
      <w:r>
        <w:rPr>
          <w:rStyle w:val="18"/>
          <w:rFonts w:hAnsi="宋体"/>
          <w:sz w:val="21"/>
          <w:szCs w:val="21"/>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7"/>
        <w:snapToGrid w:val="0"/>
        <w:spacing w:before="120" w:after="120" w:line="360" w:lineRule="auto"/>
        <w:ind w:left="360" w:hanging="361"/>
        <w:rPr>
          <w:rStyle w:val="18"/>
          <w:rFonts w:hAnsi="宋体"/>
          <w:b/>
          <w:sz w:val="21"/>
          <w:szCs w:val="21"/>
        </w:rPr>
      </w:pPr>
      <w:r>
        <w:rPr>
          <w:rStyle w:val="18"/>
          <w:rFonts w:hAnsi="宋体"/>
          <w:b/>
          <w:sz w:val="21"/>
          <w:szCs w:val="21"/>
        </w:rPr>
        <w:t>四、知识产权、产权担保</w:t>
      </w:r>
    </w:p>
    <w:p>
      <w:pPr>
        <w:pStyle w:val="27"/>
        <w:snapToGrid w:val="0"/>
        <w:spacing w:before="120" w:after="120" w:line="360" w:lineRule="auto"/>
        <w:rPr>
          <w:rStyle w:val="18"/>
          <w:rFonts w:hAnsi="宋体" w:cs="宋体"/>
          <w:bCs/>
          <w:sz w:val="21"/>
          <w:szCs w:val="21"/>
        </w:rPr>
      </w:pPr>
      <w:r>
        <w:rPr>
          <w:rStyle w:val="18"/>
          <w:rFonts w:hAnsi="宋体"/>
          <w:sz w:val="21"/>
          <w:szCs w:val="21"/>
        </w:rPr>
        <w:t>1.乙方应保证所提供的货物或其任何一部分均不会侵犯任何第三方的知识产权</w:t>
      </w:r>
      <w:r>
        <w:rPr>
          <w:rStyle w:val="18"/>
          <w:rFonts w:hAnsi="宋体" w:cs="宋体"/>
          <w:bCs/>
          <w:sz w:val="21"/>
          <w:szCs w:val="21"/>
        </w:rPr>
        <w:t>。</w:t>
      </w:r>
    </w:p>
    <w:p>
      <w:pPr>
        <w:pStyle w:val="27"/>
        <w:snapToGrid w:val="0"/>
        <w:spacing w:before="120" w:after="120" w:line="360" w:lineRule="auto"/>
        <w:ind w:left="357" w:hanging="357"/>
        <w:rPr>
          <w:rStyle w:val="18"/>
          <w:rFonts w:hAnsi="宋体"/>
          <w:sz w:val="21"/>
          <w:szCs w:val="21"/>
          <w:u w:val="single"/>
        </w:rPr>
      </w:pPr>
      <w:r>
        <w:rPr>
          <w:rStyle w:val="18"/>
          <w:rFonts w:hAnsi="宋体" w:cs="宋体"/>
          <w:bCs/>
          <w:sz w:val="21"/>
          <w:szCs w:val="21"/>
        </w:rPr>
        <w:t>2.</w:t>
      </w:r>
      <w:r>
        <w:rPr>
          <w:rStyle w:val="18"/>
          <w:rFonts w:hAnsi="宋体"/>
          <w:sz w:val="21"/>
          <w:szCs w:val="21"/>
        </w:rPr>
        <w:t>乙方保证所交付的货物的所有权完全属于乙方且无任何抵押、查封等产权瑕疵。</w:t>
      </w:r>
    </w:p>
    <w:p>
      <w:pPr>
        <w:pStyle w:val="27"/>
        <w:snapToGrid w:val="0"/>
        <w:spacing w:before="120" w:after="120" w:line="360" w:lineRule="auto"/>
        <w:ind w:left="360" w:hanging="361"/>
        <w:rPr>
          <w:rStyle w:val="18"/>
          <w:rFonts w:hAnsi="宋体"/>
          <w:b/>
          <w:sz w:val="21"/>
          <w:szCs w:val="21"/>
        </w:rPr>
      </w:pPr>
      <w:r>
        <w:rPr>
          <w:rStyle w:val="18"/>
          <w:rFonts w:hAnsi="宋体"/>
          <w:b/>
          <w:sz w:val="21"/>
          <w:szCs w:val="21"/>
        </w:rPr>
        <w:t>五、乙方承担的义务和责任</w:t>
      </w:r>
    </w:p>
    <w:p>
      <w:pPr>
        <w:pStyle w:val="27"/>
        <w:snapToGrid w:val="0"/>
        <w:spacing w:before="120" w:after="120" w:line="360" w:lineRule="auto"/>
        <w:rPr>
          <w:rStyle w:val="18"/>
          <w:rFonts w:hAnsi="宋体"/>
          <w:sz w:val="21"/>
          <w:szCs w:val="21"/>
        </w:rPr>
      </w:pPr>
      <w:r>
        <w:rPr>
          <w:rStyle w:val="18"/>
          <w:rFonts w:hAnsi="宋体"/>
          <w:sz w:val="21"/>
          <w:szCs w:val="21"/>
        </w:rPr>
        <w:t>1.乙方保证具备实施本工程的合法资格，且已依法取得国家要求的资格、资质。</w:t>
      </w:r>
    </w:p>
    <w:p>
      <w:pPr>
        <w:pStyle w:val="27"/>
        <w:snapToGrid w:val="0"/>
        <w:spacing w:before="120" w:after="120" w:line="360" w:lineRule="auto"/>
        <w:rPr>
          <w:rStyle w:val="18"/>
          <w:rFonts w:hAnsi="宋体"/>
          <w:sz w:val="21"/>
          <w:szCs w:val="21"/>
        </w:rPr>
      </w:pPr>
      <w:r>
        <w:rPr>
          <w:rStyle w:val="18"/>
          <w:rFonts w:hAnsi="宋体"/>
          <w:sz w:val="21"/>
          <w:szCs w:val="21"/>
        </w:rPr>
        <w:t>2.根据合同要求按时优质完成维修服务，对维修质量负责。</w:t>
      </w:r>
    </w:p>
    <w:p>
      <w:pPr>
        <w:pStyle w:val="27"/>
        <w:snapToGrid w:val="0"/>
        <w:spacing w:before="120" w:after="120" w:line="360" w:lineRule="auto"/>
        <w:rPr>
          <w:rStyle w:val="18"/>
          <w:rFonts w:hAnsi="宋体"/>
          <w:sz w:val="21"/>
          <w:szCs w:val="21"/>
        </w:rPr>
      </w:pPr>
      <w:r>
        <w:rPr>
          <w:rStyle w:val="18"/>
          <w:rFonts w:hAnsi="宋体"/>
          <w:sz w:val="21"/>
          <w:szCs w:val="21"/>
        </w:rPr>
        <w:t xml:space="preserve">3.完成项目中需要的设备、材料等由乙方负责，所需费用已包含在合同价款中。 </w:t>
      </w:r>
    </w:p>
    <w:p>
      <w:pPr>
        <w:pStyle w:val="27"/>
        <w:snapToGrid w:val="0"/>
        <w:spacing w:before="120" w:after="120" w:line="360" w:lineRule="auto"/>
        <w:rPr>
          <w:rStyle w:val="18"/>
          <w:rFonts w:hAnsi="宋体"/>
          <w:sz w:val="21"/>
          <w:szCs w:val="21"/>
        </w:rPr>
      </w:pPr>
      <w:r>
        <w:rPr>
          <w:rStyle w:val="18"/>
          <w:rFonts w:hAnsi="宋体"/>
          <w:sz w:val="21"/>
          <w:szCs w:val="21"/>
        </w:rPr>
        <w:t xml:space="preserve">4.乙方人员须遵守甲方现场及国家相关安全管理规定，其一切安全（含人身安全）由乙方负责，甲方不负任何责任，其它方造成人身伤亡或安全事故的由责任方承担。如因乙方自身原因发生的事故，所产生的损失及费用由乙方自行承担。 </w:t>
      </w:r>
    </w:p>
    <w:p>
      <w:pPr>
        <w:pStyle w:val="27"/>
        <w:snapToGrid w:val="0"/>
        <w:spacing w:before="120" w:after="120" w:line="360" w:lineRule="auto"/>
        <w:rPr>
          <w:rStyle w:val="18"/>
          <w:rFonts w:hAnsi="宋体"/>
          <w:b/>
          <w:sz w:val="21"/>
          <w:szCs w:val="21"/>
        </w:rPr>
      </w:pPr>
      <w:r>
        <w:rPr>
          <w:rStyle w:val="18"/>
          <w:rFonts w:hAnsi="宋体"/>
          <w:b/>
          <w:sz w:val="21"/>
          <w:szCs w:val="21"/>
        </w:rPr>
        <w:t>六、转包或分包</w:t>
      </w:r>
    </w:p>
    <w:p>
      <w:pPr>
        <w:snapToGrid w:val="0"/>
        <w:spacing w:before="156" w:after="156" w:line="360" w:lineRule="auto"/>
        <w:rPr>
          <w:rStyle w:val="18"/>
          <w:rFonts w:ascii="宋体" w:hAnsi="宋体"/>
          <w:szCs w:val="21"/>
        </w:rPr>
      </w:pPr>
      <w:r>
        <w:rPr>
          <w:rStyle w:val="18"/>
          <w:rFonts w:ascii="宋体" w:hAnsi="宋体"/>
          <w:szCs w:val="21"/>
        </w:rPr>
        <w:t>1.本合同范围的货物，应由乙方直接供应，不得转让他人供应；</w:t>
      </w:r>
    </w:p>
    <w:p>
      <w:pPr>
        <w:snapToGrid w:val="0"/>
        <w:spacing w:before="156" w:after="156" w:line="360" w:lineRule="auto"/>
        <w:rPr>
          <w:rStyle w:val="18"/>
          <w:rFonts w:ascii="宋体" w:hAnsi="宋体"/>
          <w:szCs w:val="21"/>
        </w:rPr>
      </w:pPr>
      <w:r>
        <w:rPr>
          <w:rStyle w:val="18"/>
          <w:rFonts w:ascii="宋体" w:hAnsi="宋体"/>
          <w:szCs w:val="21"/>
        </w:rPr>
        <w:t>2.除非得到甲方的书面同意，乙方不得将本合同范围的货物全部或部分分包给他人供应；</w:t>
      </w:r>
    </w:p>
    <w:p>
      <w:pPr>
        <w:snapToGrid w:val="0"/>
        <w:spacing w:before="156" w:after="156" w:line="360" w:lineRule="auto"/>
        <w:rPr>
          <w:rStyle w:val="18"/>
          <w:rFonts w:ascii="宋体" w:hAnsi="宋体"/>
          <w:szCs w:val="21"/>
        </w:rPr>
      </w:pPr>
      <w:r>
        <w:rPr>
          <w:rStyle w:val="18"/>
          <w:rFonts w:ascii="宋体" w:hAnsi="宋体"/>
          <w:szCs w:val="21"/>
        </w:rPr>
        <w:t>3.如有转让和未经甲方同意的分包行为，甲方有权解除合同，没收履约保证金并追究乙方的违约责任。</w:t>
      </w:r>
    </w:p>
    <w:p>
      <w:pPr>
        <w:pStyle w:val="27"/>
        <w:snapToGrid w:val="0"/>
        <w:spacing w:before="120" w:after="120" w:line="360" w:lineRule="auto"/>
        <w:rPr>
          <w:rStyle w:val="18"/>
          <w:rFonts w:hAnsi="宋体"/>
          <w:sz w:val="21"/>
          <w:szCs w:val="21"/>
        </w:rPr>
      </w:pPr>
      <w:r>
        <w:rPr>
          <w:rStyle w:val="18"/>
          <w:rFonts w:hAnsi="宋体"/>
          <w:b/>
          <w:sz w:val="21"/>
          <w:szCs w:val="21"/>
        </w:rPr>
        <w:t>七、质保金</w:t>
      </w:r>
    </w:p>
    <w:p>
      <w:pPr>
        <w:pStyle w:val="27"/>
        <w:snapToGrid w:val="0"/>
        <w:spacing w:before="120" w:after="120" w:line="360" w:lineRule="auto"/>
        <w:ind w:left="359" w:hanging="359"/>
        <w:rPr>
          <w:rStyle w:val="18"/>
          <w:rFonts w:hAnsi="宋体"/>
          <w:sz w:val="21"/>
          <w:szCs w:val="21"/>
        </w:rPr>
      </w:pPr>
      <w:r>
        <w:rPr>
          <w:rStyle w:val="18"/>
          <w:rFonts w:hAnsi="宋体"/>
          <w:sz w:val="21"/>
          <w:szCs w:val="21"/>
          <w:u w:val="single"/>
        </w:rPr>
        <w:t>中标价的</w:t>
      </w:r>
      <w:r>
        <w:rPr>
          <w:rStyle w:val="18"/>
          <w:rFonts w:hint="eastAsia" w:hAnsi="宋体"/>
          <w:sz w:val="21"/>
          <w:szCs w:val="21"/>
          <w:u w:val="single"/>
        </w:rPr>
        <w:t>3</w:t>
      </w:r>
      <w:r>
        <w:rPr>
          <w:rStyle w:val="18"/>
          <w:rFonts w:hAnsi="宋体"/>
          <w:sz w:val="21"/>
          <w:szCs w:val="21"/>
          <w:u w:val="single"/>
        </w:rPr>
        <w:t>%</w:t>
      </w:r>
      <w:r>
        <w:rPr>
          <w:rStyle w:val="18"/>
          <w:rFonts w:hAnsi="宋体"/>
          <w:sz w:val="21"/>
          <w:szCs w:val="21"/>
        </w:rPr>
        <w:t>质保金。</w:t>
      </w:r>
    </w:p>
    <w:p>
      <w:pPr>
        <w:pStyle w:val="27"/>
        <w:snapToGrid w:val="0"/>
        <w:spacing w:before="120" w:after="120" w:line="360" w:lineRule="auto"/>
        <w:rPr>
          <w:rStyle w:val="18"/>
          <w:rFonts w:hAnsi="宋体"/>
          <w:b/>
          <w:sz w:val="21"/>
          <w:szCs w:val="21"/>
        </w:rPr>
      </w:pPr>
      <w:r>
        <w:rPr>
          <w:rStyle w:val="18"/>
          <w:rFonts w:hAnsi="宋体"/>
          <w:b/>
          <w:sz w:val="21"/>
          <w:szCs w:val="21"/>
        </w:rPr>
        <w:t>八、交货期、交货方式及交货地点</w:t>
      </w:r>
    </w:p>
    <w:p>
      <w:pPr>
        <w:pStyle w:val="27"/>
        <w:snapToGrid w:val="0"/>
        <w:spacing w:before="120" w:after="120" w:line="360" w:lineRule="auto"/>
        <w:rPr>
          <w:rStyle w:val="18"/>
          <w:rFonts w:hAnsi="宋体" w:cs="宋体"/>
          <w:bCs/>
          <w:sz w:val="21"/>
          <w:szCs w:val="21"/>
        </w:rPr>
      </w:pPr>
      <w:r>
        <w:rPr>
          <w:rStyle w:val="18"/>
          <w:rFonts w:hAnsi="宋体" w:cs="宋体"/>
          <w:bCs/>
          <w:sz w:val="21"/>
          <w:szCs w:val="21"/>
        </w:rPr>
        <w:t>1. 交货期：</w:t>
      </w:r>
    </w:p>
    <w:p>
      <w:pPr>
        <w:pStyle w:val="27"/>
        <w:snapToGrid w:val="0"/>
        <w:spacing w:before="120" w:after="120" w:line="360" w:lineRule="auto"/>
        <w:rPr>
          <w:rStyle w:val="18"/>
          <w:rFonts w:hAnsi="宋体" w:cs="宋体"/>
          <w:bCs/>
          <w:sz w:val="21"/>
          <w:szCs w:val="21"/>
        </w:rPr>
      </w:pPr>
      <w:r>
        <w:rPr>
          <w:rStyle w:val="18"/>
          <w:rFonts w:hAnsi="宋体" w:cs="宋体"/>
          <w:bCs/>
          <w:sz w:val="21"/>
          <w:szCs w:val="21"/>
        </w:rPr>
        <w:t>2. 交货方式：现场交货。</w:t>
      </w:r>
    </w:p>
    <w:p>
      <w:pPr>
        <w:pStyle w:val="27"/>
        <w:snapToGrid w:val="0"/>
        <w:spacing w:before="120" w:after="120" w:line="360" w:lineRule="auto"/>
        <w:rPr>
          <w:rStyle w:val="18"/>
          <w:rFonts w:hAnsi="宋体"/>
          <w:b/>
          <w:sz w:val="21"/>
          <w:szCs w:val="21"/>
        </w:rPr>
      </w:pPr>
      <w:r>
        <w:rPr>
          <w:rStyle w:val="18"/>
          <w:rFonts w:hAnsi="宋体" w:cs="宋体"/>
          <w:bCs/>
          <w:sz w:val="21"/>
          <w:szCs w:val="21"/>
        </w:rPr>
        <w:t>3. 交货地点：采购人指定地点。</w:t>
      </w:r>
    </w:p>
    <w:p>
      <w:pPr>
        <w:pStyle w:val="27"/>
        <w:snapToGrid w:val="0"/>
        <w:spacing w:before="120" w:after="120" w:line="360" w:lineRule="auto"/>
        <w:rPr>
          <w:rStyle w:val="18"/>
          <w:rFonts w:hAnsi="宋体"/>
          <w:b/>
          <w:sz w:val="21"/>
          <w:szCs w:val="21"/>
        </w:rPr>
      </w:pPr>
      <w:r>
        <w:rPr>
          <w:rStyle w:val="18"/>
          <w:rFonts w:hAnsi="宋体"/>
          <w:b/>
          <w:sz w:val="21"/>
          <w:szCs w:val="21"/>
        </w:rPr>
        <w:t>九、货款支付</w:t>
      </w:r>
    </w:p>
    <w:p>
      <w:pPr>
        <w:pStyle w:val="27"/>
        <w:snapToGrid w:val="0"/>
        <w:spacing w:before="120" w:after="120" w:line="360" w:lineRule="auto"/>
        <w:rPr>
          <w:rStyle w:val="18"/>
          <w:rFonts w:hAnsi="宋体" w:cs="宋体"/>
          <w:bCs/>
          <w:sz w:val="21"/>
          <w:szCs w:val="21"/>
        </w:rPr>
      </w:pPr>
      <w:r>
        <w:rPr>
          <w:rStyle w:val="18"/>
          <w:rFonts w:hAnsi="宋体" w:cs="宋体"/>
          <w:bCs/>
          <w:sz w:val="21"/>
          <w:szCs w:val="21"/>
        </w:rPr>
        <w:t>1. 付款方式：详见前附表。</w:t>
      </w:r>
    </w:p>
    <w:p>
      <w:pPr>
        <w:pStyle w:val="27"/>
        <w:snapToGrid w:val="0"/>
        <w:spacing w:before="120" w:after="120" w:line="360" w:lineRule="auto"/>
        <w:ind w:left="420" w:hanging="420"/>
        <w:jc w:val="left"/>
        <w:rPr>
          <w:rStyle w:val="18"/>
          <w:rFonts w:hAnsi="宋体" w:cs="宋体"/>
          <w:bCs/>
          <w:sz w:val="21"/>
          <w:szCs w:val="21"/>
        </w:rPr>
      </w:pPr>
      <w:r>
        <w:rPr>
          <w:rStyle w:val="18"/>
          <w:rFonts w:hAnsi="宋体" w:cs="宋体"/>
          <w:bCs/>
          <w:sz w:val="21"/>
          <w:szCs w:val="21"/>
        </w:rPr>
        <w:t xml:space="preserve">2. </w:t>
      </w:r>
      <w:r>
        <w:rPr>
          <w:rStyle w:val="18"/>
          <w:rFonts w:hAnsi="宋体"/>
          <w:sz w:val="21"/>
          <w:szCs w:val="21"/>
        </w:rPr>
        <w:t>乙方应根据实际使用量供货，合同的最终结算金额按实际使用量乘以成交单价进行计算。</w:t>
      </w:r>
    </w:p>
    <w:p>
      <w:pPr>
        <w:snapToGrid w:val="0"/>
        <w:spacing w:before="156" w:after="156" w:line="360" w:lineRule="auto"/>
        <w:rPr>
          <w:rStyle w:val="18"/>
          <w:rFonts w:ascii="宋体" w:hAnsi="宋体"/>
          <w:b/>
          <w:szCs w:val="21"/>
        </w:rPr>
      </w:pPr>
      <w:r>
        <w:rPr>
          <w:rStyle w:val="18"/>
          <w:rFonts w:ascii="宋体" w:hAnsi="宋体"/>
          <w:b/>
          <w:szCs w:val="21"/>
        </w:rPr>
        <w:t>十、税费</w:t>
      </w:r>
    </w:p>
    <w:p>
      <w:pPr>
        <w:snapToGrid w:val="0"/>
        <w:spacing w:before="156" w:after="156" w:line="360" w:lineRule="auto"/>
        <w:rPr>
          <w:rStyle w:val="18"/>
          <w:rFonts w:ascii="宋体" w:hAnsi="宋体"/>
          <w:szCs w:val="21"/>
        </w:rPr>
      </w:pPr>
      <w:r>
        <w:rPr>
          <w:rStyle w:val="18"/>
          <w:rFonts w:ascii="宋体" w:hAnsi="宋体"/>
          <w:szCs w:val="21"/>
        </w:rPr>
        <w:t>本合同执行中相关的一切税费均由乙方负担。</w:t>
      </w:r>
    </w:p>
    <w:p>
      <w:pPr>
        <w:pStyle w:val="27"/>
        <w:snapToGrid w:val="0"/>
        <w:spacing w:before="120" w:after="120" w:line="360" w:lineRule="auto"/>
        <w:ind w:left="360" w:hanging="361"/>
        <w:rPr>
          <w:rStyle w:val="18"/>
          <w:rFonts w:hAnsi="宋体"/>
          <w:sz w:val="21"/>
          <w:szCs w:val="21"/>
        </w:rPr>
      </w:pPr>
      <w:r>
        <w:rPr>
          <w:rStyle w:val="18"/>
          <w:rFonts w:hAnsi="宋体"/>
          <w:b/>
          <w:sz w:val="21"/>
          <w:szCs w:val="21"/>
        </w:rPr>
        <w:t>十一、质量保证及售后服务</w:t>
      </w:r>
    </w:p>
    <w:p>
      <w:pPr>
        <w:pStyle w:val="27"/>
        <w:snapToGrid w:val="0"/>
        <w:spacing w:before="120" w:after="120" w:line="360" w:lineRule="auto"/>
        <w:ind w:left="359" w:hanging="359"/>
        <w:rPr>
          <w:rStyle w:val="18"/>
          <w:rFonts w:hAnsi="宋体"/>
          <w:sz w:val="21"/>
          <w:szCs w:val="21"/>
        </w:rPr>
      </w:pPr>
      <w:r>
        <w:rPr>
          <w:rStyle w:val="18"/>
          <w:rFonts w:hAnsi="宋体"/>
          <w:sz w:val="21"/>
          <w:szCs w:val="21"/>
        </w:rPr>
        <w:t>1. 乙方应按采购文件规定的货物性能、技术要求、质量标准向甲方提供未经使用的全新产品。乙方为客户提供24小时服务电话，保证及时服务。</w:t>
      </w:r>
    </w:p>
    <w:p>
      <w:pPr>
        <w:pStyle w:val="27"/>
        <w:snapToGrid w:val="0"/>
        <w:spacing w:before="120" w:after="120" w:line="360" w:lineRule="auto"/>
        <w:ind w:left="420" w:hanging="420"/>
        <w:rPr>
          <w:rStyle w:val="18"/>
          <w:rFonts w:hAnsi="宋体"/>
          <w:sz w:val="21"/>
          <w:szCs w:val="21"/>
        </w:rPr>
      </w:pPr>
      <w:r>
        <w:rPr>
          <w:rStyle w:val="18"/>
          <w:rFonts w:hAnsi="宋体"/>
          <w:sz w:val="21"/>
          <w:szCs w:val="21"/>
        </w:rPr>
        <w:t>2. 乙方提供的货物在质保期内因货物本身的质量问题发生故障，乙方应负责免费更换。对达不到技术要求者，根据实际情况，经双方协商，可按以下办法处理：</w:t>
      </w:r>
    </w:p>
    <w:p>
      <w:pPr>
        <w:pStyle w:val="27"/>
        <w:snapToGrid w:val="0"/>
        <w:spacing w:before="120" w:after="120" w:line="360" w:lineRule="auto"/>
        <w:ind w:firstLine="420"/>
        <w:rPr>
          <w:rStyle w:val="18"/>
          <w:rFonts w:hAnsi="宋体"/>
          <w:sz w:val="21"/>
          <w:szCs w:val="21"/>
        </w:rPr>
      </w:pPr>
      <w:r>
        <w:rPr>
          <w:rStyle w:val="18"/>
          <w:rFonts w:hAnsi="宋体"/>
          <w:sz w:val="21"/>
          <w:szCs w:val="21"/>
        </w:rPr>
        <w:t>⑴更换：由乙方承担所发生的全部费用。</w:t>
      </w:r>
    </w:p>
    <w:p>
      <w:pPr>
        <w:pStyle w:val="27"/>
        <w:snapToGrid w:val="0"/>
        <w:spacing w:before="120" w:after="120" w:line="360" w:lineRule="auto"/>
        <w:ind w:firstLine="420"/>
        <w:rPr>
          <w:rStyle w:val="18"/>
          <w:rFonts w:hAnsi="宋体"/>
          <w:sz w:val="21"/>
          <w:szCs w:val="21"/>
        </w:rPr>
      </w:pPr>
      <w:r>
        <w:rPr>
          <w:rStyle w:val="18"/>
          <w:rFonts w:hAnsi="宋体"/>
          <w:sz w:val="21"/>
          <w:szCs w:val="21"/>
        </w:rPr>
        <w:t>⑵贬值处理：由甲乙双方合议定价。</w:t>
      </w:r>
    </w:p>
    <w:p>
      <w:pPr>
        <w:pStyle w:val="27"/>
        <w:snapToGrid w:val="0"/>
        <w:spacing w:before="120" w:after="120" w:line="360" w:lineRule="auto"/>
        <w:ind w:left="420" w:leftChars="200"/>
        <w:rPr>
          <w:rStyle w:val="18"/>
          <w:rFonts w:hAnsi="宋体"/>
          <w:sz w:val="21"/>
          <w:szCs w:val="21"/>
        </w:rPr>
      </w:pPr>
      <w:r>
        <w:rPr>
          <w:rStyle w:val="18"/>
          <w:rFonts w:hAnsi="宋体"/>
          <w:sz w:val="21"/>
          <w:szCs w:val="21"/>
        </w:rPr>
        <w:t>⑶退货处理：乙方应退还甲方支付的合同款，同时应承担该货物的直接费用（运输、保险、检验、货款利息及银行手续费等）。</w:t>
      </w:r>
    </w:p>
    <w:p>
      <w:pPr>
        <w:pStyle w:val="27"/>
        <w:snapToGrid w:val="0"/>
        <w:spacing w:before="120" w:after="120" w:line="360" w:lineRule="auto"/>
        <w:rPr>
          <w:rStyle w:val="18"/>
          <w:rFonts w:hAnsi="宋体"/>
          <w:sz w:val="21"/>
          <w:szCs w:val="21"/>
        </w:rPr>
      </w:pPr>
      <w:r>
        <w:rPr>
          <w:rStyle w:val="18"/>
          <w:rFonts w:hAnsi="宋体"/>
          <w:sz w:val="21"/>
          <w:szCs w:val="21"/>
        </w:rPr>
        <w:t>3. 如在使用过程中发生质量问题，乙方在接到甲方通知后在6小时内到达甲方现场。</w:t>
      </w:r>
    </w:p>
    <w:p>
      <w:pPr>
        <w:pStyle w:val="27"/>
        <w:snapToGrid w:val="0"/>
        <w:spacing w:before="120" w:after="120" w:line="360" w:lineRule="auto"/>
        <w:rPr>
          <w:rStyle w:val="18"/>
          <w:rFonts w:hAnsi="宋体"/>
          <w:sz w:val="21"/>
          <w:szCs w:val="21"/>
        </w:rPr>
      </w:pPr>
      <w:r>
        <w:rPr>
          <w:rStyle w:val="18"/>
          <w:rFonts w:hAnsi="宋体"/>
          <w:sz w:val="21"/>
          <w:szCs w:val="21"/>
        </w:rPr>
        <w:t>4. 在质保期内，乙方应对货物出现的质量及安全问题负责处理解决并承担一切费用。</w:t>
      </w:r>
    </w:p>
    <w:p>
      <w:pPr>
        <w:pStyle w:val="27"/>
        <w:snapToGrid w:val="0"/>
        <w:spacing w:before="120" w:after="120" w:line="360" w:lineRule="auto"/>
        <w:rPr>
          <w:rStyle w:val="18"/>
          <w:rFonts w:hAnsi="宋体"/>
          <w:sz w:val="21"/>
          <w:szCs w:val="21"/>
        </w:rPr>
      </w:pPr>
      <w:r>
        <w:rPr>
          <w:rStyle w:val="18"/>
          <w:rFonts w:hAnsi="宋体"/>
          <w:sz w:val="21"/>
          <w:szCs w:val="21"/>
        </w:rPr>
        <w:t>5.质保期内出现质量问题的，乙方应当自接到甲方通知后5日内解决，所需费用由乙方承担，因此影响甲方生产的，乙方应赔偿甲方的实际损失。如乙方未在规定期限内解决质量问题，甲方有权自行或委托他人修理，乙方负责所需费用并赔偿由此给甲方造成的损失。</w:t>
      </w:r>
    </w:p>
    <w:p>
      <w:pPr>
        <w:pStyle w:val="27"/>
        <w:snapToGrid w:val="0"/>
        <w:spacing w:before="120" w:after="120" w:line="360" w:lineRule="auto"/>
        <w:rPr>
          <w:rStyle w:val="18"/>
          <w:rFonts w:hAnsi="宋体"/>
          <w:b/>
          <w:sz w:val="21"/>
          <w:szCs w:val="21"/>
        </w:rPr>
      </w:pPr>
      <w:r>
        <w:rPr>
          <w:rStyle w:val="18"/>
          <w:rFonts w:hAnsi="宋体"/>
          <w:b/>
          <w:sz w:val="21"/>
          <w:szCs w:val="21"/>
        </w:rPr>
        <w:t>十二、调试和验收</w:t>
      </w:r>
    </w:p>
    <w:p>
      <w:pPr>
        <w:pStyle w:val="27"/>
        <w:snapToGrid w:val="0"/>
        <w:spacing w:before="120" w:after="120" w:line="360" w:lineRule="auto"/>
        <w:ind w:right="-312"/>
        <w:jc w:val="left"/>
        <w:rPr>
          <w:rStyle w:val="18"/>
          <w:rFonts w:hAnsi="宋体"/>
          <w:sz w:val="21"/>
          <w:szCs w:val="21"/>
        </w:rPr>
      </w:pPr>
      <w:r>
        <w:rPr>
          <w:rStyle w:val="18"/>
          <w:rFonts w:hAnsi="宋体"/>
          <w:sz w:val="21"/>
          <w:szCs w:val="21"/>
        </w:rPr>
        <w:t>1. 甲方对乙方提交的货物依据采购文件上的技术规格要求和国家有关质量标准进行现场初步验收，外观、说明书符合采购文件技术要求的，给予签收，初步验收不合格的不予签收。所有更换的备件在装配前，由甲方人员确认后方可使用，甲方的确认并不免除乙方的质量责任。</w:t>
      </w:r>
    </w:p>
    <w:p>
      <w:pPr>
        <w:pStyle w:val="27"/>
        <w:snapToGrid w:val="0"/>
        <w:spacing w:before="120" w:after="120" w:line="360" w:lineRule="auto"/>
        <w:ind w:right="-312"/>
        <w:rPr>
          <w:rStyle w:val="18"/>
          <w:rFonts w:hAnsi="宋体"/>
          <w:sz w:val="21"/>
          <w:szCs w:val="21"/>
        </w:rPr>
      </w:pPr>
      <w:r>
        <w:rPr>
          <w:rStyle w:val="18"/>
          <w:rFonts w:hAnsi="宋体"/>
          <w:sz w:val="21"/>
          <w:szCs w:val="21"/>
        </w:rPr>
        <w:t>2. 乙方交货前应对产品作出全面检查和对验收文件进行整理，并列出清单，作为甲方收货验收和使用的技术条件依据，检验的结果应随货物交甲方。</w:t>
      </w:r>
    </w:p>
    <w:p>
      <w:pPr>
        <w:pStyle w:val="27"/>
        <w:snapToGrid w:val="0"/>
        <w:spacing w:before="120" w:after="120" w:line="360" w:lineRule="auto"/>
        <w:ind w:right="-312"/>
        <w:rPr>
          <w:rStyle w:val="18"/>
          <w:rFonts w:hAnsi="宋体"/>
          <w:sz w:val="21"/>
          <w:szCs w:val="21"/>
        </w:rPr>
      </w:pPr>
      <w:r>
        <w:rPr>
          <w:rStyle w:val="18"/>
          <w:rFonts w:hAnsi="宋体"/>
          <w:sz w:val="21"/>
          <w:szCs w:val="21"/>
        </w:rPr>
        <w:t>3.货物安装完毕后，设备的精度、性能，达到或恢复维修前使用要求和技术要求。</w:t>
      </w:r>
    </w:p>
    <w:p>
      <w:pPr>
        <w:pStyle w:val="27"/>
        <w:snapToGrid w:val="0"/>
        <w:spacing w:before="120" w:after="120" w:line="360" w:lineRule="auto"/>
        <w:ind w:right="-312"/>
        <w:rPr>
          <w:rStyle w:val="18"/>
          <w:rFonts w:hAnsi="宋体"/>
          <w:sz w:val="21"/>
          <w:szCs w:val="21"/>
        </w:rPr>
      </w:pPr>
      <w:r>
        <w:rPr>
          <w:rStyle w:val="18"/>
          <w:rFonts w:hAnsi="宋体"/>
          <w:sz w:val="21"/>
          <w:szCs w:val="21"/>
        </w:rPr>
        <w:t>3. 乙方需协助甲方一起调试，直到符合技术要求，甲方才做最终验收。</w:t>
      </w:r>
    </w:p>
    <w:p>
      <w:pPr>
        <w:pStyle w:val="27"/>
        <w:snapToGrid w:val="0"/>
        <w:spacing w:before="120" w:after="120" w:line="360" w:lineRule="auto"/>
        <w:ind w:right="-312"/>
        <w:rPr>
          <w:rStyle w:val="18"/>
          <w:rFonts w:hAnsi="宋体"/>
          <w:sz w:val="21"/>
          <w:szCs w:val="21"/>
        </w:rPr>
      </w:pPr>
      <w:r>
        <w:rPr>
          <w:rStyle w:val="18"/>
          <w:rFonts w:hAnsi="宋体"/>
          <w:sz w:val="21"/>
          <w:szCs w:val="21"/>
        </w:rPr>
        <w:t>4. 货物安装完毕，乙方调试正常后，准备验收报告，通知甲方验收，甲填写验收意见，验收合格后，双方签署验收报告，验收合格并不免除乙方的质量责任。 验收时乙方必须在现场，验收完毕后作出验收结果报告；验收费用由乙方负责。</w:t>
      </w:r>
    </w:p>
    <w:p>
      <w:pPr>
        <w:pStyle w:val="27"/>
        <w:snapToGrid w:val="0"/>
        <w:spacing w:before="120" w:after="120" w:line="360" w:lineRule="auto"/>
        <w:rPr>
          <w:rStyle w:val="18"/>
          <w:rFonts w:hAnsi="宋体"/>
          <w:b/>
          <w:sz w:val="21"/>
          <w:szCs w:val="21"/>
        </w:rPr>
      </w:pPr>
      <w:r>
        <w:rPr>
          <w:rStyle w:val="18"/>
          <w:rFonts w:hAnsi="宋体"/>
          <w:b/>
          <w:sz w:val="21"/>
          <w:szCs w:val="21"/>
        </w:rPr>
        <w:t>十三、货物包装、发运及运输</w:t>
      </w:r>
    </w:p>
    <w:p>
      <w:pPr>
        <w:pStyle w:val="27"/>
        <w:snapToGrid w:val="0"/>
        <w:spacing w:before="120" w:after="120" w:line="360" w:lineRule="auto"/>
        <w:ind w:left="420" w:hanging="420"/>
        <w:rPr>
          <w:rStyle w:val="18"/>
          <w:rFonts w:hAnsi="宋体"/>
          <w:sz w:val="21"/>
          <w:szCs w:val="21"/>
        </w:rPr>
      </w:pPr>
      <w:r>
        <w:rPr>
          <w:rStyle w:val="18"/>
          <w:rFonts w:hAnsi="宋体"/>
          <w:sz w:val="21"/>
          <w:szCs w:val="21"/>
        </w:rPr>
        <w:t>1. 乙方应在货物发运前对其进行满足运输距离、防潮、防震、防锈和防破损装卸等要求包装，以保证货物安全运达甲方指定地点。</w:t>
      </w:r>
    </w:p>
    <w:p>
      <w:pPr>
        <w:pStyle w:val="27"/>
        <w:snapToGrid w:val="0"/>
        <w:spacing w:before="120" w:after="120" w:line="360" w:lineRule="auto"/>
        <w:ind w:left="420" w:hanging="420"/>
        <w:rPr>
          <w:rStyle w:val="18"/>
          <w:rFonts w:hAnsi="宋体"/>
          <w:sz w:val="21"/>
          <w:szCs w:val="21"/>
        </w:rPr>
      </w:pPr>
      <w:r>
        <w:rPr>
          <w:rStyle w:val="18"/>
          <w:rFonts w:hAnsi="宋体"/>
          <w:sz w:val="21"/>
          <w:szCs w:val="21"/>
        </w:rPr>
        <w:t>2. 使用说明书、质量检验证明书、随配附件和工具以及清单一并附于货物内。</w:t>
      </w:r>
    </w:p>
    <w:p>
      <w:pPr>
        <w:pStyle w:val="27"/>
        <w:snapToGrid w:val="0"/>
        <w:spacing w:before="120" w:after="120" w:line="360" w:lineRule="auto"/>
        <w:ind w:left="420" w:hanging="420"/>
        <w:rPr>
          <w:rStyle w:val="18"/>
          <w:rFonts w:hAnsi="宋体"/>
          <w:sz w:val="21"/>
          <w:szCs w:val="21"/>
        </w:rPr>
      </w:pPr>
      <w:r>
        <w:rPr>
          <w:rStyle w:val="18"/>
          <w:rFonts w:hAnsi="宋体"/>
          <w:sz w:val="21"/>
          <w:szCs w:val="21"/>
        </w:rPr>
        <w:t>3. 乙方在货物发运手续办理完毕后24小时内或货到甲方48小时前通知甲方，以准备接货。</w:t>
      </w:r>
    </w:p>
    <w:p>
      <w:pPr>
        <w:pStyle w:val="27"/>
        <w:snapToGrid w:val="0"/>
        <w:spacing w:before="120" w:after="120" w:line="360" w:lineRule="auto"/>
        <w:ind w:left="420" w:hanging="420"/>
        <w:rPr>
          <w:rStyle w:val="18"/>
          <w:rFonts w:hAnsi="宋体"/>
          <w:sz w:val="21"/>
          <w:szCs w:val="21"/>
        </w:rPr>
      </w:pPr>
      <w:r>
        <w:rPr>
          <w:rStyle w:val="18"/>
          <w:rFonts w:hAnsi="宋体"/>
          <w:sz w:val="21"/>
          <w:szCs w:val="21"/>
        </w:rPr>
        <w:t>4. 货物在交付甲方前发生的风险均由乙方负责。</w:t>
      </w:r>
    </w:p>
    <w:p>
      <w:pPr>
        <w:pStyle w:val="27"/>
        <w:snapToGrid w:val="0"/>
        <w:spacing w:after="120" w:line="360" w:lineRule="auto"/>
        <w:ind w:left="420" w:right="26" w:hanging="420"/>
        <w:rPr>
          <w:rStyle w:val="18"/>
          <w:rFonts w:hAnsi="宋体"/>
          <w:sz w:val="21"/>
          <w:szCs w:val="21"/>
        </w:rPr>
      </w:pPr>
      <w:r>
        <w:rPr>
          <w:rStyle w:val="18"/>
          <w:rFonts w:hAnsi="宋体"/>
          <w:sz w:val="21"/>
          <w:szCs w:val="21"/>
        </w:rPr>
        <w:t>5. 货物在规定的交付期限内由乙方送达甲方指定的地点视为交付，乙方同时需</w:t>
      </w:r>
    </w:p>
    <w:p>
      <w:pPr>
        <w:pStyle w:val="27"/>
        <w:snapToGrid w:val="0"/>
        <w:spacing w:after="120" w:line="360" w:lineRule="auto"/>
        <w:ind w:left="464" w:leftChars="171" w:right="26" w:hanging="105"/>
        <w:rPr>
          <w:rStyle w:val="18"/>
          <w:rFonts w:hAnsi="宋体"/>
          <w:sz w:val="21"/>
          <w:szCs w:val="21"/>
        </w:rPr>
      </w:pPr>
      <w:r>
        <w:rPr>
          <w:rStyle w:val="18"/>
          <w:rFonts w:hAnsi="宋体"/>
          <w:sz w:val="21"/>
          <w:szCs w:val="21"/>
        </w:rPr>
        <w:t>通知甲方货物已送达。</w:t>
      </w:r>
    </w:p>
    <w:p>
      <w:pPr>
        <w:pStyle w:val="27"/>
        <w:snapToGrid w:val="0"/>
        <w:spacing w:before="120" w:after="120" w:line="360" w:lineRule="auto"/>
        <w:rPr>
          <w:rStyle w:val="18"/>
          <w:rFonts w:hAnsi="宋体"/>
          <w:b/>
          <w:sz w:val="21"/>
          <w:szCs w:val="21"/>
        </w:rPr>
      </w:pPr>
      <w:r>
        <w:rPr>
          <w:rStyle w:val="18"/>
          <w:rFonts w:hAnsi="宋体"/>
          <w:b/>
          <w:sz w:val="21"/>
          <w:szCs w:val="21"/>
        </w:rPr>
        <w:t>十四、违约责任</w:t>
      </w:r>
    </w:p>
    <w:p>
      <w:pPr>
        <w:pStyle w:val="27"/>
        <w:snapToGrid w:val="0"/>
        <w:spacing w:before="120" w:after="120" w:line="360" w:lineRule="auto"/>
        <w:ind w:left="359" w:hanging="359"/>
        <w:rPr>
          <w:rStyle w:val="18"/>
          <w:rFonts w:hAnsi="宋体"/>
          <w:sz w:val="21"/>
          <w:szCs w:val="21"/>
        </w:rPr>
      </w:pPr>
      <w:r>
        <w:rPr>
          <w:rStyle w:val="18"/>
          <w:rFonts w:hAnsi="宋体"/>
          <w:sz w:val="21"/>
          <w:szCs w:val="21"/>
        </w:rPr>
        <w:t>1. 甲方无正当理由拒收货物的，甲方向乙方偿付拒收货款总值的百分之五违约金。</w:t>
      </w:r>
    </w:p>
    <w:p>
      <w:pPr>
        <w:pStyle w:val="27"/>
        <w:snapToGrid w:val="0"/>
        <w:spacing w:before="120" w:after="120" w:line="360" w:lineRule="auto"/>
        <w:ind w:left="359" w:hanging="359"/>
        <w:rPr>
          <w:rStyle w:val="18"/>
          <w:rFonts w:hAnsi="宋体"/>
          <w:sz w:val="21"/>
          <w:szCs w:val="21"/>
        </w:rPr>
      </w:pPr>
      <w:r>
        <w:rPr>
          <w:rStyle w:val="18"/>
          <w:rFonts w:hAnsi="宋体"/>
          <w:sz w:val="21"/>
          <w:szCs w:val="21"/>
        </w:rPr>
        <w:t>2. 甲方无故逾期验收和办理货款支付手续的,甲方应按逾期付款总额每日万分之五向乙方支付违约金。</w:t>
      </w:r>
    </w:p>
    <w:p>
      <w:pPr>
        <w:pStyle w:val="27"/>
        <w:snapToGrid w:val="0"/>
        <w:spacing w:before="120" w:after="120" w:line="360" w:lineRule="auto"/>
        <w:ind w:left="359" w:hanging="359"/>
        <w:rPr>
          <w:rStyle w:val="18"/>
          <w:rFonts w:hAnsi="宋体"/>
          <w:sz w:val="21"/>
          <w:szCs w:val="21"/>
        </w:rPr>
      </w:pPr>
      <w:r>
        <w:rPr>
          <w:rStyle w:val="18"/>
          <w:rFonts w:hAnsi="宋体"/>
          <w:sz w:val="21"/>
          <w:szCs w:val="21"/>
        </w:rPr>
        <w:t xml:space="preserve">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27"/>
        <w:snapToGrid w:val="0"/>
        <w:spacing w:before="120" w:after="120" w:line="360" w:lineRule="auto"/>
        <w:ind w:left="359" w:hanging="359"/>
        <w:rPr>
          <w:rStyle w:val="18"/>
          <w:rFonts w:hAnsi="宋体"/>
          <w:sz w:val="21"/>
          <w:szCs w:val="21"/>
        </w:rPr>
      </w:pPr>
      <w:r>
        <w:rPr>
          <w:rStyle w:val="18"/>
          <w:rFonts w:hAnsi="宋体"/>
          <w:sz w:val="21"/>
          <w:szCs w:val="21"/>
        </w:rPr>
        <w:t>4. 乙方所交的货物品种、型号、规格、技术参数、质量不符合合同规定及采购文件规定标准的，甲方有权拒收该货物，乙方愿意更换货物但逾期交货的，按乙方逾期交货处理。乙方拒绝更换货物的，甲方可单方面解除合同。</w:t>
      </w:r>
    </w:p>
    <w:p>
      <w:pPr>
        <w:pStyle w:val="27"/>
        <w:snapToGrid w:val="0"/>
        <w:spacing w:before="120" w:after="120" w:line="360" w:lineRule="auto"/>
        <w:rPr>
          <w:rStyle w:val="18"/>
          <w:rFonts w:hAnsi="宋体"/>
          <w:b/>
          <w:sz w:val="21"/>
          <w:szCs w:val="21"/>
        </w:rPr>
      </w:pPr>
      <w:r>
        <w:rPr>
          <w:rStyle w:val="18"/>
          <w:rFonts w:hAnsi="宋体"/>
          <w:b/>
          <w:sz w:val="21"/>
          <w:szCs w:val="21"/>
        </w:rPr>
        <w:t>十五、不可抗力事件处理</w:t>
      </w:r>
    </w:p>
    <w:p>
      <w:pPr>
        <w:pStyle w:val="27"/>
        <w:snapToGrid w:val="0"/>
        <w:spacing w:before="120" w:after="120" w:line="360" w:lineRule="auto"/>
        <w:rPr>
          <w:rStyle w:val="18"/>
          <w:rFonts w:hAnsi="宋体"/>
          <w:sz w:val="21"/>
          <w:szCs w:val="21"/>
        </w:rPr>
      </w:pPr>
      <w:r>
        <w:rPr>
          <w:rStyle w:val="18"/>
          <w:rFonts w:hAnsi="宋体"/>
          <w:sz w:val="21"/>
          <w:szCs w:val="21"/>
        </w:rPr>
        <w:t>1. 在合同有效期内，任何一方因不可抗力事件导致不能履行合同，则合同履行</w:t>
      </w:r>
    </w:p>
    <w:p>
      <w:pPr>
        <w:pStyle w:val="27"/>
        <w:snapToGrid w:val="0"/>
        <w:spacing w:before="120" w:after="120" w:line="360" w:lineRule="auto"/>
        <w:ind w:firstLine="315" w:firstLineChars="150"/>
        <w:rPr>
          <w:rStyle w:val="18"/>
          <w:rFonts w:hAnsi="宋体"/>
          <w:sz w:val="21"/>
          <w:szCs w:val="21"/>
        </w:rPr>
      </w:pPr>
      <w:r>
        <w:rPr>
          <w:rStyle w:val="18"/>
          <w:rFonts w:hAnsi="宋体"/>
          <w:sz w:val="21"/>
          <w:szCs w:val="21"/>
        </w:rPr>
        <w:t>期可延长，其延长期与不可抗力影响期相同。</w:t>
      </w:r>
    </w:p>
    <w:p>
      <w:pPr>
        <w:pStyle w:val="27"/>
        <w:snapToGrid w:val="0"/>
        <w:spacing w:before="120" w:after="120" w:line="360" w:lineRule="auto"/>
        <w:rPr>
          <w:rStyle w:val="18"/>
          <w:rFonts w:hAnsi="宋体"/>
          <w:sz w:val="21"/>
          <w:szCs w:val="21"/>
        </w:rPr>
      </w:pPr>
      <w:r>
        <w:rPr>
          <w:rStyle w:val="18"/>
          <w:rFonts w:hAnsi="宋体"/>
          <w:sz w:val="21"/>
          <w:szCs w:val="21"/>
        </w:rPr>
        <w:t>2. 不可抗力事件发生后，应立即通知对方，并寄送有关权威机构出具的证明。</w:t>
      </w:r>
    </w:p>
    <w:p>
      <w:pPr>
        <w:pStyle w:val="27"/>
        <w:snapToGrid w:val="0"/>
        <w:spacing w:before="120" w:after="120" w:line="360" w:lineRule="auto"/>
        <w:rPr>
          <w:rStyle w:val="18"/>
          <w:rFonts w:hAnsi="宋体"/>
          <w:w w:val="90"/>
          <w:sz w:val="21"/>
          <w:szCs w:val="21"/>
        </w:rPr>
      </w:pPr>
      <w:r>
        <w:rPr>
          <w:rStyle w:val="18"/>
          <w:rFonts w:hAnsi="宋体"/>
          <w:sz w:val="21"/>
          <w:szCs w:val="21"/>
        </w:rPr>
        <w:t>3. 不可抗力事件延续120天以上，双方应通过友好协商，确定是否继续履行合同。</w:t>
      </w:r>
    </w:p>
    <w:p>
      <w:pPr>
        <w:pStyle w:val="27"/>
        <w:snapToGrid w:val="0"/>
        <w:spacing w:before="120" w:after="120" w:line="360" w:lineRule="auto"/>
        <w:rPr>
          <w:rStyle w:val="18"/>
          <w:rFonts w:hAnsi="宋体"/>
          <w:b/>
          <w:sz w:val="21"/>
          <w:szCs w:val="21"/>
        </w:rPr>
      </w:pPr>
      <w:r>
        <w:rPr>
          <w:rStyle w:val="18"/>
          <w:rFonts w:hAnsi="宋体"/>
          <w:b/>
          <w:sz w:val="21"/>
          <w:szCs w:val="21"/>
        </w:rPr>
        <w:t>十六、诉讼</w:t>
      </w:r>
    </w:p>
    <w:p>
      <w:pPr>
        <w:pStyle w:val="27"/>
        <w:snapToGrid w:val="0"/>
        <w:spacing w:before="120" w:after="120" w:line="360" w:lineRule="auto"/>
        <w:ind w:left="420" w:hanging="420"/>
        <w:rPr>
          <w:rStyle w:val="18"/>
          <w:rFonts w:hAnsi="宋体"/>
          <w:sz w:val="21"/>
          <w:szCs w:val="21"/>
        </w:rPr>
      </w:pPr>
      <w:r>
        <w:rPr>
          <w:rStyle w:val="18"/>
          <w:rFonts w:hAnsi="宋体"/>
          <w:sz w:val="21"/>
          <w:szCs w:val="21"/>
        </w:rPr>
        <w:t xml:space="preserve"> 双方在执行合同中所发生的一切争议，应通过协商解决。如协商不成，可向甲</w:t>
      </w:r>
    </w:p>
    <w:p>
      <w:pPr>
        <w:pStyle w:val="27"/>
        <w:snapToGrid w:val="0"/>
        <w:spacing w:before="120" w:after="120" w:line="360" w:lineRule="auto"/>
        <w:ind w:left="435" w:leftChars="57" w:hanging="315"/>
        <w:rPr>
          <w:rStyle w:val="18"/>
          <w:rFonts w:hAnsi="宋体"/>
          <w:sz w:val="21"/>
          <w:szCs w:val="21"/>
        </w:rPr>
      </w:pPr>
      <w:r>
        <w:rPr>
          <w:rStyle w:val="18"/>
          <w:rFonts w:hAnsi="宋体"/>
          <w:sz w:val="21"/>
          <w:szCs w:val="21"/>
        </w:rPr>
        <w:t>方所在地法院起诉。</w:t>
      </w:r>
    </w:p>
    <w:p>
      <w:pPr>
        <w:pStyle w:val="27"/>
        <w:snapToGrid w:val="0"/>
        <w:spacing w:before="120" w:after="120" w:line="360" w:lineRule="auto"/>
        <w:rPr>
          <w:rStyle w:val="18"/>
          <w:rFonts w:hAnsi="宋体"/>
          <w:b/>
          <w:sz w:val="21"/>
          <w:szCs w:val="21"/>
        </w:rPr>
      </w:pPr>
      <w:r>
        <w:rPr>
          <w:rStyle w:val="18"/>
          <w:rFonts w:hAnsi="宋体"/>
          <w:b/>
          <w:sz w:val="21"/>
          <w:szCs w:val="21"/>
        </w:rPr>
        <w:t>十七、合同生效及其它</w:t>
      </w:r>
    </w:p>
    <w:p>
      <w:pPr>
        <w:pStyle w:val="27"/>
        <w:snapToGrid w:val="0"/>
        <w:spacing w:before="120" w:after="120" w:line="360" w:lineRule="auto"/>
        <w:rPr>
          <w:rStyle w:val="18"/>
          <w:rFonts w:hAnsi="宋体"/>
          <w:sz w:val="21"/>
          <w:szCs w:val="21"/>
        </w:rPr>
      </w:pPr>
      <w:r>
        <w:rPr>
          <w:rStyle w:val="18"/>
          <w:rFonts w:hAnsi="宋体"/>
          <w:sz w:val="21"/>
          <w:szCs w:val="21"/>
        </w:rPr>
        <w:t>1. 合同经双方法定代表人或授权代表签字并加盖单位公章后生效。</w:t>
      </w:r>
    </w:p>
    <w:p>
      <w:pPr>
        <w:pStyle w:val="27"/>
        <w:snapToGrid w:val="0"/>
        <w:spacing w:before="120" w:after="120" w:line="360" w:lineRule="auto"/>
        <w:rPr>
          <w:rStyle w:val="18"/>
          <w:rFonts w:hAnsi="宋体"/>
          <w:sz w:val="21"/>
          <w:szCs w:val="21"/>
        </w:rPr>
      </w:pPr>
      <w:r>
        <w:rPr>
          <w:rStyle w:val="18"/>
          <w:rFonts w:hAnsi="宋体"/>
          <w:sz w:val="21"/>
          <w:szCs w:val="21"/>
        </w:rPr>
        <w:t>2.合同执行中涉及采购资金和采购内容修改或补充的，须经有关部门审批，并签书面补充协议报政府采购监督管理部门备案，方可作为主合同不可分割的一部分。</w:t>
      </w:r>
    </w:p>
    <w:p>
      <w:pPr>
        <w:pStyle w:val="27"/>
        <w:snapToGrid w:val="0"/>
        <w:spacing w:before="120" w:after="120" w:line="360" w:lineRule="auto"/>
        <w:ind w:left="420" w:hanging="420"/>
        <w:rPr>
          <w:rStyle w:val="18"/>
          <w:rFonts w:hAnsi="宋体"/>
          <w:sz w:val="21"/>
          <w:szCs w:val="21"/>
        </w:rPr>
      </w:pPr>
      <w:r>
        <w:rPr>
          <w:rStyle w:val="18"/>
          <w:rFonts w:hAnsi="宋体"/>
          <w:sz w:val="21"/>
          <w:szCs w:val="21"/>
        </w:rPr>
        <w:t>3.本合同未尽事宜，遵照《合同法》有关条文执行。</w:t>
      </w:r>
    </w:p>
    <w:p>
      <w:pPr>
        <w:pStyle w:val="27"/>
        <w:snapToGrid w:val="0"/>
        <w:spacing w:before="120" w:after="120" w:line="360" w:lineRule="auto"/>
        <w:ind w:left="420" w:hanging="420"/>
        <w:rPr>
          <w:rStyle w:val="18"/>
          <w:rFonts w:hAnsi="宋体"/>
          <w:sz w:val="21"/>
          <w:szCs w:val="21"/>
        </w:rPr>
      </w:pPr>
      <w:r>
        <w:rPr>
          <w:rStyle w:val="18"/>
          <w:rFonts w:hAnsi="宋体"/>
          <w:sz w:val="21"/>
          <w:szCs w:val="21"/>
        </w:rPr>
        <w:t>4.本合同一式四份，具有同等法律效力，甲、乙双方各执两份。</w:t>
      </w:r>
    </w:p>
    <w:p>
      <w:pPr>
        <w:pStyle w:val="27"/>
        <w:snapToGrid w:val="0"/>
        <w:spacing w:before="120" w:after="120" w:line="360" w:lineRule="auto"/>
        <w:ind w:left="420" w:hanging="420"/>
        <w:rPr>
          <w:rStyle w:val="18"/>
          <w:rFonts w:hAnsi="宋体"/>
          <w:sz w:val="21"/>
          <w:szCs w:val="21"/>
        </w:rPr>
      </w:pPr>
      <w:r>
        <w:rPr>
          <w:rStyle w:val="18"/>
          <w:rFonts w:hAnsi="宋体"/>
          <w:sz w:val="21"/>
          <w:szCs w:val="21"/>
        </w:rPr>
        <w:t xml:space="preserve">  甲方：                                   乙方： </w:t>
      </w:r>
    </w:p>
    <w:p>
      <w:pPr>
        <w:pStyle w:val="27"/>
        <w:snapToGrid w:val="0"/>
        <w:spacing w:before="120" w:after="120" w:line="360" w:lineRule="auto"/>
        <w:rPr>
          <w:rStyle w:val="18"/>
          <w:rFonts w:hAnsi="宋体"/>
          <w:sz w:val="21"/>
          <w:szCs w:val="21"/>
        </w:rPr>
      </w:pPr>
      <w:r>
        <w:rPr>
          <w:rStyle w:val="18"/>
          <w:rFonts w:hAnsi="宋体"/>
          <w:sz w:val="21"/>
          <w:szCs w:val="21"/>
        </w:rPr>
        <w:t xml:space="preserve">  地址：                                   地址： </w:t>
      </w:r>
    </w:p>
    <w:p>
      <w:pPr>
        <w:pStyle w:val="27"/>
        <w:snapToGrid w:val="0"/>
        <w:spacing w:before="120" w:after="120" w:line="360" w:lineRule="auto"/>
        <w:rPr>
          <w:rStyle w:val="18"/>
          <w:rFonts w:hAnsi="宋体"/>
          <w:sz w:val="21"/>
          <w:szCs w:val="21"/>
        </w:rPr>
      </w:pPr>
      <w:r>
        <w:rPr>
          <w:rStyle w:val="18"/>
          <w:rFonts w:hAnsi="宋体"/>
          <w:sz w:val="21"/>
          <w:szCs w:val="21"/>
        </w:rPr>
        <w:t xml:space="preserve">  法定（授权）代表人：                     法定（授权）代表人：</w:t>
      </w:r>
    </w:p>
    <w:p>
      <w:pPr>
        <w:pStyle w:val="27"/>
        <w:snapToGrid w:val="0"/>
        <w:spacing w:before="120" w:after="120" w:line="360" w:lineRule="auto"/>
        <w:rPr>
          <w:rStyle w:val="18"/>
          <w:rFonts w:hAnsi="宋体"/>
          <w:sz w:val="21"/>
          <w:szCs w:val="21"/>
        </w:rPr>
        <w:sectPr>
          <w:pgSz w:w="11906" w:h="16838"/>
          <w:pgMar w:top="1134" w:right="1134" w:bottom="1134" w:left="1620" w:header="851" w:footer="992" w:gutter="0"/>
          <w:cols w:space="425" w:num="1"/>
          <w:docGrid w:type="lines" w:linePitch="312" w:charSpace="0"/>
        </w:sectPr>
      </w:pPr>
      <w:r>
        <w:rPr>
          <w:rStyle w:val="18"/>
          <w:rFonts w:hAnsi="宋体"/>
          <w:sz w:val="21"/>
          <w:szCs w:val="21"/>
        </w:rPr>
        <w:t xml:space="preserve">  签字日期：      年  月  日            签字日期：      年  月  </w:t>
      </w:r>
    </w:p>
    <w:p>
      <w:pPr>
        <w:pStyle w:val="27"/>
        <w:numPr>
          <w:ilvl w:val="0"/>
          <w:numId w:val="4"/>
        </w:numPr>
        <w:snapToGrid w:val="0"/>
        <w:spacing w:before="120" w:after="120" w:line="360" w:lineRule="auto"/>
        <w:jc w:val="center"/>
        <w:outlineLvl w:val="0"/>
        <w:rPr>
          <w:rStyle w:val="18"/>
          <w:rFonts w:hAnsi="宋体"/>
        </w:rPr>
      </w:pPr>
      <w:bookmarkStart w:id="16" w:name="_Toc23023"/>
      <w:bookmarkStart w:id="17" w:name="_Toc25806"/>
      <w:bookmarkStart w:id="18" w:name="_Toc21547"/>
      <w:bookmarkStart w:id="19" w:name="_Toc26712"/>
      <w:r>
        <w:rPr>
          <w:rStyle w:val="18"/>
          <w:rFonts w:hAnsi="宋体"/>
        </w:rPr>
        <w:t>货物需求</w:t>
      </w:r>
      <w:bookmarkEnd w:id="16"/>
      <w:bookmarkEnd w:id="17"/>
      <w:bookmarkEnd w:id="18"/>
      <w:bookmarkEnd w:id="19"/>
    </w:p>
    <w:p>
      <w:pPr>
        <w:numPr>
          <w:ilvl w:val="0"/>
          <w:numId w:val="5"/>
        </w:numPr>
        <w:jc w:val="left"/>
        <w:rPr>
          <w:rStyle w:val="18"/>
          <w:rFonts w:ascii="宋体" w:hAnsi="宋体"/>
          <w:b/>
          <w:sz w:val="24"/>
        </w:rPr>
      </w:pPr>
      <w:r>
        <w:rPr>
          <w:rStyle w:val="18"/>
          <w:rFonts w:ascii="宋体" w:hAnsi="宋体"/>
          <w:b/>
          <w:sz w:val="24"/>
        </w:rPr>
        <w:t>货物清单及技术参数</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8"/>
        <w:gridCol w:w="1334"/>
        <w:gridCol w:w="5598"/>
        <w:gridCol w:w="808"/>
        <w:gridCol w:w="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5000" w:type="pct"/>
            <w:gridSpan w:val="5"/>
            <w:shd w:val="clear" w:color="auto" w:fill="auto"/>
            <w:vAlign w:val="center"/>
          </w:tcPr>
          <w:p>
            <w:pPr>
              <w:jc w:val="center"/>
              <w:rPr>
                <w:rFonts w:ascii="宋体" w:hAnsi="宋体" w:cs="宋体"/>
                <w:bCs/>
                <w:color w:val="000000"/>
                <w:kern w:val="0"/>
                <w:sz w:val="24"/>
              </w:rPr>
            </w:pPr>
            <w:r>
              <w:rPr>
                <w:rFonts w:hint="eastAsia" w:ascii="宋体" w:hAnsi="宋体" w:cs="宋体"/>
                <w:bCs/>
                <w:color w:val="000000"/>
                <w:kern w:val="0"/>
                <w:sz w:val="24"/>
              </w:rPr>
              <w:t>瑞丰储粮设备清单（南库区）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10" w:type="pct"/>
            <w:shd w:val="clear" w:color="auto" w:fill="auto"/>
            <w:vAlign w:val="center"/>
          </w:tcPr>
          <w:p>
            <w:pPr>
              <w:jc w:val="center"/>
              <w:rPr>
                <w:rFonts w:ascii="宋体" w:hAnsi="宋体" w:cs="宋体"/>
                <w:bCs/>
                <w:color w:val="000000"/>
                <w:kern w:val="0"/>
                <w:sz w:val="24"/>
              </w:rPr>
            </w:pPr>
            <w:r>
              <w:rPr>
                <w:rFonts w:hint="eastAsia" w:ascii="宋体" w:hAnsi="宋体" w:cs="宋体"/>
                <w:bCs/>
                <w:color w:val="000000"/>
                <w:kern w:val="0"/>
                <w:sz w:val="24"/>
              </w:rPr>
              <w:t>序号</w:t>
            </w:r>
          </w:p>
        </w:tc>
        <w:tc>
          <w:tcPr>
            <w:tcW w:w="712" w:type="pct"/>
            <w:shd w:val="clear" w:color="auto" w:fill="auto"/>
            <w:vAlign w:val="center"/>
          </w:tcPr>
          <w:p>
            <w:pPr>
              <w:jc w:val="center"/>
              <w:rPr>
                <w:rFonts w:ascii="宋体" w:hAnsi="宋体" w:cs="宋体"/>
                <w:bCs/>
                <w:color w:val="000000"/>
                <w:kern w:val="0"/>
                <w:sz w:val="24"/>
              </w:rPr>
            </w:pPr>
            <w:r>
              <w:rPr>
                <w:rFonts w:hint="eastAsia" w:ascii="宋体" w:hAnsi="宋体" w:cs="宋体"/>
                <w:bCs/>
                <w:color w:val="000000"/>
                <w:kern w:val="0"/>
                <w:sz w:val="24"/>
              </w:rPr>
              <w:t>项目名称</w:t>
            </w:r>
          </w:p>
        </w:tc>
        <w:tc>
          <w:tcPr>
            <w:tcW w:w="2988" w:type="pct"/>
            <w:shd w:val="clear" w:color="auto" w:fill="auto"/>
            <w:vAlign w:val="center"/>
          </w:tcPr>
          <w:p>
            <w:pPr>
              <w:jc w:val="center"/>
              <w:rPr>
                <w:rFonts w:ascii="宋体" w:hAnsi="宋体" w:cs="宋体"/>
                <w:bCs/>
                <w:color w:val="000000"/>
                <w:kern w:val="0"/>
                <w:sz w:val="24"/>
              </w:rPr>
            </w:pPr>
            <w:r>
              <w:rPr>
                <w:rFonts w:hint="eastAsia" w:ascii="宋体" w:hAnsi="宋体" w:cs="宋体"/>
                <w:bCs/>
                <w:color w:val="000000"/>
                <w:kern w:val="0"/>
                <w:sz w:val="24"/>
              </w:rPr>
              <w:t>项目特征描述</w:t>
            </w:r>
          </w:p>
        </w:tc>
        <w:tc>
          <w:tcPr>
            <w:tcW w:w="431" w:type="pct"/>
            <w:shd w:val="clear" w:color="auto" w:fill="auto"/>
            <w:vAlign w:val="center"/>
          </w:tcPr>
          <w:p>
            <w:pPr>
              <w:jc w:val="center"/>
              <w:rPr>
                <w:rFonts w:ascii="宋体" w:hAnsi="宋体" w:cs="宋体"/>
                <w:bCs/>
                <w:color w:val="000000"/>
                <w:kern w:val="0"/>
                <w:sz w:val="24"/>
              </w:rPr>
            </w:pPr>
            <w:r>
              <w:rPr>
                <w:rFonts w:hint="eastAsia" w:ascii="宋体" w:hAnsi="宋体" w:cs="宋体"/>
                <w:bCs/>
                <w:color w:val="000000"/>
                <w:kern w:val="0"/>
                <w:sz w:val="24"/>
              </w:rPr>
              <w:t>计量单位</w:t>
            </w:r>
          </w:p>
        </w:tc>
        <w:tc>
          <w:tcPr>
            <w:tcW w:w="459" w:type="pct"/>
            <w:shd w:val="clear" w:color="auto" w:fill="auto"/>
            <w:vAlign w:val="center"/>
          </w:tcPr>
          <w:p>
            <w:pPr>
              <w:jc w:val="center"/>
              <w:rPr>
                <w:rFonts w:ascii="宋体" w:hAnsi="宋体" w:cs="宋体"/>
                <w:bCs/>
                <w:color w:val="000000"/>
                <w:kern w:val="0"/>
                <w:sz w:val="24"/>
              </w:rPr>
            </w:pPr>
            <w:r>
              <w:rPr>
                <w:rFonts w:hint="eastAsia" w:ascii="宋体" w:hAnsi="宋体" w:cs="宋体"/>
                <w:bCs/>
                <w:color w:val="000000"/>
                <w:kern w:val="0"/>
                <w:sz w:val="24"/>
              </w:rPr>
              <w:t>工程量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5000" w:type="pct"/>
            <w:gridSpan w:val="5"/>
            <w:shd w:val="clear" w:color="auto" w:fill="auto"/>
            <w:vAlign w:val="center"/>
          </w:tcPr>
          <w:p>
            <w:pPr>
              <w:jc w:val="left"/>
              <w:rPr>
                <w:rFonts w:ascii="宋体" w:hAnsi="宋体" w:cs="宋体"/>
                <w:bCs/>
                <w:color w:val="000000"/>
                <w:kern w:val="0"/>
                <w:sz w:val="24"/>
              </w:rPr>
            </w:pPr>
            <w:r>
              <w:rPr>
                <w:rFonts w:hint="eastAsia" w:ascii="宋体" w:hAnsi="宋体" w:cs="宋体"/>
                <w:bCs/>
                <w:color w:val="000000"/>
                <w:kern w:val="0"/>
                <w:sz w:val="24"/>
              </w:rPr>
              <w:t>一、粮面表层控温系统（三期）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0" w:hRule="atLeast"/>
        </w:trPr>
        <w:tc>
          <w:tcPr>
            <w:tcW w:w="410"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1.1</w:t>
            </w:r>
          </w:p>
        </w:tc>
        <w:tc>
          <w:tcPr>
            <w:tcW w:w="712" w:type="pct"/>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平房仓水冷粮面低温专用机组（含室内外机组）</w:t>
            </w:r>
          </w:p>
        </w:tc>
        <w:tc>
          <w:tcPr>
            <w:tcW w:w="2988" w:type="pct"/>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1.制冷量≥10kw</w:t>
            </w:r>
            <w:r>
              <w:rPr>
                <w:rFonts w:hint="eastAsia" w:ascii="宋体" w:hAnsi="宋体" w:cs="宋体"/>
                <w:color w:val="000000"/>
                <w:kern w:val="0"/>
                <w:sz w:val="24"/>
              </w:rPr>
              <w:br w:type="textWrapping"/>
            </w:r>
            <w:r>
              <w:rPr>
                <w:rFonts w:hint="eastAsia" w:ascii="宋体" w:hAnsi="宋体" w:cs="宋体"/>
                <w:color w:val="000000"/>
                <w:kern w:val="0"/>
                <w:sz w:val="24"/>
              </w:rPr>
              <w:t>2.送风量≥3700m3/h</w:t>
            </w:r>
            <w:r>
              <w:rPr>
                <w:rFonts w:hint="eastAsia" w:ascii="宋体" w:hAnsi="宋体" w:cs="宋体"/>
                <w:color w:val="000000"/>
                <w:kern w:val="0"/>
                <w:sz w:val="24"/>
              </w:rPr>
              <w:br w:type="textWrapping"/>
            </w:r>
            <w:r>
              <w:rPr>
                <w:rFonts w:hint="eastAsia" w:ascii="宋体" w:hAnsi="宋体" w:cs="宋体"/>
                <w:color w:val="000000"/>
                <w:kern w:val="0"/>
                <w:sz w:val="24"/>
              </w:rPr>
              <w:t>3.制冷消耗功率≤4.3KW</w:t>
            </w:r>
            <w:r>
              <w:rPr>
                <w:rFonts w:hint="eastAsia" w:ascii="宋体" w:hAnsi="宋体" w:cs="宋体"/>
                <w:color w:val="000000"/>
                <w:kern w:val="0"/>
                <w:sz w:val="24"/>
              </w:rPr>
              <w:br w:type="textWrapping"/>
            </w:r>
            <w:r>
              <w:rPr>
                <w:rFonts w:hint="eastAsia" w:ascii="宋体" w:hAnsi="宋体" w:cs="宋体"/>
                <w:color w:val="000000"/>
                <w:kern w:val="0"/>
                <w:sz w:val="24"/>
              </w:rPr>
              <w:t>4.送风距离:≥24m;制冷工况(回风温度15℃,相对湿度60%);</w:t>
            </w:r>
            <w:r>
              <w:rPr>
                <w:rFonts w:hint="eastAsia" w:ascii="宋体" w:hAnsi="宋体" w:cs="宋体"/>
                <w:color w:val="000000"/>
                <w:kern w:val="0"/>
                <w:sz w:val="24"/>
              </w:rPr>
              <w:br w:type="textWrapping"/>
            </w:r>
            <w:r>
              <w:rPr>
                <w:rFonts w:hint="eastAsia" w:ascii="宋体" w:hAnsi="宋体" w:cs="宋体"/>
                <w:color w:val="000000"/>
                <w:kern w:val="0"/>
                <w:sz w:val="24"/>
              </w:rPr>
              <w:t>5.水流量&gt;2m³/h;</w:t>
            </w:r>
            <w:r>
              <w:rPr>
                <w:rFonts w:hint="eastAsia" w:ascii="宋体" w:hAnsi="宋体" w:cs="宋体"/>
                <w:color w:val="000000"/>
                <w:kern w:val="0"/>
                <w:sz w:val="24"/>
              </w:rPr>
              <w:br w:type="textWrapping"/>
            </w:r>
            <w:r>
              <w:rPr>
                <w:rFonts w:hint="eastAsia" w:ascii="宋体" w:hAnsi="宋体" w:cs="宋体"/>
                <w:color w:val="000000"/>
                <w:kern w:val="0"/>
                <w:sz w:val="24"/>
              </w:rPr>
              <w:t>6.出风温度范围:8-15℃;</w:t>
            </w:r>
            <w:r>
              <w:rPr>
                <w:rFonts w:hint="eastAsia" w:ascii="宋体" w:hAnsi="宋体" w:cs="宋体"/>
                <w:color w:val="000000"/>
                <w:kern w:val="0"/>
                <w:sz w:val="24"/>
              </w:rPr>
              <w:br w:type="textWrapping"/>
            </w:r>
            <w:r>
              <w:rPr>
                <w:rFonts w:hint="eastAsia" w:ascii="宋体" w:hAnsi="宋体" w:cs="宋体"/>
                <w:color w:val="000000"/>
                <w:kern w:val="0"/>
                <w:sz w:val="24"/>
              </w:rPr>
              <w:t xml:space="preserve">7.电源:380V; </w:t>
            </w:r>
            <w:r>
              <w:rPr>
                <w:rFonts w:hint="eastAsia" w:ascii="宋体" w:hAnsi="宋体" w:cs="宋体"/>
                <w:color w:val="000000"/>
                <w:kern w:val="0"/>
                <w:sz w:val="24"/>
              </w:rPr>
              <w:br w:type="textWrapping"/>
            </w:r>
            <w:r>
              <w:rPr>
                <w:rFonts w:hint="eastAsia" w:ascii="宋体" w:hAnsi="宋体" w:cs="宋体"/>
                <w:color w:val="000000"/>
                <w:kern w:val="0"/>
                <w:sz w:val="24"/>
              </w:rPr>
              <w:t>8.室内机组端部设置3只360度球形射流喷口;具有防磷化氢气体腐蚀功能和防尘、防冷凝水功能; 具有保水降温功能,避免空间水分损失过大影响表层粮食质量;</w:t>
            </w:r>
            <w:r>
              <w:rPr>
                <w:rFonts w:hint="eastAsia" w:ascii="宋体" w:hAnsi="宋体" w:cs="宋体"/>
                <w:color w:val="000000"/>
                <w:kern w:val="0"/>
                <w:sz w:val="24"/>
              </w:rPr>
              <w:br w:type="textWrapping"/>
            </w:r>
            <w:r>
              <w:rPr>
                <w:rFonts w:hint="eastAsia" w:ascii="宋体" w:hAnsi="宋体" w:cs="宋体"/>
                <w:color w:val="000000"/>
                <w:kern w:val="0"/>
                <w:sz w:val="24"/>
              </w:rPr>
              <w:t xml:space="preserve">9.室外机组具有定温启停(根据仓温变化自动启停机组)、定时启停(可任意设置时间启停机组)功能; 具有高低压保护功能(保护机组免受粮库夏季白夜间电压变化过大损坏机组);具有与智能粮库联网的 RS485，通信接口和免费协议; </w:t>
            </w:r>
            <w:r>
              <w:rPr>
                <w:rFonts w:hint="eastAsia" w:ascii="宋体" w:hAnsi="宋体" w:cs="宋体"/>
                <w:color w:val="000000"/>
                <w:kern w:val="0"/>
                <w:sz w:val="24"/>
              </w:rPr>
              <w:br w:type="textWrapping"/>
            </w:r>
            <w:r>
              <w:rPr>
                <w:rFonts w:hint="eastAsia" w:ascii="宋体" w:hAnsi="宋体" w:cs="宋体"/>
                <w:color w:val="000000"/>
                <w:kern w:val="0"/>
                <w:sz w:val="24"/>
              </w:rPr>
              <w:t>10.机组框架及面板采用304不锈钢外壳;机组操作盒采用防水型操作盒;机组操作盒在仓外1.5m标高位置处。</w:t>
            </w:r>
          </w:p>
        </w:tc>
        <w:tc>
          <w:tcPr>
            <w:tcW w:w="431"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组</w:t>
            </w:r>
          </w:p>
        </w:tc>
        <w:tc>
          <w:tcPr>
            <w:tcW w:w="459"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5000" w:type="pct"/>
            <w:gridSpan w:val="5"/>
            <w:shd w:val="clear" w:color="auto" w:fill="auto"/>
            <w:vAlign w:val="center"/>
          </w:tcPr>
          <w:p>
            <w:pPr>
              <w:jc w:val="left"/>
              <w:rPr>
                <w:rFonts w:ascii="宋体" w:hAnsi="宋体" w:cs="宋体"/>
                <w:bCs/>
                <w:color w:val="000000"/>
                <w:kern w:val="0"/>
                <w:sz w:val="24"/>
              </w:rPr>
            </w:pPr>
            <w:r>
              <w:rPr>
                <w:rFonts w:hint="eastAsia" w:ascii="宋体" w:hAnsi="宋体" w:cs="宋体"/>
                <w:bCs/>
                <w:color w:val="000000"/>
                <w:kern w:val="0"/>
                <w:sz w:val="24"/>
              </w:rPr>
              <w:t>二、通风熏蒸系统（三期）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410"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2.1</w:t>
            </w:r>
          </w:p>
        </w:tc>
        <w:tc>
          <w:tcPr>
            <w:tcW w:w="712" w:type="pct"/>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移动通风机</w:t>
            </w:r>
          </w:p>
        </w:tc>
        <w:tc>
          <w:tcPr>
            <w:tcW w:w="2988" w:type="pct"/>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L=15370m3/h H=1291Pa，r=1800rpm,N=7.5Kw，带移动小车，通风软连接布袋、12米电源线</w:t>
            </w:r>
          </w:p>
        </w:tc>
        <w:tc>
          <w:tcPr>
            <w:tcW w:w="431"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台</w:t>
            </w:r>
          </w:p>
        </w:tc>
        <w:tc>
          <w:tcPr>
            <w:tcW w:w="459"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410"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2.2</w:t>
            </w:r>
          </w:p>
        </w:tc>
        <w:tc>
          <w:tcPr>
            <w:tcW w:w="712" w:type="pct"/>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防爆轴流通风机</w:t>
            </w:r>
          </w:p>
        </w:tc>
        <w:tc>
          <w:tcPr>
            <w:tcW w:w="2988" w:type="pct"/>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N=1.1KW，风量L=12000m³/h，380V电源</w:t>
            </w:r>
          </w:p>
        </w:tc>
        <w:tc>
          <w:tcPr>
            <w:tcW w:w="431"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台</w:t>
            </w:r>
          </w:p>
        </w:tc>
        <w:tc>
          <w:tcPr>
            <w:tcW w:w="459"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410"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2.3</w:t>
            </w:r>
          </w:p>
        </w:tc>
        <w:tc>
          <w:tcPr>
            <w:tcW w:w="712" w:type="pct"/>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空气分配箱</w:t>
            </w:r>
          </w:p>
        </w:tc>
        <w:tc>
          <w:tcPr>
            <w:tcW w:w="2988" w:type="pct"/>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一机三道，满足图纸定制及安装要求，冷轧钢板厚度2.0mm，防腐喷漆</w:t>
            </w:r>
          </w:p>
        </w:tc>
        <w:tc>
          <w:tcPr>
            <w:tcW w:w="431"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套</w:t>
            </w:r>
          </w:p>
        </w:tc>
        <w:tc>
          <w:tcPr>
            <w:tcW w:w="459"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410"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2.4</w:t>
            </w:r>
          </w:p>
        </w:tc>
        <w:tc>
          <w:tcPr>
            <w:tcW w:w="712" w:type="pct"/>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地上笼</w:t>
            </w:r>
          </w:p>
        </w:tc>
        <w:tc>
          <w:tcPr>
            <w:tcW w:w="2988" w:type="pct"/>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空气分配管D500*2mm倒U管，每张长度为1米，冷板镀锌，开孔率35%，满足图纸定制及安装要求</w:t>
            </w:r>
          </w:p>
        </w:tc>
        <w:tc>
          <w:tcPr>
            <w:tcW w:w="431"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张</w:t>
            </w:r>
          </w:p>
        </w:tc>
        <w:tc>
          <w:tcPr>
            <w:tcW w:w="459"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1134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410"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2.5</w:t>
            </w:r>
          </w:p>
        </w:tc>
        <w:tc>
          <w:tcPr>
            <w:tcW w:w="712" w:type="pct"/>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空气分配管</w:t>
            </w:r>
          </w:p>
        </w:tc>
        <w:tc>
          <w:tcPr>
            <w:tcW w:w="2988" w:type="pct"/>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空气分配管D500*2mm倒U管，，每张长度为1米，冷板镀锌，开孔率35%，满足图纸定制及安装要求</w:t>
            </w:r>
          </w:p>
        </w:tc>
        <w:tc>
          <w:tcPr>
            <w:tcW w:w="431"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张</w:t>
            </w:r>
          </w:p>
        </w:tc>
        <w:tc>
          <w:tcPr>
            <w:tcW w:w="459"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410"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2.6</w:t>
            </w:r>
          </w:p>
        </w:tc>
        <w:tc>
          <w:tcPr>
            <w:tcW w:w="712" w:type="pct"/>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90°弯头</w:t>
            </w:r>
          </w:p>
        </w:tc>
        <w:tc>
          <w:tcPr>
            <w:tcW w:w="2988" w:type="pct"/>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空气分配管D500*2mm倒U管，冷板镀锌，开孔率35%，满足图纸定制及安装要求</w:t>
            </w:r>
          </w:p>
        </w:tc>
        <w:tc>
          <w:tcPr>
            <w:tcW w:w="431"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只</w:t>
            </w:r>
          </w:p>
        </w:tc>
        <w:tc>
          <w:tcPr>
            <w:tcW w:w="459"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410"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2.7</w:t>
            </w:r>
          </w:p>
        </w:tc>
        <w:tc>
          <w:tcPr>
            <w:tcW w:w="712" w:type="pct"/>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45°弯头</w:t>
            </w:r>
          </w:p>
        </w:tc>
        <w:tc>
          <w:tcPr>
            <w:tcW w:w="2988" w:type="pct"/>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空气分配管D500*2mm倒U管，冷板镀锌，开孔率35%，满足图纸定制及安装要求</w:t>
            </w:r>
          </w:p>
        </w:tc>
        <w:tc>
          <w:tcPr>
            <w:tcW w:w="431"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只</w:t>
            </w:r>
          </w:p>
        </w:tc>
        <w:tc>
          <w:tcPr>
            <w:tcW w:w="459"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410"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2.8</w:t>
            </w:r>
          </w:p>
        </w:tc>
        <w:tc>
          <w:tcPr>
            <w:tcW w:w="712" w:type="pct"/>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堵头</w:t>
            </w:r>
          </w:p>
        </w:tc>
        <w:tc>
          <w:tcPr>
            <w:tcW w:w="2988" w:type="pct"/>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D500倒U型封堵镀锌盖板，2mm厚，冷板镀锌</w:t>
            </w:r>
          </w:p>
        </w:tc>
        <w:tc>
          <w:tcPr>
            <w:tcW w:w="431"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只</w:t>
            </w:r>
          </w:p>
        </w:tc>
        <w:tc>
          <w:tcPr>
            <w:tcW w:w="459"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410"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2.9</w:t>
            </w:r>
          </w:p>
        </w:tc>
        <w:tc>
          <w:tcPr>
            <w:tcW w:w="712" w:type="pct"/>
            <w:shd w:val="clear" w:color="auto" w:fill="auto"/>
            <w:vAlign w:val="center"/>
          </w:tcPr>
          <w:p>
            <w:pPr>
              <w:jc w:val="left"/>
              <w:rPr>
                <w:rFonts w:ascii="宋体" w:hAnsi="宋体" w:cs="宋体"/>
                <w:color w:val="000000"/>
                <w:kern w:val="0"/>
                <w:sz w:val="24"/>
              </w:rPr>
            </w:pPr>
            <w:r>
              <w:rPr>
                <w:rFonts w:ascii="Cambria Math" w:hAnsi="Cambria Math" w:cs="Cambria Math"/>
                <w:color w:val="000000"/>
                <w:kern w:val="0"/>
                <w:sz w:val="24"/>
              </w:rPr>
              <w:t>∅</w:t>
            </w:r>
            <w:r>
              <w:rPr>
                <w:rFonts w:hint="eastAsia" w:ascii="宋体" w:hAnsi="宋体" w:cs="宋体"/>
                <w:color w:val="000000"/>
                <w:kern w:val="0"/>
                <w:sz w:val="24"/>
              </w:rPr>
              <w:t>150导流管</w:t>
            </w:r>
          </w:p>
        </w:tc>
        <w:tc>
          <w:tcPr>
            <w:tcW w:w="2988" w:type="pct"/>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 xml:space="preserve">每根长7.5米，直径150mm，镀锌管2mm 穿孔率10%，活接卡扣式 </w:t>
            </w:r>
          </w:p>
        </w:tc>
        <w:tc>
          <w:tcPr>
            <w:tcW w:w="431"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m</w:t>
            </w:r>
          </w:p>
        </w:tc>
        <w:tc>
          <w:tcPr>
            <w:tcW w:w="459"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410"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 xml:space="preserve">2.10 </w:t>
            </w:r>
          </w:p>
        </w:tc>
        <w:tc>
          <w:tcPr>
            <w:tcW w:w="712" w:type="pct"/>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固定式环流熏蒸风机</w:t>
            </w:r>
          </w:p>
        </w:tc>
        <w:tc>
          <w:tcPr>
            <w:tcW w:w="2988" w:type="pct"/>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环流风机为防腐防爆专用风机，L=1000m3/h, H=1000Pa,N=1.1KW,380V.配套遮雨棚</w:t>
            </w:r>
          </w:p>
        </w:tc>
        <w:tc>
          <w:tcPr>
            <w:tcW w:w="431"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台</w:t>
            </w:r>
          </w:p>
        </w:tc>
        <w:tc>
          <w:tcPr>
            <w:tcW w:w="459"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410"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 xml:space="preserve">2.11 </w:t>
            </w:r>
          </w:p>
        </w:tc>
        <w:tc>
          <w:tcPr>
            <w:tcW w:w="712" w:type="pct"/>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环流管道</w:t>
            </w:r>
          </w:p>
        </w:tc>
        <w:tc>
          <w:tcPr>
            <w:tcW w:w="2988" w:type="pct"/>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包含两套不锈钢波纹管、不锈钢管道、其他配套管道满足图纸要求。满足图纸定制及安装要求，满足熏蒸及气调储粮要求，不包含控制系统。</w:t>
            </w:r>
          </w:p>
        </w:tc>
        <w:tc>
          <w:tcPr>
            <w:tcW w:w="431"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套</w:t>
            </w:r>
          </w:p>
        </w:tc>
        <w:tc>
          <w:tcPr>
            <w:tcW w:w="459"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410"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 xml:space="preserve">2.12 </w:t>
            </w:r>
          </w:p>
        </w:tc>
        <w:tc>
          <w:tcPr>
            <w:tcW w:w="712" w:type="pct"/>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气体取样装置</w:t>
            </w:r>
          </w:p>
        </w:tc>
        <w:tc>
          <w:tcPr>
            <w:tcW w:w="2988" w:type="pct"/>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每套取样装置设置取样点：不少于5个；箱体护管、探头材质、取样订制阀门（6合1整体*2）：不锈钢；取样管：内径不小于3mm，壁厚≥1mm 聚乙烯 截面耐压不变形</w:t>
            </w:r>
          </w:p>
        </w:tc>
        <w:tc>
          <w:tcPr>
            <w:tcW w:w="431"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套</w:t>
            </w:r>
          </w:p>
        </w:tc>
        <w:tc>
          <w:tcPr>
            <w:tcW w:w="459"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410"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 xml:space="preserve">2.13 </w:t>
            </w:r>
          </w:p>
        </w:tc>
        <w:tc>
          <w:tcPr>
            <w:tcW w:w="712" w:type="pct"/>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粮面PVC回气管网（含接头等配件）</w:t>
            </w:r>
          </w:p>
        </w:tc>
        <w:tc>
          <w:tcPr>
            <w:tcW w:w="2988" w:type="pct"/>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PVCØ 110，具有粮库抗压、抗熏蒸功能，穿孔率15%</w:t>
            </w:r>
          </w:p>
        </w:tc>
        <w:tc>
          <w:tcPr>
            <w:tcW w:w="431"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m</w:t>
            </w:r>
          </w:p>
        </w:tc>
        <w:tc>
          <w:tcPr>
            <w:tcW w:w="459"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410"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 xml:space="preserve">2.14 </w:t>
            </w:r>
          </w:p>
        </w:tc>
        <w:tc>
          <w:tcPr>
            <w:tcW w:w="712" w:type="pct"/>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尼龙复合膜</w:t>
            </w:r>
          </w:p>
        </w:tc>
        <w:tc>
          <w:tcPr>
            <w:tcW w:w="2988" w:type="pct"/>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厚度0.12.尼龙或聚乙烯材质，每张952㎡，30米廒间用，28m*34m</w:t>
            </w:r>
          </w:p>
        </w:tc>
        <w:tc>
          <w:tcPr>
            <w:tcW w:w="431"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张</w:t>
            </w:r>
          </w:p>
        </w:tc>
        <w:tc>
          <w:tcPr>
            <w:tcW w:w="459"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410"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 xml:space="preserve">2.15 </w:t>
            </w:r>
          </w:p>
        </w:tc>
        <w:tc>
          <w:tcPr>
            <w:tcW w:w="712" w:type="pct"/>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尼龙复合膜</w:t>
            </w:r>
          </w:p>
        </w:tc>
        <w:tc>
          <w:tcPr>
            <w:tcW w:w="2988" w:type="pct"/>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厚度0.12.尼龙或聚乙烯材质，每张784㎡，24米廒间用，28m*28m</w:t>
            </w:r>
          </w:p>
        </w:tc>
        <w:tc>
          <w:tcPr>
            <w:tcW w:w="431"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张</w:t>
            </w:r>
          </w:p>
        </w:tc>
        <w:tc>
          <w:tcPr>
            <w:tcW w:w="459"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410"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 xml:space="preserve">2.16 </w:t>
            </w:r>
          </w:p>
        </w:tc>
        <w:tc>
          <w:tcPr>
            <w:tcW w:w="712" w:type="pct"/>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镂空踏粮板</w:t>
            </w:r>
          </w:p>
        </w:tc>
        <w:tc>
          <w:tcPr>
            <w:tcW w:w="2988" w:type="pct"/>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每张尺寸为1200x500x36mm，孔径2.6mm，开孔率70%，30m廒间162米，24m廒间144米</w:t>
            </w:r>
          </w:p>
        </w:tc>
        <w:tc>
          <w:tcPr>
            <w:tcW w:w="431"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张</w:t>
            </w:r>
          </w:p>
        </w:tc>
        <w:tc>
          <w:tcPr>
            <w:tcW w:w="459"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5000" w:type="pct"/>
            <w:gridSpan w:val="5"/>
            <w:shd w:val="clear" w:color="auto" w:fill="auto"/>
            <w:vAlign w:val="center"/>
          </w:tcPr>
          <w:p>
            <w:pPr>
              <w:jc w:val="left"/>
              <w:rPr>
                <w:rFonts w:ascii="宋体" w:hAnsi="宋体" w:cs="宋体"/>
                <w:bCs/>
                <w:color w:val="000000"/>
                <w:kern w:val="0"/>
                <w:sz w:val="24"/>
              </w:rPr>
            </w:pPr>
            <w:r>
              <w:rPr>
                <w:rFonts w:hint="eastAsia" w:ascii="宋体" w:hAnsi="宋体" w:cs="宋体"/>
                <w:bCs/>
                <w:color w:val="000000"/>
                <w:kern w:val="0"/>
                <w:sz w:val="24"/>
              </w:rPr>
              <w:t>三、氮气气调系统（一、二、三期、浅圆仓）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410"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3.1</w:t>
            </w:r>
          </w:p>
        </w:tc>
        <w:tc>
          <w:tcPr>
            <w:tcW w:w="712" w:type="pct"/>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空压机排热风道</w:t>
            </w:r>
          </w:p>
        </w:tc>
        <w:tc>
          <w:tcPr>
            <w:tcW w:w="2988" w:type="pct"/>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镀锌板加工，连接空压机至制氮机房外，含风管内消音器。</w:t>
            </w:r>
          </w:p>
        </w:tc>
        <w:tc>
          <w:tcPr>
            <w:tcW w:w="431"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个</w:t>
            </w:r>
          </w:p>
        </w:tc>
        <w:tc>
          <w:tcPr>
            <w:tcW w:w="459"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410"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3.2</w:t>
            </w:r>
          </w:p>
        </w:tc>
        <w:tc>
          <w:tcPr>
            <w:tcW w:w="712" w:type="pct"/>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固定式环流熏蒸风机</w:t>
            </w:r>
          </w:p>
        </w:tc>
        <w:tc>
          <w:tcPr>
            <w:tcW w:w="2988" w:type="pct"/>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环流风机为防腐防爆专用风机，L=1000m3/h, H=1000Pa,N=1.1KW,380V.配套遮雨棚，一期、二期仓房改造更换。</w:t>
            </w:r>
          </w:p>
        </w:tc>
        <w:tc>
          <w:tcPr>
            <w:tcW w:w="431"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台</w:t>
            </w:r>
          </w:p>
        </w:tc>
        <w:tc>
          <w:tcPr>
            <w:tcW w:w="459"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410"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3.3</w:t>
            </w:r>
          </w:p>
        </w:tc>
        <w:tc>
          <w:tcPr>
            <w:tcW w:w="712" w:type="pct"/>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与环流熏蒸对接管道</w:t>
            </w:r>
          </w:p>
        </w:tc>
        <w:tc>
          <w:tcPr>
            <w:tcW w:w="2988" w:type="pct"/>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包含不锈钢波纹管、不锈钢管道、其他配套管道满足图纸要求。满足图纸定制及安装要求，满足熏蒸及气调储粮要求，一期、二期改造，与原环流熏蒸管道对接，不包含控制系统。</w:t>
            </w:r>
          </w:p>
        </w:tc>
        <w:tc>
          <w:tcPr>
            <w:tcW w:w="431"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套</w:t>
            </w:r>
          </w:p>
        </w:tc>
        <w:tc>
          <w:tcPr>
            <w:tcW w:w="459"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410"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3.4</w:t>
            </w:r>
          </w:p>
        </w:tc>
        <w:tc>
          <w:tcPr>
            <w:tcW w:w="712" w:type="pct"/>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阀门箱</w:t>
            </w:r>
          </w:p>
        </w:tc>
        <w:tc>
          <w:tcPr>
            <w:tcW w:w="2988" w:type="pct"/>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不锈钢阀门箱（箱体侧面和底部做百叶）、三个电动蝶阀、不锈钢熏蒸阀、满足图纸定制及安装要求，满足熏蒸及气调储粮要求，包含一期、二期、浅圆仓改造及三期新增，不包含控制系统。</w:t>
            </w:r>
          </w:p>
        </w:tc>
        <w:tc>
          <w:tcPr>
            <w:tcW w:w="431"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套</w:t>
            </w:r>
          </w:p>
        </w:tc>
        <w:tc>
          <w:tcPr>
            <w:tcW w:w="459"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410"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3.5</w:t>
            </w:r>
          </w:p>
        </w:tc>
        <w:tc>
          <w:tcPr>
            <w:tcW w:w="712" w:type="pct"/>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平房仓气调控制箱</w:t>
            </w:r>
          </w:p>
        </w:tc>
        <w:tc>
          <w:tcPr>
            <w:tcW w:w="2988" w:type="pct"/>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仓内浓度检测、压力检测、不锈钢阀门控制、触摸屏显示、远程数据传输，PLC控制模块，箱体为不锈钢防水箱体；实时监控仓内气体浓度及压力，满足远程控制要求，含本地和远程控制组件。支持1台轴流风机控制，3个蝶阀控制，包含一期、二期、三期仓房。</w:t>
            </w:r>
          </w:p>
        </w:tc>
        <w:tc>
          <w:tcPr>
            <w:tcW w:w="431"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套</w:t>
            </w:r>
          </w:p>
        </w:tc>
        <w:tc>
          <w:tcPr>
            <w:tcW w:w="459"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410"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3.6</w:t>
            </w:r>
          </w:p>
        </w:tc>
        <w:tc>
          <w:tcPr>
            <w:tcW w:w="712" w:type="pct"/>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浅圆仓气调控制柜</w:t>
            </w:r>
          </w:p>
        </w:tc>
        <w:tc>
          <w:tcPr>
            <w:tcW w:w="2988" w:type="pct"/>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仓内浓度检测、压力检测、不锈钢阀门控制、触摸屏显示、远程数据传输，PLC控制模块，箱体为不锈钢防水箱体；实时监控仓内气体浓度及压力，满足远程控制要求，含本地和远程控制组件。同时可以控制4个阀门箱，支持4台轴流风机控制，12个蝶阀控制。</w:t>
            </w:r>
          </w:p>
        </w:tc>
        <w:tc>
          <w:tcPr>
            <w:tcW w:w="431"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套</w:t>
            </w:r>
          </w:p>
        </w:tc>
        <w:tc>
          <w:tcPr>
            <w:tcW w:w="459"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410"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3.7</w:t>
            </w:r>
          </w:p>
        </w:tc>
        <w:tc>
          <w:tcPr>
            <w:tcW w:w="712" w:type="pct"/>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工业触摸屏</w:t>
            </w:r>
          </w:p>
        </w:tc>
        <w:tc>
          <w:tcPr>
            <w:tcW w:w="2988" w:type="pct"/>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7寸TFT工业液晶屏，支持以太网接口、串口RS232/RS485通讯，防护等级IP65，内嵌组态软件。</w:t>
            </w:r>
          </w:p>
        </w:tc>
        <w:tc>
          <w:tcPr>
            <w:tcW w:w="431"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块</w:t>
            </w:r>
          </w:p>
        </w:tc>
        <w:tc>
          <w:tcPr>
            <w:tcW w:w="459"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410"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3.8</w:t>
            </w:r>
          </w:p>
        </w:tc>
        <w:tc>
          <w:tcPr>
            <w:tcW w:w="712" w:type="pct"/>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压力传感器</w:t>
            </w:r>
          </w:p>
        </w:tc>
        <w:tc>
          <w:tcPr>
            <w:tcW w:w="2988" w:type="pct"/>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压力传感器</w:t>
            </w:r>
          </w:p>
        </w:tc>
        <w:tc>
          <w:tcPr>
            <w:tcW w:w="431"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套</w:t>
            </w:r>
          </w:p>
        </w:tc>
        <w:tc>
          <w:tcPr>
            <w:tcW w:w="459"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410"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3.9</w:t>
            </w:r>
          </w:p>
        </w:tc>
        <w:tc>
          <w:tcPr>
            <w:tcW w:w="712" w:type="pct"/>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氮气传感器</w:t>
            </w:r>
          </w:p>
        </w:tc>
        <w:tc>
          <w:tcPr>
            <w:tcW w:w="2988" w:type="pct"/>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氮气传感器，4-20ma输出，量程79.0%-99.9%，不含每年标定费用</w:t>
            </w:r>
          </w:p>
        </w:tc>
        <w:tc>
          <w:tcPr>
            <w:tcW w:w="431"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套</w:t>
            </w:r>
          </w:p>
        </w:tc>
        <w:tc>
          <w:tcPr>
            <w:tcW w:w="459"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410"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 xml:space="preserve">3.10 </w:t>
            </w:r>
          </w:p>
        </w:tc>
        <w:tc>
          <w:tcPr>
            <w:tcW w:w="712" w:type="pct"/>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8口工业环网型交换机</w:t>
            </w:r>
          </w:p>
        </w:tc>
        <w:tc>
          <w:tcPr>
            <w:tcW w:w="2988" w:type="pct"/>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网管型6个百兆电口+2个百兆光（SC接口单模单纤）口交换机，交换带宽1Gbps；支持 iRing 环形组网，环网自愈时间&lt;20ms，电源双DC冗余：12-48V DC（工业端子）冗余电源输入，工作温度–40℃-85℃，具备CE、FCC、PTCRB、Verizon Wireless、AT&amp;T认证</w:t>
            </w:r>
          </w:p>
        </w:tc>
        <w:tc>
          <w:tcPr>
            <w:tcW w:w="431"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台</w:t>
            </w:r>
          </w:p>
        </w:tc>
        <w:tc>
          <w:tcPr>
            <w:tcW w:w="459"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410"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 xml:space="preserve">3.11 </w:t>
            </w:r>
          </w:p>
        </w:tc>
        <w:tc>
          <w:tcPr>
            <w:tcW w:w="712" w:type="pct"/>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开关电源</w:t>
            </w:r>
          </w:p>
        </w:tc>
        <w:tc>
          <w:tcPr>
            <w:tcW w:w="2988" w:type="pct"/>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工业用DIN型DC24V电源</w:t>
            </w:r>
          </w:p>
        </w:tc>
        <w:tc>
          <w:tcPr>
            <w:tcW w:w="431"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个</w:t>
            </w:r>
          </w:p>
        </w:tc>
        <w:tc>
          <w:tcPr>
            <w:tcW w:w="459"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410"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 xml:space="preserve">3.12 </w:t>
            </w:r>
          </w:p>
        </w:tc>
        <w:tc>
          <w:tcPr>
            <w:tcW w:w="712" w:type="pct"/>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制氮机通讯模块</w:t>
            </w:r>
          </w:p>
        </w:tc>
        <w:tc>
          <w:tcPr>
            <w:tcW w:w="2988" w:type="pct"/>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双路RS485转TCP</w:t>
            </w:r>
          </w:p>
        </w:tc>
        <w:tc>
          <w:tcPr>
            <w:tcW w:w="431"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个</w:t>
            </w:r>
          </w:p>
        </w:tc>
        <w:tc>
          <w:tcPr>
            <w:tcW w:w="459"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410"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 xml:space="preserve">3.13 </w:t>
            </w:r>
          </w:p>
        </w:tc>
        <w:tc>
          <w:tcPr>
            <w:tcW w:w="712" w:type="pct"/>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智能电表</w:t>
            </w:r>
          </w:p>
        </w:tc>
        <w:tc>
          <w:tcPr>
            <w:tcW w:w="2988" w:type="pct"/>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3相4线数字电表</w:t>
            </w:r>
          </w:p>
        </w:tc>
        <w:tc>
          <w:tcPr>
            <w:tcW w:w="431"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个</w:t>
            </w:r>
          </w:p>
        </w:tc>
        <w:tc>
          <w:tcPr>
            <w:tcW w:w="459"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410"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 xml:space="preserve">3.14 </w:t>
            </w:r>
          </w:p>
        </w:tc>
        <w:tc>
          <w:tcPr>
            <w:tcW w:w="712" w:type="pct"/>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互感线圈</w:t>
            </w:r>
          </w:p>
        </w:tc>
        <w:tc>
          <w:tcPr>
            <w:tcW w:w="2988" w:type="pct"/>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150/5</w:t>
            </w:r>
          </w:p>
        </w:tc>
        <w:tc>
          <w:tcPr>
            <w:tcW w:w="431"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个</w:t>
            </w:r>
          </w:p>
        </w:tc>
        <w:tc>
          <w:tcPr>
            <w:tcW w:w="459"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410"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 xml:space="preserve">3.15 </w:t>
            </w:r>
          </w:p>
        </w:tc>
        <w:tc>
          <w:tcPr>
            <w:tcW w:w="712" w:type="pct"/>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光纤</w:t>
            </w:r>
          </w:p>
        </w:tc>
        <w:tc>
          <w:tcPr>
            <w:tcW w:w="2988" w:type="pct"/>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4芯单模铠装光纤</w:t>
            </w:r>
          </w:p>
        </w:tc>
        <w:tc>
          <w:tcPr>
            <w:tcW w:w="431"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米</w:t>
            </w:r>
          </w:p>
        </w:tc>
        <w:tc>
          <w:tcPr>
            <w:tcW w:w="459"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410"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 xml:space="preserve">3.16 </w:t>
            </w:r>
          </w:p>
        </w:tc>
        <w:tc>
          <w:tcPr>
            <w:tcW w:w="712" w:type="pct"/>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网线</w:t>
            </w:r>
          </w:p>
        </w:tc>
        <w:tc>
          <w:tcPr>
            <w:tcW w:w="2988" w:type="pct"/>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超五类非屏蔽</w:t>
            </w:r>
          </w:p>
        </w:tc>
        <w:tc>
          <w:tcPr>
            <w:tcW w:w="431"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箱</w:t>
            </w:r>
          </w:p>
        </w:tc>
        <w:tc>
          <w:tcPr>
            <w:tcW w:w="459"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410"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 xml:space="preserve">3.17 </w:t>
            </w:r>
          </w:p>
        </w:tc>
        <w:tc>
          <w:tcPr>
            <w:tcW w:w="712" w:type="pct"/>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环流风机电源线</w:t>
            </w:r>
          </w:p>
        </w:tc>
        <w:tc>
          <w:tcPr>
            <w:tcW w:w="2988" w:type="pct"/>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KVV4*2.5</w:t>
            </w:r>
          </w:p>
        </w:tc>
        <w:tc>
          <w:tcPr>
            <w:tcW w:w="431"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米</w:t>
            </w:r>
          </w:p>
        </w:tc>
        <w:tc>
          <w:tcPr>
            <w:tcW w:w="459"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410"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 xml:space="preserve">3.18 </w:t>
            </w:r>
          </w:p>
        </w:tc>
        <w:tc>
          <w:tcPr>
            <w:tcW w:w="712" w:type="pct"/>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阀门控制线</w:t>
            </w:r>
          </w:p>
        </w:tc>
        <w:tc>
          <w:tcPr>
            <w:tcW w:w="2988" w:type="pct"/>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RVV5*1.5</w:t>
            </w:r>
          </w:p>
        </w:tc>
        <w:tc>
          <w:tcPr>
            <w:tcW w:w="431"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米</w:t>
            </w:r>
          </w:p>
        </w:tc>
        <w:tc>
          <w:tcPr>
            <w:tcW w:w="459"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410"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 xml:space="preserve">3.19 </w:t>
            </w:r>
          </w:p>
        </w:tc>
        <w:tc>
          <w:tcPr>
            <w:tcW w:w="712" w:type="pct"/>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PU管</w:t>
            </w:r>
          </w:p>
        </w:tc>
        <w:tc>
          <w:tcPr>
            <w:tcW w:w="2988" w:type="pct"/>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内径4*外径6</w:t>
            </w:r>
          </w:p>
        </w:tc>
        <w:tc>
          <w:tcPr>
            <w:tcW w:w="431"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米</w:t>
            </w:r>
          </w:p>
        </w:tc>
        <w:tc>
          <w:tcPr>
            <w:tcW w:w="459"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410"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 xml:space="preserve">3.20 </w:t>
            </w:r>
          </w:p>
        </w:tc>
        <w:tc>
          <w:tcPr>
            <w:tcW w:w="712" w:type="pct"/>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气体取样杆</w:t>
            </w:r>
          </w:p>
        </w:tc>
        <w:tc>
          <w:tcPr>
            <w:tcW w:w="2988" w:type="pct"/>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0.5m/根，每个仓6根</w:t>
            </w:r>
          </w:p>
        </w:tc>
        <w:tc>
          <w:tcPr>
            <w:tcW w:w="431"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根</w:t>
            </w:r>
          </w:p>
        </w:tc>
        <w:tc>
          <w:tcPr>
            <w:tcW w:w="459"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410"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 xml:space="preserve">3.21 </w:t>
            </w:r>
          </w:p>
        </w:tc>
        <w:tc>
          <w:tcPr>
            <w:tcW w:w="712" w:type="pct"/>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控制系统</w:t>
            </w:r>
          </w:p>
        </w:tc>
        <w:tc>
          <w:tcPr>
            <w:tcW w:w="2988" w:type="pct"/>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平房仓、大型筒仓全自动物联网管控系统，包含现场触摸屏控制程序、PLC控制程序、控制中心PC端组态程序及加密狗，实现远程控制一键充氮气调，包含单机控制端和BS网页端数据查看。</w:t>
            </w:r>
          </w:p>
        </w:tc>
        <w:tc>
          <w:tcPr>
            <w:tcW w:w="431"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套</w:t>
            </w:r>
          </w:p>
        </w:tc>
        <w:tc>
          <w:tcPr>
            <w:tcW w:w="459"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410"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 xml:space="preserve">3.22 </w:t>
            </w:r>
          </w:p>
        </w:tc>
        <w:tc>
          <w:tcPr>
            <w:tcW w:w="712" w:type="pct"/>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辅材</w:t>
            </w:r>
          </w:p>
        </w:tc>
        <w:tc>
          <w:tcPr>
            <w:tcW w:w="2988" w:type="pct"/>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光纤熔接、PVC管等</w:t>
            </w:r>
          </w:p>
        </w:tc>
        <w:tc>
          <w:tcPr>
            <w:tcW w:w="431"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项</w:t>
            </w:r>
          </w:p>
        </w:tc>
        <w:tc>
          <w:tcPr>
            <w:tcW w:w="459"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5000" w:type="pct"/>
            <w:gridSpan w:val="5"/>
            <w:shd w:val="clear" w:color="auto" w:fill="auto"/>
            <w:vAlign w:val="center"/>
          </w:tcPr>
          <w:p>
            <w:pPr>
              <w:jc w:val="left"/>
              <w:rPr>
                <w:rFonts w:ascii="宋体" w:hAnsi="宋体" w:cs="宋体"/>
                <w:bCs/>
                <w:color w:val="000000"/>
                <w:kern w:val="0"/>
                <w:sz w:val="24"/>
              </w:rPr>
            </w:pPr>
            <w:r>
              <w:rPr>
                <w:rFonts w:hint="eastAsia" w:ascii="宋体" w:hAnsi="宋体" w:cs="宋体"/>
                <w:bCs/>
                <w:color w:val="000000"/>
                <w:kern w:val="0"/>
                <w:sz w:val="24"/>
              </w:rPr>
              <w:t>四、平房仓粮情检测系统（三期）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0" w:hRule="atLeast"/>
        </w:trPr>
        <w:tc>
          <w:tcPr>
            <w:tcW w:w="410"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4.1</w:t>
            </w:r>
          </w:p>
        </w:tc>
        <w:tc>
          <w:tcPr>
            <w:tcW w:w="712" w:type="pct"/>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粮情检测主机（含网络版软件）</w:t>
            </w:r>
          </w:p>
        </w:tc>
        <w:tc>
          <w:tcPr>
            <w:tcW w:w="2988" w:type="pct"/>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测控主机内含工控机、网络版软件装在工控机内，可实现局域网或互联网内任何计算机或手机等均可实时测温，实现仓房现场测控分机与上位机之间的数据传输与交换，具有有线和无线、光线、物联网等多种通讯方式。测控主机可对分机电源进行集中管理，检测时自动给分机加电，检测完毕自动掉电。  测控主机使粮情检测系统同计算机及库内局域网相互隔离，防止外部干扰和雷击损坏计算机及网络。 主机具有显示通讯状况，显示工作时电压电流功能，通讯模式：广播模式即主机之间“一对所有”的通讯模式。</w:t>
            </w:r>
          </w:p>
        </w:tc>
        <w:tc>
          <w:tcPr>
            <w:tcW w:w="431"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套</w:t>
            </w:r>
          </w:p>
        </w:tc>
        <w:tc>
          <w:tcPr>
            <w:tcW w:w="459"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10"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4.2</w:t>
            </w:r>
          </w:p>
        </w:tc>
        <w:tc>
          <w:tcPr>
            <w:tcW w:w="712" w:type="pct"/>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测控分机</w:t>
            </w:r>
          </w:p>
        </w:tc>
        <w:tc>
          <w:tcPr>
            <w:tcW w:w="2988" w:type="pct"/>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测控分机接收测控主机指令，通过现场传感器采集粮情数据及粮情控制设备状态，并将所采集数据返回给上位机，完成对粮情控制设备的控制。测控分机具有自动检测传感器ID码的功能，自动对点位数量、位置进行检测、存储。测控分机应预留测水、测虫、测气、自动通风接口。分机应采用低功耗设计，能长时加电工作。</w:t>
            </w:r>
            <w:r>
              <w:rPr>
                <w:rFonts w:hint="eastAsia" w:ascii="宋体" w:hAnsi="宋体" w:cs="宋体"/>
                <w:color w:val="000000"/>
                <w:kern w:val="0"/>
                <w:sz w:val="24"/>
              </w:rPr>
              <w:br w:type="textWrapping"/>
            </w:r>
            <w:r>
              <w:rPr>
                <w:rFonts w:hint="eastAsia" w:ascii="宋体" w:hAnsi="宋体" w:cs="宋体"/>
                <w:color w:val="000000"/>
                <w:kern w:val="0"/>
                <w:sz w:val="24"/>
              </w:rPr>
              <w:t>分机采用透明外壳设计，可随时观察分机工作状况分机具有自适应功能，在应用多年线路老化时，可通过软件对分机进行初始化，使其根据线路老化情况调整自身参数，始终保持最佳效果。</w:t>
            </w:r>
          </w:p>
        </w:tc>
        <w:tc>
          <w:tcPr>
            <w:tcW w:w="431"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只</w:t>
            </w:r>
          </w:p>
        </w:tc>
        <w:tc>
          <w:tcPr>
            <w:tcW w:w="459"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410"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4.3</w:t>
            </w:r>
          </w:p>
        </w:tc>
        <w:tc>
          <w:tcPr>
            <w:tcW w:w="712" w:type="pct"/>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无线系统</w:t>
            </w:r>
          </w:p>
        </w:tc>
        <w:tc>
          <w:tcPr>
            <w:tcW w:w="2988" w:type="pct"/>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分机与主机采用无线通讯</w:t>
            </w:r>
          </w:p>
        </w:tc>
        <w:tc>
          <w:tcPr>
            <w:tcW w:w="431"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台</w:t>
            </w:r>
          </w:p>
        </w:tc>
        <w:tc>
          <w:tcPr>
            <w:tcW w:w="459"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410"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4.4</w:t>
            </w:r>
          </w:p>
        </w:tc>
        <w:tc>
          <w:tcPr>
            <w:tcW w:w="712" w:type="pct"/>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不锈钢控制箱</w:t>
            </w:r>
          </w:p>
        </w:tc>
        <w:tc>
          <w:tcPr>
            <w:tcW w:w="2988" w:type="pct"/>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含防雷、电源</w:t>
            </w:r>
          </w:p>
        </w:tc>
        <w:tc>
          <w:tcPr>
            <w:tcW w:w="431"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台</w:t>
            </w:r>
          </w:p>
        </w:tc>
        <w:tc>
          <w:tcPr>
            <w:tcW w:w="459"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0" w:hRule="atLeast"/>
        </w:trPr>
        <w:tc>
          <w:tcPr>
            <w:tcW w:w="410"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4.5</w:t>
            </w:r>
          </w:p>
        </w:tc>
        <w:tc>
          <w:tcPr>
            <w:tcW w:w="712" w:type="pct"/>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测温电缆</w:t>
            </w:r>
          </w:p>
        </w:tc>
        <w:tc>
          <w:tcPr>
            <w:tcW w:w="2988" w:type="pct"/>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测温电缆总成（包括粮面下的测温电缆及粮面上的引线），所用的外绝缘和护套材料、内线芯绝缘和护套材料、连接部件、接插件，均采用100%原生料，不用再生材料。测温电缆要采用接插件连接，每根互相独立，用计算机或手持仪器能够改写地址码，以保证测温电缆可以互换。    测温电缆应符合抗拉、抗压、抗老化、抗腐蚀、耐低温的使用要求，测温电缆正常情况下使用寿命≥15年，平房仓测温电缆采用两线制，扁平、单点注塑、筒仓可换芯电缆芯采用内注可溶性电子胶保护，大大加强了防腐、防熏蒸能力</w:t>
            </w:r>
            <w:r>
              <w:rPr>
                <w:rFonts w:hint="eastAsia" w:ascii="宋体" w:hAnsi="宋体" w:cs="宋体"/>
                <w:color w:val="000000"/>
                <w:kern w:val="0"/>
                <w:sz w:val="24"/>
              </w:rPr>
              <w:br w:type="textWrapping"/>
            </w:r>
            <w:r>
              <w:rPr>
                <w:rFonts w:hint="eastAsia" w:ascii="宋体" w:hAnsi="宋体" w:cs="宋体"/>
                <w:color w:val="000000"/>
                <w:kern w:val="0"/>
                <w:sz w:val="24"/>
              </w:rPr>
              <w:t>平房仓采用总线式数字温度传感器。一致性好，寿命长，准确度高，精度高，重复性好。测量范围：-55℃ - +125℃；测量精度：≤±0.5℃；重复误差：≤±0.2℃。24米廒间每廒间36根，30米廒间每廒间42根。</w:t>
            </w:r>
          </w:p>
        </w:tc>
        <w:tc>
          <w:tcPr>
            <w:tcW w:w="431"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根</w:t>
            </w:r>
          </w:p>
        </w:tc>
        <w:tc>
          <w:tcPr>
            <w:tcW w:w="459"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410"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4.6</w:t>
            </w:r>
          </w:p>
        </w:tc>
        <w:tc>
          <w:tcPr>
            <w:tcW w:w="712" w:type="pct"/>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仓内温湿度传感器</w:t>
            </w:r>
          </w:p>
        </w:tc>
        <w:tc>
          <w:tcPr>
            <w:tcW w:w="2988" w:type="pct"/>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仓温、仓湿传感器采用温、湿度一体化的形式，可直接同数字电缆连接，用于测量仓房内的环境温、湿度值。具有较强的防尘、防腐蚀和抗熏蒸能力。环境湿度：1%RH～99%RH(包括凝露)；</w:t>
            </w:r>
          </w:p>
        </w:tc>
        <w:tc>
          <w:tcPr>
            <w:tcW w:w="431"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只</w:t>
            </w:r>
          </w:p>
        </w:tc>
        <w:tc>
          <w:tcPr>
            <w:tcW w:w="459"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410"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4.7</w:t>
            </w:r>
          </w:p>
        </w:tc>
        <w:tc>
          <w:tcPr>
            <w:tcW w:w="712" w:type="pct"/>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大气温湿度传感器</w:t>
            </w:r>
          </w:p>
        </w:tc>
        <w:tc>
          <w:tcPr>
            <w:tcW w:w="2988" w:type="pct"/>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仓温、仓湿传感器采用温、湿度一体化的形式，可直接同数字电缆连接，用于测量仓房内的环境温、湿度值。具有较强的防尘、防腐蚀和抗熏蒸能力。环境湿度：1%RH～99%RH(包括凝露)；外罩百叶箱</w:t>
            </w:r>
          </w:p>
        </w:tc>
        <w:tc>
          <w:tcPr>
            <w:tcW w:w="431"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套</w:t>
            </w:r>
          </w:p>
        </w:tc>
        <w:tc>
          <w:tcPr>
            <w:tcW w:w="459"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410"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4.8</w:t>
            </w:r>
          </w:p>
        </w:tc>
        <w:tc>
          <w:tcPr>
            <w:tcW w:w="712" w:type="pct"/>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两芯互连线</w:t>
            </w:r>
          </w:p>
        </w:tc>
        <w:tc>
          <w:tcPr>
            <w:tcW w:w="2988" w:type="pct"/>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2 @ 0.75mm2 (22 AWG), 防紫外线PVC 黑色外壳。工作温度范围： -40℃ +80℃。  直径为5mm</w:t>
            </w:r>
          </w:p>
        </w:tc>
        <w:tc>
          <w:tcPr>
            <w:tcW w:w="431"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米</w:t>
            </w:r>
          </w:p>
        </w:tc>
        <w:tc>
          <w:tcPr>
            <w:tcW w:w="459"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410"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4.9</w:t>
            </w:r>
          </w:p>
        </w:tc>
        <w:tc>
          <w:tcPr>
            <w:tcW w:w="712" w:type="pct"/>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连接头</w:t>
            </w:r>
          </w:p>
        </w:tc>
        <w:tc>
          <w:tcPr>
            <w:tcW w:w="2988" w:type="pct"/>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1. 防水两芯数字式温度连接插头。</w:t>
            </w:r>
            <w:r>
              <w:rPr>
                <w:rFonts w:hint="eastAsia" w:ascii="宋体" w:hAnsi="宋体" w:cs="宋体"/>
                <w:color w:val="000000"/>
                <w:kern w:val="0"/>
                <w:sz w:val="24"/>
              </w:rPr>
              <w:br w:type="textWrapping"/>
            </w:r>
            <w:r>
              <w:rPr>
                <w:rFonts w:hint="eastAsia" w:ascii="宋体" w:hAnsi="宋体" w:cs="宋体"/>
                <w:color w:val="000000"/>
                <w:kern w:val="0"/>
                <w:sz w:val="24"/>
              </w:rPr>
              <w:t>2. 防水两芯数字式温度连接插座</w:t>
            </w:r>
          </w:p>
        </w:tc>
        <w:tc>
          <w:tcPr>
            <w:tcW w:w="431"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个</w:t>
            </w:r>
          </w:p>
        </w:tc>
        <w:tc>
          <w:tcPr>
            <w:tcW w:w="459"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410"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 xml:space="preserve">4.10 </w:t>
            </w:r>
          </w:p>
        </w:tc>
        <w:tc>
          <w:tcPr>
            <w:tcW w:w="712" w:type="pct"/>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辅材</w:t>
            </w:r>
          </w:p>
        </w:tc>
        <w:tc>
          <w:tcPr>
            <w:tcW w:w="2988" w:type="pct"/>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配套固定管材、固体胶棒等</w:t>
            </w:r>
          </w:p>
        </w:tc>
        <w:tc>
          <w:tcPr>
            <w:tcW w:w="431"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项</w:t>
            </w:r>
          </w:p>
        </w:tc>
        <w:tc>
          <w:tcPr>
            <w:tcW w:w="459"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5000" w:type="pct"/>
            <w:gridSpan w:val="5"/>
            <w:shd w:val="clear" w:color="auto" w:fill="auto"/>
            <w:vAlign w:val="center"/>
          </w:tcPr>
          <w:p>
            <w:pPr>
              <w:jc w:val="center"/>
              <w:rPr>
                <w:rFonts w:ascii="宋体" w:hAnsi="宋体" w:cs="宋体"/>
                <w:bCs/>
                <w:color w:val="000000"/>
                <w:kern w:val="0"/>
                <w:sz w:val="24"/>
              </w:rPr>
            </w:pPr>
            <w:r>
              <w:rPr>
                <w:rFonts w:hint="eastAsia" w:ascii="宋体" w:hAnsi="宋体" w:cs="宋体"/>
                <w:bCs/>
                <w:color w:val="000000"/>
                <w:kern w:val="0"/>
                <w:sz w:val="24"/>
              </w:rPr>
              <w:t>设备清单（北库区）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10" w:type="pct"/>
            <w:shd w:val="clear" w:color="auto" w:fill="auto"/>
            <w:vAlign w:val="center"/>
          </w:tcPr>
          <w:p>
            <w:pPr>
              <w:jc w:val="center"/>
              <w:rPr>
                <w:rFonts w:ascii="宋体" w:hAnsi="宋体" w:cs="宋体"/>
                <w:bCs/>
                <w:color w:val="000000"/>
                <w:kern w:val="0"/>
                <w:sz w:val="24"/>
              </w:rPr>
            </w:pPr>
            <w:r>
              <w:rPr>
                <w:rFonts w:hint="eastAsia" w:ascii="宋体" w:hAnsi="宋体" w:cs="宋体"/>
                <w:bCs/>
                <w:color w:val="000000"/>
                <w:kern w:val="0"/>
                <w:sz w:val="24"/>
              </w:rPr>
              <w:t>序号</w:t>
            </w:r>
          </w:p>
        </w:tc>
        <w:tc>
          <w:tcPr>
            <w:tcW w:w="712" w:type="pct"/>
            <w:shd w:val="clear" w:color="auto" w:fill="auto"/>
            <w:vAlign w:val="center"/>
          </w:tcPr>
          <w:p>
            <w:pPr>
              <w:jc w:val="center"/>
              <w:rPr>
                <w:rFonts w:ascii="宋体" w:hAnsi="宋体" w:cs="宋体"/>
                <w:bCs/>
                <w:color w:val="000000"/>
                <w:kern w:val="0"/>
                <w:sz w:val="24"/>
              </w:rPr>
            </w:pPr>
            <w:r>
              <w:rPr>
                <w:rFonts w:hint="eastAsia" w:ascii="宋体" w:hAnsi="宋体" w:cs="宋体"/>
                <w:bCs/>
                <w:color w:val="000000"/>
                <w:kern w:val="0"/>
                <w:sz w:val="24"/>
              </w:rPr>
              <w:t>项目名称</w:t>
            </w:r>
          </w:p>
        </w:tc>
        <w:tc>
          <w:tcPr>
            <w:tcW w:w="2988" w:type="pct"/>
            <w:shd w:val="clear" w:color="auto" w:fill="auto"/>
            <w:vAlign w:val="center"/>
          </w:tcPr>
          <w:p>
            <w:pPr>
              <w:jc w:val="center"/>
              <w:rPr>
                <w:rFonts w:ascii="宋体" w:hAnsi="宋体" w:cs="宋体"/>
                <w:bCs/>
                <w:color w:val="000000"/>
                <w:kern w:val="0"/>
                <w:sz w:val="24"/>
              </w:rPr>
            </w:pPr>
            <w:r>
              <w:rPr>
                <w:rFonts w:hint="eastAsia" w:ascii="宋体" w:hAnsi="宋体" w:cs="宋体"/>
                <w:bCs/>
                <w:color w:val="000000"/>
                <w:kern w:val="0"/>
                <w:sz w:val="24"/>
              </w:rPr>
              <w:t>项目特征描述</w:t>
            </w:r>
          </w:p>
        </w:tc>
        <w:tc>
          <w:tcPr>
            <w:tcW w:w="431" w:type="pct"/>
            <w:shd w:val="clear" w:color="auto" w:fill="auto"/>
            <w:vAlign w:val="center"/>
          </w:tcPr>
          <w:p>
            <w:pPr>
              <w:jc w:val="center"/>
              <w:rPr>
                <w:rFonts w:ascii="宋体" w:hAnsi="宋体" w:cs="宋体"/>
                <w:bCs/>
                <w:color w:val="000000"/>
                <w:kern w:val="0"/>
                <w:sz w:val="24"/>
              </w:rPr>
            </w:pPr>
            <w:r>
              <w:rPr>
                <w:rFonts w:hint="eastAsia" w:ascii="宋体" w:hAnsi="宋体" w:cs="宋体"/>
                <w:bCs/>
                <w:color w:val="000000"/>
                <w:kern w:val="0"/>
                <w:sz w:val="24"/>
              </w:rPr>
              <w:t>计量单位</w:t>
            </w:r>
          </w:p>
        </w:tc>
        <w:tc>
          <w:tcPr>
            <w:tcW w:w="459" w:type="pct"/>
            <w:shd w:val="clear" w:color="auto" w:fill="auto"/>
            <w:vAlign w:val="center"/>
          </w:tcPr>
          <w:p>
            <w:pPr>
              <w:jc w:val="center"/>
              <w:rPr>
                <w:rFonts w:ascii="宋体" w:hAnsi="宋体" w:cs="宋体"/>
                <w:bCs/>
                <w:color w:val="000000"/>
                <w:kern w:val="0"/>
                <w:sz w:val="24"/>
              </w:rPr>
            </w:pPr>
            <w:r>
              <w:rPr>
                <w:rFonts w:hint="eastAsia" w:ascii="宋体" w:hAnsi="宋体" w:cs="宋体"/>
                <w:bCs/>
                <w:color w:val="000000"/>
                <w:kern w:val="0"/>
                <w:sz w:val="24"/>
              </w:rPr>
              <w:t>工程量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5000" w:type="pct"/>
            <w:gridSpan w:val="5"/>
            <w:shd w:val="clear" w:color="auto" w:fill="auto"/>
            <w:vAlign w:val="center"/>
          </w:tcPr>
          <w:p>
            <w:pPr>
              <w:jc w:val="left"/>
              <w:rPr>
                <w:rFonts w:ascii="宋体" w:hAnsi="宋体" w:cs="宋体"/>
                <w:bCs/>
                <w:color w:val="000000"/>
                <w:kern w:val="0"/>
                <w:sz w:val="24"/>
              </w:rPr>
            </w:pPr>
            <w:r>
              <w:rPr>
                <w:rFonts w:hint="eastAsia" w:ascii="宋体" w:hAnsi="宋体" w:cs="宋体"/>
                <w:bCs/>
                <w:color w:val="000000"/>
                <w:kern w:val="0"/>
                <w:sz w:val="24"/>
              </w:rPr>
              <w:t>一、粮面表层控温系统（北库）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0" w:hRule="atLeast"/>
        </w:trPr>
        <w:tc>
          <w:tcPr>
            <w:tcW w:w="410"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1.1</w:t>
            </w:r>
          </w:p>
        </w:tc>
        <w:tc>
          <w:tcPr>
            <w:tcW w:w="712" w:type="pct"/>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平房仓风冷粮面低温专用机组（含室内外机组）</w:t>
            </w:r>
          </w:p>
        </w:tc>
        <w:tc>
          <w:tcPr>
            <w:tcW w:w="2988" w:type="pct"/>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1.制冷量≥10kw</w:t>
            </w:r>
            <w:r>
              <w:rPr>
                <w:rFonts w:hint="eastAsia" w:ascii="宋体" w:hAnsi="宋体" w:cs="宋体"/>
                <w:color w:val="000000"/>
                <w:kern w:val="0"/>
                <w:sz w:val="24"/>
              </w:rPr>
              <w:br w:type="textWrapping"/>
            </w:r>
            <w:r>
              <w:rPr>
                <w:rFonts w:hint="eastAsia" w:ascii="宋体" w:hAnsi="宋体" w:cs="宋体"/>
                <w:color w:val="000000"/>
                <w:kern w:val="0"/>
                <w:sz w:val="24"/>
              </w:rPr>
              <w:t>2.送风量≥3600m3/h</w:t>
            </w:r>
            <w:r>
              <w:rPr>
                <w:rFonts w:hint="eastAsia" w:ascii="宋体" w:hAnsi="宋体" w:cs="宋体"/>
                <w:color w:val="000000"/>
                <w:kern w:val="0"/>
                <w:sz w:val="24"/>
              </w:rPr>
              <w:br w:type="textWrapping"/>
            </w:r>
            <w:r>
              <w:rPr>
                <w:rFonts w:hint="eastAsia" w:ascii="宋体" w:hAnsi="宋体" w:cs="宋体"/>
                <w:color w:val="000000"/>
                <w:kern w:val="0"/>
                <w:sz w:val="24"/>
              </w:rPr>
              <w:t>3.制冷消耗功率≤5900W</w:t>
            </w:r>
            <w:r>
              <w:rPr>
                <w:rFonts w:hint="eastAsia" w:ascii="宋体" w:hAnsi="宋体" w:cs="宋体"/>
                <w:color w:val="000000"/>
                <w:kern w:val="0"/>
                <w:sz w:val="24"/>
              </w:rPr>
              <w:br w:type="textWrapping"/>
            </w:r>
            <w:r>
              <w:rPr>
                <w:rFonts w:hint="eastAsia" w:ascii="宋体" w:hAnsi="宋体" w:cs="宋体"/>
                <w:color w:val="000000"/>
                <w:kern w:val="0"/>
                <w:sz w:val="24"/>
              </w:rPr>
              <w:t>4.送风距离:≥24m;制冷工况(回风温度15℃,相对湿度60%);</w:t>
            </w:r>
            <w:r>
              <w:rPr>
                <w:rFonts w:hint="eastAsia" w:ascii="宋体" w:hAnsi="宋体" w:cs="宋体"/>
                <w:color w:val="000000"/>
                <w:kern w:val="0"/>
                <w:sz w:val="24"/>
              </w:rPr>
              <w:br w:type="textWrapping"/>
            </w:r>
            <w:r>
              <w:rPr>
                <w:rFonts w:hint="eastAsia" w:ascii="宋体" w:hAnsi="宋体" w:cs="宋体"/>
                <w:color w:val="000000"/>
                <w:kern w:val="0"/>
                <w:sz w:val="24"/>
              </w:rPr>
              <w:t>5.最大运行功率:5.82kw;</w:t>
            </w:r>
            <w:r>
              <w:rPr>
                <w:rFonts w:hint="eastAsia" w:ascii="宋体" w:hAnsi="宋体" w:cs="宋体"/>
                <w:color w:val="000000"/>
                <w:kern w:val="0"/>
                <w:sz w:val="24"/>
              </w:rPr>
              <w:br w:type="textWrapping"/>
            </w:r>
            <w:r>
              <w:rPr>
                <w:rFonts w:hint="eastAsia" w:ascii="宋体" w:hAnsi="宋体" w:cs="宋体"/>
                <w:color w:val="000000"/>
                <w:kern w:val="0"/>
                <w:sz w:val="24"/>
              </w:rPr>
              <w:t>6.出风温度范围:8-15℃;</w:t>
            </w:r>
            <w:r>
              <w:rPr>
                <w:rFonts w:hint="eastAsia" w:ascii="宋体" w:hAnsi="宋体" w:cs="宋体"/>
                <w:color w:val="000000"/>
                <w:kern w:val="0"/>
                <w:sz w:val="24"/>
              </w:rPr>
              <w:br w:type="textWrapping"/>
            </w:r>
            <w:r>
              <w:rPr>
                <w:rFonts w:hint="eastAsia" w:ascii="宋体" w:hAnsi="宋体" w:cs="宋体"/>
                <w:color w:val="000000"/>
                <w:kern w:val="0"/>
                <w:sz w:val="24"/>
              </w:rPr>
              <w:t xml:space="preserve">7.电源:380V; </w:t>
            </w:r>
            <w:r>
              <w:rPr>
                <w:rFonts w:hint="eastAsia" w:ascii="宋体" w:hAnsi="宋体" w:cs="宋体"/>
                <w:color w:val="000000"/>
                <w:kern w:val="0"/>
                <w:sz w:val="24"/>
              </w:rPr>
              <w:br w:type="textWrapping"/>
            </w:r>
            <w:r>
              <w:rPr>
                <w:rFonts w:hint="eastAsia" w:ascii="宋体" w:hAnsi="宋体" w:cs="宋体"/>
                <w:color w:val="000000"/>
                <w:kern w:val="0"/>
                <w:sz w:val="24"/>
              </w:rPr>
              <w:t>8.室内机组端部设置3只360度球形射流喷口;具有防磷化氢气体腐蚀功能和防尘、防冷凝水功能; 具有保水降温功能,避免空间水分损失过大影响表层粮食质量;</w:t>
            </w:r>
            <w:r>
              <w:rPr>
                <w:rFonts w:hint="eastAsia" w:ascii="宋体" w:hAnsi="宋体" w:cs="宋体"/>
                <w:color w:val="000000"/>
                <w:kern w:val="0"/>
                <w:sz w:val="24"/>
              </w:rPr>
              <w:br w:type="textWrapping"/>
            </w:r>
            <w:r>
              <w:rPr>
                <w:rFonts w:hint="eastAsia" w:ascii="宋体" w:hAnsi="宋体" w:cs="宋体"/>
                <w:color w:val="000000"/>
                <w:kern w:val="0"/>
                <w:sz w:val="24"/>
              </w:rPr>
              <w:t xml:space="preserve">9.室外机组具有定温启停(根据仓温变化自动启停机组)、定时启停(可任意设置时间启停机组)功能; 具有高低压保护功能(保护机组免受粮库夏季白夜间电压变化过大损坏机组);具有与智能粮库联网的 RS485，通信接口和免费协议; </w:t>
            </w:r>
            <w:r>
              <w:rPr>
                <w:rFonts w:hint="eastAsia" w:ascii="宋体" w:hAnsi="宋体" w:cs="宋体"/>
                <w:color w:val="000000"/>
                <w:kern w:val="0"/>
                <w:sz w:val="24"/>
              </w:rPr>
              <w:br w:type="textWrapping"/>
            </w:r>
            <w:r>
              <w:rPr>
                <w:rFonts w:hint="eastAsia" w:ascii="宋体" w:hAnsi="宋体" w:cs="宋体"/>
                <w:color w:val="000000"/>
                <w:kern w:val="0"/>
                <w:sz w:val="24"/>
              </w:rPr>
              <w:t>10.机组框架及面板采用304不锈钢外壳;机组操作盒采用防水型操作盒;机组操作盒在仓外1.5m标高位置处。</w:t>
            </w:r>
          </w:p>
        </w:tc>
        <w:tc>
          <w:tcPr>
            <w:tcW w:w="431"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组</w:t>
            </w:r>
          </w:p>
        </w:tc>
        <w:tc>
          <w:tcPr>
            <w:tcW w:w="459"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5000" w:type="pct"/>
            <w:gridSpan w:val="5"/>
            <w:shd w:val="clear" w:color="auto" w:fill="auto"/>
            <w:vAlign w:val="center"/>
          </w:tcPr>
          <w:p>
            <w:pPr>
              <w:jc w:val="left"/>
              <w:rPr>
                <w:rFonts w:ascii="宋体" w:hAnsi="宋体" w:cs="宋体"/>
                <w:bCs/>
                <w:color w:val="000000"/>
                <w:kern w:val="0"/>
                <w:sz w:val="24"/>
              </w:rPr>
            </w:pPr>
            <w:r>
              <w:rPr>
                <w:rFonts w:hint="eastAsia" w:ascii="宋体" w:hAnsi="宋体" w:cs="宋体"/>
                <w:bCs/>
                <w:color w:val="000000"/>
                <w:kern w:val="0"/>
                <w:sz w:val="24"/>
              </w:rPr>
              <w:t>二、整仓降温系统（北库）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410"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2.1</w:t>
            </w:r>
          </w:p>
        </w:tc>
        <w:tc>
          <w:tcPr>
            <w:tcW w:w="712" w:type="pct"/>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移动式水冷谷物冷却机</w:t>
            </w:r>
          </w:p>
        </w:tc>
        <w:tc>
          <w:tcPr>
            <w:tcW w:w="2988" w:type="pct"/>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额定制冷量Q≥85KW，</w:t>
            </w:r>
            <w:r>
              <w:rPr>
                <w:rFonts w:hint="eastAsia" w:ascii="宋体" w:hAnsi="宋体" w:cs="宋体"/>
                <w:color w:val="000000"/>
                <w:kern w:val="0"/>
                <w:sz w:val="24"/>
              </w:rPr>
              <w:br w:type="textWrapping"/>
            </w:r>
            <w:r>
              <w:rPr>
                <w:rFonts w:hint="eastAsia" w:ascii="宋体" w:hAnsi="宋体" w:cs="宋体"/>
                <w:color w:val="000000"/>
                <w:kern w:val="0"/>
                <w:sz w:val="24"/>
              </w:rPr>
              <w:t>整机总功率≤27.5KW，</w:t>
            </w:r>
            <w:r>
              <w:rPr>
                <w:rFonts w:hint="eastAsia" w:ascii="宋体" w:hAnsi="宋体" w:cs="宋体"/>
                <w:color w:val="000000"/>
                <w:kern w:val="0"/>
                <w:sz w:val="24"/>
              </w:rPr>
              <w:br w:type="textWrapping"/>
            </w:r>
            <w:r>
              <w:rPr>
                <w:rFonts w:hint="eastAsia" w:ascii="宋体" w:hAnsi="宋体" w:cs="宋体"/>
                <w:color w:val="000000"/>
                <w:kern w:val="0"/>
                <w:sz w:val="24"/>
              </w:rPr>
              <w:t>额定风量5500m³/h。</w:t>
            </w:r>
            <w:r>
              <w:rPr>
                <w:rFonts w:hint="eastAsia" w:ascii="宋体" w:hAnsi="宋体" w:cs="宋体"/>
                <w:color w:val="000000"/>
                <w:kern w:val="0"/>
                <w:sz w:val="24"/>
              </w:rPr>
              <w:br w:type="textWrapping"/>
            </w:r>
            <w:r>
              <w:rPr>
                <w:rFonts w:hint="eastAsia" w:ascii="宋体" w:hAnsi="宋体" w:cs="宋体"/>
                <w:color w:val="000000"/>
                <w:kern w:val="0"/>
                <w:sz w:val="24"/>
              </w:rPr>
              <w:t>回风+定风量运行。配套送风、回风保温软管、风口接头及支架。</w:t>
            </w:r>
          </w:p>
        </w:tc>
        <w:tc>
          <w:tcPr>
            <w:tcW w:w="431"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台</w:t>
            </w:r>
          </w:p>
        </w:tc>
        <w:tc>
          <w:tcPr>
            <w:tcW w:w="459"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410"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2.2</w:t>
            </w:r>
          </w:p>
        </w:tc>
        <w:tc>
          <w:tcPr>
            <w:tcW w:w="712" w:type="pct"/>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移动式冷却塔</w:t>
            </w:r>
          </w:p>
        </w:tc>
        <w:tc>
          <w:tcPr>
            <w:tcW w:w="2988" w:type="pct"/>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循环水量L=50m3/h，装机功率7KW。</w:t>
            </w:r>
          </w:p>
        </w:tc>
        <w:tc>
          <w:tcPr>
            <w:tcW w:w="431"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台</w:t>
            </w:r>
          </w:p>
        </w:tc>
        <w:tc>
          <w:tcPr>
            <w:tcW w:w="459"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410"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2.3</w:t>
            </w:r>
          </w:p>
        </w:tc>
        <w:tc>
          <w:tcPr>
            <w:tcW w:w="712" w:type="pct"/>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仓外保温回风道</w:t>
            </w:r>
          </w:p>
        </w:tc>
        <w:tc>
          <w:tcPr>
            <w:tcW w:w="2988" w:type="pct"/>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按照图纸要求</w:t>
            </w:r>
          </w:p>
        </w:tc>
        <w:tc>
          <w:tcPr>
            <w:tcW w:w="431"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根</w:t>
            </w:r>
          </w:p>
        </w:tc>
        <w:tc>
          <w:tcPr>
            <w:tcW w:w="459"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5000" w:type="pct"/>
            <w:gridSpan w:val="5"/>
            <w:shd w:val="clear" w:color="auto" w:fill="auto"/>
            <w:vAlign w:val="center"/>
          </w:tcPr>
          <w:p>
            <w:pPr>
              <w:jc w:val="left"/>
              <w:rPr>
                <w:rFonts w:ascii="宋体" w:hAnsi="宋体" w:cs="宋体"/>
                <w:bCs/>
                <w:color w:val="000000"/>
                <w:kern w:val="0"/>
                <w:sz w:val="24"/>
              </w:rPr>
            </w:pPr>
            <w:r>
              <w:rPr>
                <w:rFonts w:hint="eastAsia" w:ascii="宋体" w:hAnsi="宋体" w:cs="宋体"/>
                <w:bCs/>
                <w:color w:val="000000"/>
                <w:kern w:val="0"/>
                <w:sz w:val="24"/>
              </w:rPr>
              <w:t>三、通风熏蒸系统（北库）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410"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3.1</w:t>
            </w:r>
          </w:p>
        </w:tc>
        <w:tc>
          <w:tcPr>
            <w:tcW w:w="712" w:type="pct"/>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不锈钢电动保温窗</w:t>
            </w:r>
          </w:p>
        </w:tc>
        <w:tc>
          <w:tcPr>
            <w:tcW w:w="2988" w:type="pct"/>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铝镁合金外框，面板外侧采用0.8mm厚304不锈钢，面板内侧采用0.6mm厚上海宝钢产热镀锌基板（颜色白灰），1540-2不锈钢合页，夹芯材料为聚氨酯一次性发泡工艺。含24V电机，尺寸1500*1200</w:t>
            </w:r>
          </w:p>
        </w:tc>
        <w:tc>
          <w:tcPr>
            <w:tcW w:w="431"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台</w:t>
            </w:r>
          </w:p>
        </w:tc>
        <w:tc>
          <w:tcPr>
            <w:tcW w:w="459"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410"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3.2</w:t>
            </w:r>
          </w:p>
        </w:tc>
        <w:tc>
          <w:tcPr>
            <w:tcW w:w="712" w:type="pct"/>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不锈钢电动保温风机窗</w:t>
            </w:r>
          </w:p>
        </w:tc>
        <w:tc>
          <w:tcPr>
            <w:tcW w:w="2988" w:type="pct"/>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铝镁合金外框，面板外侧采用0.8mm厚304不锈钢，面板内侧采用0.6mm厚上海宝钢产热镀锌基板（颜色白灰），1540-2不锈钢合页，夹芯材料为聚氨酯一次性发泡工艺。含24V电机，尺寸960m*960m</w:t>
            </w:r>
          </w:p>
        </w:tc>
        <w:tc>
          <w:tcPr>
            <w:tcW w:w="431"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台</w:t>
            </w:r>
          </w:p>
        </w:tc>
        <w:tc>
          <w:tcPr>
            <w:tcW w:w="459"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410"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3.3</w:t>
            </w:r>
          </w:p>
        </w:tc>
        <w:tc>
          <w:tcPr>
            <w:tcW w:w="712" w:type="pct"/>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轴流风机封堵</w:t>
            </w:r>
          </w:p>
        </w:tc>
        <w:tc>
          <w:tcPr>
            <w:tcW w:w="2988" w:type="pct"/>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镀锌钢板</w:t>
            </w:r>
          </w:p>
        </w:tc>
        <w:tc>
          <w:tcPr>
            <w:tcW w:w="431"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膛</w:t>
            </w:r>
          </w:p>
        </w:tc>
        <w:tc>
          <w:tcPr>
            <w:tcW w:w="459"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410"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3.4</w:t>
            </w:r>
          </w:p>
        </w:tc>
        <w:tc>
          <w:tcPr>
            <w:tcW w:w="712" w:type="pct"/>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移动通风机</w:t>
            </w:r>
          </w:p>
        </w:tc>
        <w:tc>
          <w:tcPr>
            <w:tcW w:w="2988" w:type="pct"/>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L=15370m3/h H=1291Pa，r=1800rpm，N=7.5Kw，带移动小车，通风软连接布袋、12米电源线</w:t>
            </w:r>
          </w:p>
        </w:tc>
        <w:tc>
          <w:tcPr>
            <w:tcW w:w="431"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台</w:t>
            </w:r>
          </w:p>
        </w:tc>
        <w:tc>
          <w:tcPr>
            <w:tcW w:w="459"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410"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3.5</w:t>
            </w:r>
          </w:p>
        </w:tc>
        <w:tc>
          <w:tcPr>
            <w:tcW w:w="712" w:type="pct"/>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气体取样装置</w:t>
            </w:r>
          </w:p>
        </w:tc>
        <w:tc>
          <w:tcPr>
            <w:tcW w:w="2988" w:type="pct"/>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每套取样装置设置取样点：不少于5个；箱体护管、探头材质、取样订制阀门（6合1整体*2）：不锈钢；取样管：内径不小于3mm，壁厚≥1mm 聚乙烯 截面耐压不变形</w:t>
            </w:r>
          </w:p>
        </w:tc>
        <w:tc>
          <w:tcPr>
            <w:tcW w:w="431"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套</w:t>
            </w:r>
          </w:p>
        </w:tc>
        <w:tc>
          <w:tcPr>
            <w:tcW w:w="459"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5000" w:type="pct"/>
            <w:gridSpan w:val="5"/>
            <w:shd w:val="clear" w:color="auto" w:fill="auto"/>
            <w:vAlign w:val="center"/>
          </w:tcPr>
          <w:p>
            <w:pPr>
              <w:jc w:val="left"/>
              <w:rPr>
                <w:rFonts w:ascii="宋体" w:hAnsi="宋体" w:cs="宋体"/>
                <w:bCs/>
                <w:color w:val="000000"/>
                <w:kern w:val="0"/>
                <w:sz w:val="24"/>
              </w:rPr>
            </w:pPr>
            <w:r>
              <w:rPr>
                <w:rFonts w:hint="eastAsia" w:ascii="宋体" w:hAnsi="宋体" w:cs="宋体"/>
                <w:bCs/>
                <w:color w:val="000000"/>
                <w:kern w:val="0"/>
                <w:sz w:val="24"/>
              </w:rPr>
              <w:t>四、平房仓粮情检测系统（北库）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0" w:hRule="atLeast"/>
        </w:trPr>
        <w:tc>
          <w:tcPr>
            <w:tcW w:w="410"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4.1</w:t>
            </w:r>
          </w:p>
        </w:tc>
        <w:tc>
          <w:tcPr>
            <w:tcW w:w="712" w:type="pct"/>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粮情检测主机（含网络版软件）</w:t>
            </w:r>
          </w:p>
        </w:tc>
        <w:tc>
          <w:tcPr>
            <w:tcW w:w="2988" w:type="pct"/>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测控主机内含工控机、网络版软件装在工控机内，可实现局域网或互联网内任何计算机或手机等均可实时测温，实现仓房现场测控分机与上位机之间的数据传输与交换，具有有线和无线、光线、物联网等多种通讯方式。测控主机可对分机电源进行集中管理，检测时自动给分机加电，检测完毕自动掉电。  测控主机使粮情检测系统同计算机及库内局域网相互隔离，防止外部干扰和雷击损坏计算机及网络。 主机具有显示通讯状况，显示工作时电压电流功能，通讯模式：广播模式即主机之间“一对所有”的通讯模式。</w:t>
            </w:r>
          </w:p>
        </w:tc>
        <w:tc>
          <w:tcPr>
            <w:tcW w:w="431"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套</w:t>
            </w:r>
          </w:p>
        </w:tc>
        <w:tc>
          <w:tcPr>
            <w:tcW w:w="459"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0" w:hRule="atLeast"/>
        </w:trPr>
        <w:tc>
          <w:tcPr>
            <w:tcW w:w="410"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4.2</w:t>
            </w:r>
          </w:p>
        </w:tc>
        <w:tc>
          <w:tcPr>
            <w:tcW w:w="712" w:type="pct"/>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测控分机</w:t>
            </w:r>
          </w:p>
        </w:tc>
        <w:tc>
          <w:tcPr>
            <w:tcW w:w="2988" w:type="pct"/>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测控分机接收测控主机指令，通过现场传感器采集粮情数据及粮情控制设备状态，并将所采集数据返回给上位机，完成对粮情控制设备的控制。测控分机具有自动检测传感器ID码的功能，自动对点位数量、位置进行检测、存储。测控分机应预留测水、测虫、测气、自动通风接口。分机应采用低功耗设计，能长时加电工作。</w:t>
            </w:r>
            <w:r>
              <w:rPr>
                <w:rFonts w:hint="eastAsia" w:ascii="宋体" w:hAnsi="宋体" w:cs="宋体"/>
                <w:color w:val="000000"/>
                <w:kern w:val="0"/>
                <w:sz w:val="24"/>
              </w:rPr>
              <w:br w:type="textWrapping"/>
            </w:r>
            <w:r>
              <w:rPr>
                <w:rFonts w:hint="eastAsia" w:ascii="宋体" w:hAnsi="宋体" w:cs="宋体"/>
                <w:color w:val="000000"/>
                <w:kern w:val="0"/>
                <w:sz w:val="24"/>
              </w:rPr>
              <w:t>分机采用透明外壳设计，可随时观察分机工作状况分机具有自适应功能，在应用多年线路老化时，可通过软件对分机进行初始化，使其根据线路老化情况调整自身参数，始终保持最佳效果</w:t>
            </w:r>
          </w:p>
        </w:tc>
        <w:tc>
          <w:tcPr>
            <w:tcW w:w="431"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只</w:t>
            </w:r>
          </w:p>
        </w:tc>
        <w:tc>
          <w:tcPr>
            <w:tcW w:w="459"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410"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4.3</w:t>
            </w:r>
          </w:p>
        </w:tc>
        <w:tc>
          <w:tcPr>
            <w:tcW w:w="712" w:type="pct"/>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无线系统</w:t>
            </w:r>
          </w:p>
        </w:tc>
        <w:tc>
          <w:tcPr>
            <w:tcW w:w="2988" w:type="pct"/>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分机与主机采用无线通讯</w:t>
            </w:r>
          </w:p>
        </w:tc>
        <w:tc>
          <w:tcPr>
            <w:tcW w:w="431"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台</w:t>
            </w:r>
          </w:p>
        </w:tc>
        <w:tc>
          <w:tcPr>
            <w:tcW w:w="459"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410"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4.4</w:t>
            </w:r>
          </w:p>
        </w:tc>
        <w:tc>
          <w:tcPr>
            <w:tcW w:w="712" w:type="pct"/>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不锈钢控制箱</w:t>
            </w:r>
          </w:p>
        </w:tc>
        <w:tc>
          <w:tcPr>
            <w:tcW w:w="2988" w:type="pct"/>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含防雷、电源</w:t>
            </w:r>
          </w:p>
        </w:tc>
        <w:tc>
          <w:tcPr>
            <w:tcW w:w="431"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台</w:t>
            </w:r>
          </w:p>
        </w:tc>
        <w:tc>
          <w:tcPr>
            <w:tcW w:w="459"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0" w:hRule="atLeast"/>
        </w:trPr>
        <w:tc>
          <w:tcPr>
            <w:tcW w:w="410"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4.5</w:t>
            </w:r>
          </w:p>
        </w:tc>
        <w:tc>
          <w:tcPr>
            <w:tcW w:w="712" w:type="pct"/>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测温电缆</w:t>
            </w:r>
          </w:p>
        </w:tc>
        <w:tc>
          <w:tcPr>
            <w:tcW w:w="2988" w:type="pct"/>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测温电缆总成（包括粮面下的测温电缆及粮面上的引线），所用的外绝缘和护套材料、内线芯绝缘和护套材料、连接部件、接插件，均采用100%原生料，不用再生材料。测温电缆要采用接插件连接，每根互相独立，用计算机或手持仪器能够改写地址码，以保证测温电缆可以互换。    测温电缆应符合抗拉、抗压、抗老化、抗腐蚀、耐低温的使用要求，测温电缆正常情况下使用寿命≥15年，平房仓测温电缆采用两线制，扁平、单点注塑、筒仓可换芯电缆芯采用内注可溶性电子胶保护，大大加强了防腐、防熏蒸能力</w:t>
            </w:r>
            <w:r>
              <w:rPr>
                <w:rFonts w:hint="eastAsia" w:ascii="宋体" w:hAnsi="宋体" w:cs="宋体"/>
                <w:color w:val="000000"/>
                <w:kern w:val="0"/>
                <w:sz w:val="24"/>
              </w:rPr>
              <w:br w:type="textWrapping"/>
            </w:r>
            <w:r>
              <w:rPr>
                <w:rFonts w:hint="eastAsia" w:ascii="宋体" w:hAnsi="宋体" w:cs="宋体"/>
                <w:color w:val="000000"/>
                <w:kern w:val="0"/>
                <w:sz w:val="24"/>
              </w:rPr>
              <w:t>平房仓采用一线总线式数字温度传感器。一致性好，寿命长，准确度高，精度高，重复性好。测量范围：-55℃ - +125℃；测量精度：≤±0.5℃；重复误差：≤±0.2℃。30米廒间每廒间42根。</w:t>
            </w:r>
          </w:p>
        </w:tc>
        <w:tc>
          <w:tcPr>
            <w:tcW w:w="431"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根</w:t>
            </w:r>
          </w:p>
        </w:tc>
        <w:tc>
          <w:tcPr>
            <w:tcW w:w="459"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410"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4.6</w:t>
            </w:r>
          </w:p>
        </w:tc>
        <w:tc>
          <w:tcPr>
            <w:tcW w:w="712" w:type="pct"/>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仓内温湿度传感器</w:t>
            </w:r>
          </w:p>
        </w:tc>
        <w:tc>
          <w:tcPr>
            <w:tcW w:w="2988" w:type="pct"/>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仓温、仓湿传感器采用温、湿度一体化的形式，可直接同数字电缆连接，用于测量仓房内的环境温、湿度值。具有较强的防尘、防腐蚀和抗熏蒸能力。环境湿度：1%RH～99%RH(包括凝露)；</w:t>
            </w:r>
          </w:p>
        </w:tc>
        <w:tc>
          <w:tcPr>
            <w:tcW w:w="431"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只</w:t>
            </w:r>
          </w:p>
        </w:tc>
        <w:tc>
          <w:tcPr>
            <w:tcW w:w="459"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410"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4.7</w:t>
            </w:r>
          </w:p>
        </w:tc>
        <w:tc>
          <w:tcPr>
            <w:tcW w:w="712" w:type="pct"/>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大气温湿度传感器</w:t>
            </w:r>
          </w:p>
        </w:tc>
        <w:tc>
          <w:tcPr>
            <w:tcW w:w="2988" w:type="pct"/>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仓温、仓湿传感器采用温、湿度一体化的形式，可直接同数字电缆连接，用于测量仓房内的环境温、湿度值。具有较强的防尘、防腐蚀和抗熏蒸能力。环境湿度：1%RH～99%RH(包括凝露)；外罩百叶箱</w:t>
            </w:r>
          </w:p>
        </w:tc>
        <w:tc>
          <w:tcPr>
            <w:tcW w:w="431"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套</w:t>
            </w:r>
          </w:p>
        </w:tc>
        <w:tc>
          <w:tcPr>
            <w:tcW w:w="459"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410"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4.8</w:t>
            </w:r>
          </w:p>
        </w:tc>
        <w:tc>
          <w:tcPr>
            <w:tcW w:w="712" w:type="pct"/>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两芯互连线</w:t>
            </w:r>
          </w:p>
        </w:tc>
        <w:tc>
          <w:tcPr>
            <w:tcW w:w="2988" w:type="pct"/>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2 @ 0.75mm2 (22 AWG), 防紫外线PVC 黑色外壳。工作温度范围： -40℃ +80℃。  直径为5mm</w:t>
            </w:r>
          </w:p>
        </w:tc>
        <w:tc>
          <w:tcPr>
            <w:tcW w:w="431"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米</w:t>
            </w:r>
          </w:p>
        </w:tc>
        <w:tc>
          <w:tcPr>
            <w:tcW w:w="459"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410"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4.9</w:t>
            </w:r>
          </w:p>
        </w:tc>
        <w:tc>
          <w:tcPr>
            <w:tcW w:w="712" w:type="pct"/>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连接头</w:t>
            </w:r>
          </w:p>
        </w:tc>
        <w:tc>
          <w:tcPr>
            <w:tcW w:w="2988" w:type="pct"/>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1. 防水两芯数字式温度连接插头。</w:t>
            </w:r>
            <w:r>
              <w:rPr>
                <w:rFonts w:hint="eastAsia" w:ascii="宋体" w:hAnsi="宋体" w:cs="宋体"/>
                <w:color w:val="000000"/>
                <w:kern w:val="0"/>
                <w:sz w:val="24"/>
              </w:rPr>
              <w:br w:type="textWrapping"/>
            </w:r>
            <w:r>
              <w:rPr>
                <w:rFonts w:hint="eastAsia" w:ascii="宋体" w:hAnsi="宋体" w:cs="宋体"/>
                <w:color w:val="000000"/>
                <w:kern w:val="0"/>
                <w:sz w:val="24"/>
              </w:rPr>
              <w:t>2. 防水两芯数字式温度连接插座</w:t>
            </w:r>
          </w:p>
        </w:tc>
        <w:tc>
          <w:tcPr>
            <w:tcW w:w="431"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个</w:t>
            </w:r>
          </w:p>
        </w:tc>
        <w:tc>
          <w:tcPr>
            <w:tcW w:w="459"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410"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 xml:space="preserve">4.10 </w:t>
            </w:r>
          </w:p>
        </w:tc>
        <w:tc>
          <w:tcPr>
            <w:tcW w:w="712" w:type="pct"/>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辅材</w:t>
            </w:r>
          </w:p>
        </w:tc>
        <w:tc>
          <w:tcPr>
            <w:tcW w:w="2988" w:type="pct"/>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配套固定管材、固体胶棒等</w:t>
            </w:r>
          </w:p>
        </w:tc>
        <w:tc>
          <w:tcPr>
            <w:tcW w:w="431"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项</w:t>
            </w:r>
          </w:p>
        </w:tc>
        <w:tc>
          <w:tcPr>
            <w:tcW w:w="459" w:type="pc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1</w:t>
            </w:r>
          </w:p>
        </w:tc>
      </w:tr>
    </w:tbl>
    <w:p>
      <w:pPr>
        <w:pStyle w:val="28"/>
        <w:rPr>
          <w:rStyle w:val="18"/>
        </w:rPr>
      </w:pPr>
    </w:p>
    <w:p>
      <w:pPr>
        <w:pStyle w:val="3"/>
        <w:spacing w:before="0" w:after="0" w:line="500" w:lineRule="exact"/>
        <w:jc w:val="left"/>
        <w:rPr>
          <w:rFonts w:ascii="宋体" w:hAnsi="宋体" w:eastAsia="宋体" w:cs="宋体"/>
          <w:color w:val="000000"/>
          <w:sz w:val="24"/>
          <w:szCs w:val="24"/>
        </w:rPr>
      </w:pPr>
      <w:r>
        <w:rPr>
          <w:rFonts w:hint="eastAsia" w:ascii="宋体" w:hAnsi="宋体" w:eastAsia="宋体" w:cs="宋体"/>
          <w:color w:val="000000"/>
          <w:sz w:val="24"/>
          <w:szCs w:val="24"/>
        </w:rPr>
        <w:t>二、技术要</w:t>
      </w:r>
      <w:r>
        <w:rPr>
          <w:rFonts w:ascii="宋体" w:hAnsi="宋体" w:eastAsia="宋体" w:cs="宋体"/>
          <w:color w:val="000000"/>
          <w:sz w:val="24"/>
          <w:szCs w:val="24"/>
        </w:rPr>
        <w:t>求</w:t>
      </w:r>
    </w:p>
    <w:p>
      <w:pPr>
        <w:spacing w:line="500" w:lineRule="exact"/>
        <w:ind w:firstLine="482" w:firstLineChars="200"/>
        <w:jc w:val="left"/>
        <w:rPr>
          <w:rFonts w:ascii="宋体" w:hAnsi="宋体" w:cs="宋体"/>
          <w:b/>
          <w:bCs/>
          <w:color w:val="000000"/>
          <w:sz w:val="24"/>
        </w:rPr>
      </w:pPr>
      <w:r>
        <w:rPr>
          <w:rFonts w:ascii="宋体" w:hAnsi="宋体" w:cs="宋体"/>
          <w:b/>
          <w:bCs/>
          <w:color w:val="000000"/>
          <w:sz w:val="24"/>
        </w:rPr>
        <w:t>（一）低温储粮实施技术要求：</w:t>
      </w:r>
    </w:p>
    <w:p>
      <w:pPr>
        <w:spacing w:line="500" w:lineRule="exact"/>
        <w:ind w:firstLine="480" w:firstLineChars="200"/>
        <w:jc w:val="left"/>
        <w:rPr>
          <w:rFonts w:ascii="宋体" w:hAnsi="宋体" w:cs="宋体"/>
          <w:color w:val="000000"/>
          <w:sz w:val="24"/>
        </w:rPr>
      </w:pPr>
      <w:r>
        <w:rPr>
          <w:rFonts w:hint="eastAsia" w:ascii="宋体" w:hAnsi="宋体" w:cs="宋体"/>
          <w:color w:val="000000"/>
          <w:sz w:val="24"/>
        </w:rPr>
        <w:t>利用已有建设的水源热泵系统河水提升进行整仓控温。低温储粮设计温度：平均粮温维持在</w:t>
      </w:r>
      <w:r>
        <w:rPr>
          <w:rFonts w:ascii="宋体" w:hAnsi="宋体" w:cs="宋体"/>
          <w:color w:val="000000"/>
          <w:sz w:val="24"/>
        </w:rPr>
        <w:t>15</w:t>
      </w:r>
      <w:r>
        <w:rPr>
          <w:rFonts w:hint="eastAsia" w:ascii="宋体" w:hAnsi="宋体" w:cs="宋体"/>
          <w:color w:val="000000"/>
          <w:sz w:val="24"/>
        </w:rPr>
        <w:t>℃及以下，粮面最高粮温处不超过</w:t>
      </w:r>
      <w:r>
        <w:rPr>
          <w:rFonts w:ascii="宋体" w:hAnsi="宋体" w:cs="宋体"/>
          <w:color w:val="000000"/>
          <w:sz w:val="24"/>
        </w:rPr>
        <w:t>20</w:t>
      </w:r>
      <w:r>
        <w:rPr>
          <w:rFonts w:hint="eastAsia" w:ascii="宋体" w:hAnsi="宋体" w:cs="宋体"/>
          <w:color w:val="000000"/>
          <w:sz w:val="24"/>
        </w:rPr>
        <w:t>°</w:t>
      </w:r>
      <w:r>
        <w:rPr>
          <w:rFonts w:ascii="宋体" w:hAnsi="宋体" w:cs="宋体"/>
          <w:color w:val="000000"/>
          <w:sz w:val="24"/>
        </w:rPr>
        <w:t>C</w:t>
      </w:r>
      <w:r>
        <w:rPr>
          <w:rFonts w:hint="eastAsia" w:ascii="宋体" w:hAnsi="宋体" w:cs="宋体"/>
          <w:color w:val="000000"/>
          <w:sz w:val="24"/>
        </w:rPr>
        <w:t>。</w:t>
      </w:r>
    </w:p>
    <w:p>
      <w:pPr>
        <w:spacing w:line="500" w:lineRule="exact"/>
        <w:ind w:firstLine="480" w:firstLineChars="200"/>
        <w:rPr>
          <w:rFonts w:ascii="宋体" w:hAnsi="宋体" w:cs="宋体"/>
          <w:color w:val="000000"/>
          <w:sz w:val="24"/>
        </w:rPr>
      </w:pPr>
      <w:r>
        <w:rPr>
          <w:rFonts w:hint="eastAsia" w:ascii="宋体" w:hAnsi="宋体" w:cs="宋体"/>
          <w:color w:val="000000"/>
          <w:sz w:val="24"/>
        </w:rPr>
        <w:t>散装原粮低温系统由通风系统、整仓降温谷物水冷冷却系统、粮面低温系统等组成。可将粮温降至设定温度并保持在低温环境储藏。原粮的降温冬季采用通风，其它季节采用粮面低温机组。用粮面低温机组维持仓内低温状态。</w:t>
      </w:r>
    </w:p>
    <w:p>
      <w:pPr>
        <w:spacing w:line="500" w:lineRule="exact"/>
        <w:ind w:firstLine="480" w:firstLineChars="200"/>
        <w:jc w:val="left"/>
        <w:rPr>
          <w:rFonts w:ascii="宋体" w:hAnsi="宋体" w:cs="宋体"/>
          <w:color w:val="000000"/>
          <w:sz w:val="24"/>
        </w:rPr>
      </w:pPr>
      <w:r>
        <w:rPr>
          <w:rFonts w:ascii="宋体" w:hAnsi="宋体" w:cs="宋体"/>
          <w:color w:val="000000"/>
          <w:sz w:val="24"/>
        </w:rPr>
        <w:t xml:space="preserve">1. </w:t>
      </w:r>
      <w:r>
        <w:rPr>
          <w:rFonts w:hint="eastAsia" w:ascii="宋体" w:hAnsi="宋体" w:cs="宋体"/>
          <w:color w:val="000000"/>
          <w:sz w:val="24"/>
        </w:rPr>
        <w:t>粮面低温系统实施方案（请注明具体措施）</w:t>
      </w:r>
    </w:p>
    <w:p>
      <w:pPr>
        <w:spacing w:line="500" w:lineRule="exact"/>
        <w:ind w:firstLine="480" w:firstLineChars="200"/>
        <w:jc w:val="left"/>
        <w:rPr>
          <w:rFonts w:ascii="宋体" w:hAnsi="宋体" w:cs="宋体"/>
          <w:color w:val="000000"/>
          <w:sz w:val="24"/>
        </w:rPr>
      </w:pPr>
      <w:r>
        <w:rPr>
          <w:rFonts w:ascii="宋体" w:hAnsi="宋体" w:cs="宋体"/>
          <w:color w:val="000000"/>
          <w:sz w:val="24"/>
        </w:rPr>
        <w:t>2.整仓降温水冷谷冷系统实施方案（请描述具体措施）</w:t>
      </w:r>
    </w:p>
    <w:p>
      <w:pPr>
        <w:pStyle w:val="11"/>
        <w:ind w:firstLine="240"/>
      </w:pPr>
    </w:p>
    <w:p>
      <w:pPr>
        <w:spacing w:line="500" w:lineRule="exact"/>
        <w:ind w:firstLine="482" w:firstLineChars="200"/>
        <w:jc w:val="left"/>
        <w:rPr>
          <w:rFonts w:ascii="宋体" w:hAnsi="宋体" w:cs="宋体"/>
          <w:b/>
          <w:bCs/>
          <w:color w:val="000000"/>
          <w:sz w:val="24"/>
        </w:rPr>
      </w:pPr>
      <w:r>
        <w:rPr>
          <w:rFonts w:ascii="宋体" w:hAnsi="宋体" w:cs="宋体"/>
          <w:b/>
          <w:bCs/>
          <w:color w:val="000000"/>
          <w:sz w:val="24"/>
        </w:rPr>
        <w:t>（二）氮气气调及环流熏蒸储粮实施技术要求：</w:t>
      </w:r>
    </w:p>
    <w:p>
      <w:pPr>
        <w:spacing w:line="500" w:lineRule="exact"/>
        <w:ind w:firstLine="480" w:firstLineChars="200"/>
        <w:jc w:val="left"/>
        <w:rPr>
          <w:rFonts w:ascii="宋体" w:hAnsi="宋体" w:cs="宋体"/>
          <w:color w:val="000000"/>
          <w:sz w:val="24"/>
        </w:rPr>
      </w:pPr>
      <w:r>
        <w:rPr>
          <w:rFonts w:ascii="宋体" w:hAnsi="宋体" w:cs="宋体"/>
          <w:color w:val="000000"/>
          <w:sz w:val="24"/>
        </w:rPr>
        <w:t>制氮机组:制氮机组设计出口流量310Nm3/h,供气压力0.5-0.6MPa，氮气供气浓度按气调目的确定。</w:t>
      </w:r>
    </w:p>
    <w:p>
      <w:pPr>
        <w:spacing w:line="500" w:lineRule="exact"/>
        <w:ind w:firstLine="480" w:firstLineChars="200"/>
        <w:jc w:val="left"/>
        <w:rPr>
          <w:rFonts w:ascii="宋体" w:hAnsi="宋体" w:cs="宋体"/>
          <w:color w:val="000000"/>
          <w:sz w:val="24"/>
        </w:rPr>
      </w:pPr>
      <w:r>
        <w:rPr>
          <w:rFonts w:ascii="宋体" w:hAnsi="宋体" w:cs="宋体"/>
          <w:color w:val="000000"/>
          <w:sz w:val="24"/>
        </w:rPr>
        <w:t>氮气气调储粮系统由制氮机、仓外供气管路、仓外回气管路、仓内环流管路、氮气浓度检测系统、安全防护设备等组成。由制氮机房提供的高浓度氮气，通过仓外埋地敷设至各仓房。充氮气调时粮面覆盖塑料薄膜，氮气通过通风系统和熏蒸系统进入粮层，将低浓度空气排至仓外。利用环流熏蒸风机循环并根据仓内氮气浓度补充氮气和循环，直到达到设定浓度。</w:t>
      </w:r>
    </w:p>
    <w:p>
      <w:pPr>
        <w:spacing w:line="500" w:lineRule="exact"/>
        <w:ind w:firstLine="480" w:firstLineChars="200"/>
        <w:jc w:val="left"/>
        <w:rPr>
          <w:rFonts w:ascii="宋体" w:hAnsi="宋体" w:cs="宋体"/>
          <w:color w:val="000000"/>
          <w:sz w:val="24"/>
        </w:rPr>
      </w:pPr>
      <w:r>
        <w:rPr>
          <w:rFonts w:ascii="宋体" w:hAnsi="宋体" w:cs="宋体"/>
          <w:color w:val="000000"/>
          <w:sz w:val="24"/>
        </w:rPr>
        <w:t>环流熏蒸：磷化氢环流熏蒸系统由施药装置,环流熏蒸装置,磷化氢气体浓度检测装置组成.熏蒸采用固定式内环流熏蒸。</w:t>
      </w:r>
    </w:p>
    <w:p>
      <w:pPr>
        <w:spacing w:line="500" w:lineRule="exact"/>
        <w:ind w:firstLine="480" w:firstLineChars="200"/>
        <w:jc w:val="left"/>
        <w:rPr>
          <w:rFonts w:ascii="宋体" w:hAnsi="宋体" w:cs="宋体"/>
          <w:color w:val="000000"/>
          <w:sz w:val="24"/>
        </w:rPr>
      </w:pPr>
      <w:r>
        <w:rPr>
          <w:rFonts w:ascii="宋体" w:hAnsi="宋体" w:cs="宋体"/>
          <w:color w:val="000000"/>
          <w:sz w:val="24"/>
        </w:rPr>
        <w:t>1. 制氮机组及气调控制系统实施方案（请描述具体措施）</w:t>
      </w:r>
    </w:p>
    <w:p>
      <w:pPr>
        <w:spacing w:line="500" w:lineRule="exact"/>
        <w:ind w:firstLine="480" w:firstLineChars="200"/>
        <w:jc w:val="left"/>
        <w:rPr>
          <w:rFonts w:ascii="宋体" w:hAnsi="宋体" w:cs="宋体"/>
          <w:color w:val="000000"/>
          <w:sz w:val="24"/>
        </w:rPr>
      </w:pPr>
      <w:r>
        <w:rPr>
          <w:rFonts w:ascii="宋体" w:hAnsi="宋体" w:cs="宋体"/>
          <w:color w:val="000000"/>
          <w:sz w:val="24"/>
        </w:rPr>
        <w:t>2. 通风及环流熏蒸系统实施方案（请注明具体措施）</w:t>
      </w:r>
    </w:p>
    <w:p>
      <w:pPr>
        <w:pStyle w:val="4"/>
        <w:ind w:firstLine="0"/>
        <w:rPr>
          <w:color w:val="000000"/>
        </w:rPr>
      </w:pPr>
    </w:p>
    <w:p>
      <w:pPr>
        <w:pStyle w:val="3"/>
        <w:spacing w:before="0" w:after="0" w:line="500" w:lineRule="exact"/>
        <w:jc w:val="left"/>
        <w:rPr>
          <w:rFonts w:ascii="宋体" w:hAnsi="宋体" w:eastAsia="宋体" w:cs="宋体"/>
          <w:color w:val="000000"/>
          <w:sz w:val="24"/>
          <w:szCs w:val="24"/>
        </w:rPr>
      </w:pPr>
      <w:bookmarkStart w:id="20" w:name="_Toc503024602"/>
      <w:bookmarkStart w:id="21" w:name="_Toc509911842"/>
      <w:bookmarkStart w:id="22" w:name="_Toc510523253"/>
      <w:r>
        <w:rPr>
          <w:rFonts w:hint="eastAsia" w:ascii="宋体" w:hAnsi="宋体" w:eastAsia="宋体" w:cs="宋体"/>
          <w:color w:val="000000"/>
          <w:sz w:val="24"/>
          <w:szCs w:val="24"/>
        </w:rPr>
        <w:t>三 、</w:t>
      </w:r>
      <w:bookmarkEnd w:id="20"/>
      <w:bookmarkEnd w:id="21"/>
      <w:bookmarkEnd w:id="22"/>
      <w:r>
        <w:rPr>
          <w:rFonts w:hint="eastAsia" w:ascii="宋体" w:hAnsi="宋体" w:eastAsia="宋体" w:cs="宋体"/>
          <w:color w:val="000000"/>
          <w:sz w:val="24"/>
          <w:szCs w:val="24"/>
        </w:rPr>
        <w:t>综合说明其他要求</w:t>
      </w:r>
    </w:p>
    <w:p>
      <w:pPr>
        <w:spacing w:line="500" w:lineRule="exact"/>
        <w:ind w:firstLine="480" w:firstLineChars="200"/>
        <w:jc w:val="left"/>
        <w:rPr>
          <w:rFonts w:ascii="宋体" w:hAnsi="宋体" w:cs="宋体"/>
          <w:color w:val="000000"/>
          <w:sz w:val="24"/>
        </w:rPr>
      </w:pPr>
      <w:r>
        <w:rPr>
          <w:rFonts w:hint="eastAsia" w:ascii="宋体" w:hAnsi="宋体" w:cs="宋体"/>
          <w:color w:val="000000"/>
          <w:sz w:val="24"/>
        </w:rPr>
        <w:t>1、投标人所投产品必须满足或不低于上述主要设备清单中要求的参数。</w:t>
      </w:r>
    </w:p>
    <w:p>
      <w:pPr>
        <w:spacing w:line="500" w:lineRule="exact"/>
        <w:ind w:firstLine="480" w:firstLineChars="200"/>
        <w:jc w:val="left"/>
        <w:rPr>
          <w:rFonts w:ascii="宋体" w:hAnsi="宋体" w:cs="宋体"/>
          <w:b/>
          <w:color w:val="000000"/>
          <w:sz w:val="24"/>
        </w:rPr>
      </w:pPr>
      <w:r>
        <w:rPr>
          <w:rFonts w:hint="eastAsia" w:ascii="宋体" w:hAnsi="宋体" w:cs="宋体"/>
          <w:color w:val="000000"/>
          <w:sz w:val="24"/>
        </w:rPr>
        <w:t>2、各投标人在投标报价时请充分考虑各种因素（如运输、送货等各种费用），报价应包含相关附件、辅材、管道辅设等所有施工中产生的人工和材料、货物运输、吊装、安装、调试、使用培训、税金、中标服务费等所有一切费用，以后不再追加任何费用。</w:t>
      </w:r>
    </w:p>
    <w:p>
      <w:pPr>
        <w:spacing w:line="500" w:lineRule="exact"/>
        <w:ind w:firstLine="480" w:firstLineChars="200"/>
        <w:rPr>
          <w:rFonts w:ascii="宋体" w:hAnsi="宋体" w:cs="宋体"/>
          <w:color w:val="000000"/>
          <w:sz w:val="24"/>
        </w:rPr>
      </w:pPr>
      <w:r>
        <w:rPr>
          <w:rFonts w:hint="eastAsia" w:ascii="宋体" w:hAnsi="宋体" w:cs="宋体"/>
          <w:color w:val="000000"/>
          <w:sz w:val="24"/>
        </w:rPr>
        <w:t>3、中标单位要充分利用招标单位现有设备，不得重复增加设备。</w:t>
      </w:r>
    </w:p>
    <w:p>
      <w:pPr>
        <w:spacing w:line="500" w:lineRule="exact"/>
        <w:ind w:firstLine="480" w:firstLineChars="200"/>
        <w:jc w:val="left"/>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、投标人在报价时充分考虑安全施工防护措施费用，一切安全保护由中标方负责，所有安全事故由中标方负责。</w:t>
      </w:r>
    </w:p>
    <w:p>
      <w:pPr>
        <w:spacing w:line="500" w:lineRule="exact"/>
        <w:ind w:firstLine="480" w:firstLineChars="200"/>
        <w:rPr>
          <w:rFonts w:ascii="宋体" w:hAnsi="宋体" w:cs="宋体"/>
          <w:color w:val="000000"/>
          <w:sz w:val="24"/>
        </w:rPr>
      </w:pPr>
      <w:r>
        <w:rPr>
          <w:rFonts w:ascii="宋体" w:hAnsi="宋体" w:cs="宋体"/>
          <w:color w:val="000000"/>
          <w:sz w:val="24"/>
        </w:rPr>
        <w:t>5</w:t>
      </w:r>
      <w:r>
        <w:rPr>
          <w:rFonts w:hint="eastAsia" w:ascii="宋体" w:hAnsi="宋体" w:cs="宋体"/>
          <w:color w:val="000000"/>
          <w:sz w:val="24"/>
        </w:rPr>
        <w:t>、投标人必须承诺招标文件中提出的全部技术规格与要求，如果以其中某些条款不响应时，应在投标文件中逐条列出，未列出的视同响应。</w:t>
      </w:r>
    </w:p>
    <w:p>
      <w:pPr>
        <w:tabs>
          <w:tab w:val="left" w:pos="753"/>
        </w:tabs>
        <w:spacing w:line="500" w:lineRule="exact"/>
        <w:ind w:firstLine="477" w:firstLineChars="199"/>
        <w:rPr>
          <w:rFonts w:ascii="宋体" w:hAnsi="宋体" w:cs="宋体"/>
          <w:color w:val="000000"/>
          <w:sz w:val="24"/>
        </w:rPr>
      </w:pPr>
      <w:r>
        <w:rPr>
          <w:rFonts w:ascii="宋体" w:hAnsi="宋体" w:cs="宋体"/>
          <w:color w:val="000000"/>
          <w:sz w:val="24"/>
        </w:rPr>
        <w:t>6</w:t>
      </w:r>
      <w:r>
        <w:rPr>
          <w:rFonts w:hint="eastAsia" w:ascii="宋体" w:hAnsi="宋体" w:cs="宋体"/>
          <w:color w:val="000000"/>
          <w:sz w:val="24"/>
        </w:rPr>
        <w:t>、交货安装日期：采购单位通知后</w:t>
      </w:r>
      <w:r>
        <w:rPr>
          <w:rFonts w:ascii="宋体" w:hAnsi="宋体" w:cs="宋体"/>
          <w:color w:val="000000"/>
          <w:sz w:val="24"/>
        </w:rPr>
        <w:t>70</w:t>
      </w:r>
      <w:r>
        <w:rPr>
          <w:rFonts w:hint="eastAsia" w:ascii="宋体" w:hAnsi="宋体" w:cs="宋体"/>
          <w:color w:val="000000"/>
          <w:sz w:val="24"/>
        </w:rPr>
        <w:t>日历天内交货，根据用户基建进度要求同步完成相关系统的安装调试。</w:t>
      </w:r>
    </w:p>
    <w:p>
      <w:pPr>
        <w:spacing w:line="500" w:lineRule="exact"/>
        <w:ind w:firstLine="426"/>
        <w:rPr>
          <w:rFonts w:ascii="宋体" w:hAnsi="宋体" w:cs="宋体"/>
          <w:color w:val="000000"/>
          <w:sz w:val="24"/>
        </w:rPr>
      </w:pPr>
      <w:r>
        <w:rPr>
          <w:rFonts w:ascii="宋体" w:hAnsi="宋体" w:cs="宋体"/>
          <w:color w:val="000000"/>
          <w:sz w:val="24"/>
        </w:rPr>
        <w:t>7</w:t>
      </w:r>
      <w:r>
        <w:rPr>
          <w:rFonts w:hint="eastAsia" w:ascii="宋体" w:hAnsi="宋体" w:cs="宋体"/>
          <w:color w:val="000000"/>
          <w:sz w:val="24"/>
        </w:rPr>
        <w:t>、交货安装地点：采购方指定地点。</w:t>
      </w:r>
    </w:p>
    <w:p>
      <w:pPr>
        <w:spacing w:line="500" w:lineRule="exact"/>
        <w:ind w:firstLine="426"/>
        <w:rPr>
          <w:rStyle w:val="18"/>
          <w:rFonts w:ascii="宋体" w:hAnsi="宋体"/>
          <w:b/>
          <w:color w:val="000000"/>
          <w:szCs w:val="21"/>
        </w:rPr>
      </w:pPr>
      <w:r>
        <w:rPr>
          <w:rFonts w:ascii="宋体" w:hAnsi="宋体" w:cs="宋体"/>
          <w:color w:val="000000"/>
          <w:sz w:val="24"/>
        </w:rPr>
        <w:t>8</w:t>
      </w:r>
      <w:r>
        <w:rPr>
          <w:rFonts w:hint="eastAsia" w:ascii="宋体" w:hAnsi="宋体" w:cs="宋体"/>
          <w:color w:val="000000"/>
          <w:sz w:val="24"/>
        </w:rPr>
        <w:t>、验收标准：根据标书要求及有关规定由采购方验收通过。</w:t>
      </w:r>
    </w:p>
    <w:p>
      <w:pPr>
        <w:spacing w:line="360" w:lineRule="auto"/>
        <w:jc w:val="left"/>
        <w:rPr>
          <w:rStyle w:val="18"/>
          <w:rFonts w:ascii="宋体" w:hAnsi="宋体"/>
          <w:b/>
          <w:szCs w:val="21"/>
        </w:rPr>
      </w:pPr>
    </w:p>
    <w:p>
      <w:pPr>
        <w:spacing w:line="360" w:lineRule="auto"/>
        <w:jc w:val="left"/>
        <w:rPr>
          <w:rStyle w:val="18"/>
          <w:rFonts w:ascii="宋体" w:hAnsi="宋体"/>
          <w:b/>
          <w:szCs w:val="21"/>
        </w:rPr>
        <w:sectPr>
          <w:pgSz w:w="11906" w:h="16838"/>
          <w:pgMar w:top="1134" w:right="1134" w:bottom="1134" w:left="1620" w:header="851" w:footer="992" w:gutter="0"/>
          <w:cols w:space="425" w:num="1"/>
          <w:docGrid w:type="lines" w:linePitch="312" w:charSpace="0"/>
        </w:sectPr>
      </w:pPr>
    </w:p>
    <w:tbl>
      <w:tblPr>
        <w:tblStyle w:val="12"/>
        <w:tblW w:w="13945" w:type="dxa"/>
        <w:tblInd w:w="0" w:type="dxa"/>
        <w:tblLayout w:type="fixed"/>
        <w:tblCellMar>
          <w:top w:w="0" w:type="dxa"/>
          <w:left w:w="0" w:type="dxa"/>
          <w:bottom w:w="0" w:type="dxa"/>
          <w:right w:w="0" w:type="dxa"/>
        </w:tblCellMar>
      </w:tblPr>
      <w:tblGrid>
        <w:gridCol w:w="973"/>
        <w:gridCol w:w="1452"/>
        <w:gridCol w:w="5256"/>
        <w:gridCol w:w="840"/>
        <w:gridCol w:w="1044"/>
        <w:gridCol w:w="2148"/>
        <w:gridCol w:w="2232"/>
      </w:tblGrid>
      <w:tr>
        <w:tblPrEx>
          <w:tblCellMar>
            <w:top w:w="0" w:type="dxa"/>
            <w:left w:w="0" w:type="dxa"/>
            <w:bottom w:w="0" w:type="dxa"/>
            <w:right w:w="0" w:type="dxa"/>
          </w:tblCellMar>
        </w:tblPrEx>
        <w:trPr>
          <w:trHeight w:val="407" w:hRule="atLeast"/>
        </w:trPr>
        <w:tc>
          <w:tcPr>
            <w:tcW w:w="13945" w:type="dxa"/>
            <w:gridSpan w:val="7"/>
            <w:tcBorders>
              <w:top w:val="nil"/>
              <w:left w:val="nil"/>
              <w:bottom w:val="nil"/>
              <w:right w:val="nil"/>
            </w:tcBorders>
            <w:shd w:val="clear" w:color="auto" w:fill="FFFF00"/>
            <w:tcMar>
              <w:top w:w="12" w:type="dxa"/>
              <w:left w:w="12" w:type="dxa"/>
              <w:right w:w="12" w:type="dxa"/>
            </w:tcMar>
            <w:vAlign w:val="center"/>
          </w:tcPr>
          <w:p>
            <w:pPr>
              <w:jc w:val="center"/>
            </w:pPr>
            <w:r>
              <w:rPr>
                <w:rFonts w:hint="eastAsia"/>
                <w:color w:val="000000" w:themeColor="text1"/>
                <w:sz w:val="24"/>
                <w:szCs w:val="32"/>
                <w14:textFill>
                  <w14:solidFill>
                    <w14:schemeClr w14:val="tx1"/>
                  </w14:solidFill>
                </w14:textFill>
              </w:rPr>
              <w:t>设备清单（南库区）</w:t>
            </w:r>
          </w:p>
        </w:tc>
      </w:tr>
      <w:tr>
        <w:tblPrEx>
          <w:tblCellMar>
            <w:top w:w="0" w:type="dxa"/>
            <w:left w:w="0" w:type="dxa"/>
            <w:bottom w:w="0" w:type="dxa"/>
            <w:right w:w="0" w:type="dxa"/>
          </w:tblCellMar>
        </w:tblPrEx>
        <w:trPr>
          <w:trHeight w:val="540" w:hRule="atLeast"/>
        </w:trPr>
        <w:tc>
          <w:tcPr>
            <w:tcW w:w="97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序号</w:t>
            </w:r>
          </w:p>
        </w:tc>
        <w:tc>
          <w:tcPr>
            <w:tcW w:w="145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项目名称</w:t>
            </w:r>
          </w:p>
        </w:tc>
        <w:tc>
          <w:tcPr>
            <w:tcW w:w="5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项目特征描述</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 xml:space="preserve">计量 </w:t>
            </w:r>
            <w:r>
              <w:rPr>
                <w:rFonts w:hint="eastAsia"/>
              </w:rPr>
              <w:br w:type="textWrapping"/>
            </w:r>
            <w:r>
              <w:rPr>
                <w:rFonts w:hint="eastAsia"/>
              </w:rPr>
              <w:t>单位</w:t>
            </w:r>
          </w:p>
        </w:tc>
        <w:tc>
          <w:tcPr>
            <w:tcW w:w="104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工程量</w:t>
            </w:r>
          </w:p>
        </w:tc>
        <w:tc>
          <w:tcPr>
            <w:tcW w:w="438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金额（元）</w:t>
            </w:r>
          </w:p>
        </w:tc>
      </w:tr>
      <w:tr>
        <w:tblPrEx>
          <w:tblCellMar>
            <w:top w:w="0" w:type="dxa"/>
            <w:left w:w="0" w:type="dxa"/>
            <w:bottom w:w="0" w:type="dxa"/>
            <w:right w:w="0" w:type="dxa"/>
          </w:tblCellMar>
        </w:tblPrEx>
        <w:trPr>
          <w:trHeight w:val="90"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tc>
        <w:tc>
          <w:tcPr>
            <w:tcW w:w="14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tc>
        <w:tc>
          <w:tcPr>
            <w:tcW w:w="5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tc>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tc>
        <w:tc>
          <w:tcPr>
            <w:tcW w:w="214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pPr>
            <w:r>
              <w:rPr>
                <w:rFonts w:hint="eastAsia"/>
              </w:rPr>
              <w:t>综合单价</w:t>
            </w:r>
          </w:p>
        </w:tc>
        <w:tc>
          <w:tcPr>
            <w:tcW w:w="2232"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jc w:val="center"/>
            </w:pPr>
            <w:r>
              <w:rPr>
                <w:rFonts w:hint="eastAsia"/>
              </w:rPr>
              <w:t>合价</w:t>
            </w:r>
          </w:p>
        </w:tc>
      </w:tr>
      <w:tr>
        <w:tblPrEx>
          <w:tblCellMar>
            <w:top w:w="0" w:type="dxa"/>
            <w:left w:w="0" w:type="dxa"/>
            <w:bottom w:w="0" w:type="dxa"/>
            <w:right w:w="0" w:type="dxa"/>
          </w:tblCellMar>
        </w:tblPrEx>
        <w:trPr>
          <w:trHeight w:val="803" w:hRule="atLeast"/>
        </w:trPr>
        <w:tc>
          <w:tcPr>
            <w:tcW w:w="13945" w:type="dxa"/>
            <w:gridSpan w:val="7"/>
            <w:tcBorders>
              <w:top w:val="single" w:color="000000" w:sz="4" w:space="0"/>
              <w:left w:val="single" w:color="000000" w:sz="4" w:space="0"/>
              <w:bottom w:val="single" w:color="000000" w:sz="4" w:space="0"/>
              <w:right w:val="nil"/>
            </w:tcBorders>
            <w:shd w:val="clear" w:color="auto" w:fill="BFBFBF"/>
            <w:tcMar>
              <w:top w:w="12" w:type="dxa"/>
              <w:left w:w="12" w:type="dxa"/>
              <w:right w:w="12" w:type="dxa"/>
            </w:tcMar>
            <w:vAlign w:val="center"/>
          </w:tcPr>
          <w:p>
            <w:r>
              <w:rPr>
                <w:rFonts w:hint="eastAsia"/>
              </w:rPr>
              <w:t>一、粮面表层控温系统（三期）</w:t>
            </w:r>
          </w:p>
        </w:tc>
      </w:tr>
      <w:tr>
        <w:tblPrEx>
          <w:tblCellMar>
            <w:top w:w="0" w:type="dxa"/>
            <w:left w:w="0" w:type="dxa"/>
            <w:bottom w:w="0" w:type="dxa"/>
            <w:right w:w="0" w:type="dxa"/>
          </w:tblCellMar>
        </w:tblPrEx>
        <w:trPr>
          <w:trHeight w:val="5918"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1.1</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平房仓水冷粮面低温专用机组（含室内外机组）</w:t>
            </w:r>
          </w:p>
        </w:tc>
        <w:tc>
          <w:tcPr>
            <w:tcW w:w="52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1.制冷量≥10kw</w:t>
            </w:r>
            <w:r>
              <w:rPr>
                <w:rFonts w:hint="eastAsia"/>
              </w:rPr>
              <w:br w:type="textWrapping"/>
            </w:r>
            <w:r>
              <w:rPr>
                <w:rFonts w:hint="eastAsia"/>
              </w:rPr>
              <w:t>2.送风量≥3700m3/h</w:t>
            </w:r>
            <w:r>
              <w:rPr>
                <w:rFonts w:hint="eastAsia"/>
              </w:rPr>
              <w:br w:type="textWrapping"/>
            </w:r>
            <w:r>
              <w:rPr>
                <w:rFonts w:hint="eastAsia"/>
              </w:rPr>
              <w:t>3.制冷消耗功率≤4.3KW</w:t>
            </w:r>
            <w:r>
              <w:rPr>
                <w:rFonts w:hint="eastAsia"/>
              </w:rPr>
              <w:br w:type="textWrapping"/>
            </w:r>
            <w:r>
              <w:rPr>
                <w:rFonts w:hint="eastAsia"/>
              </w:rPr>
              <w:t>4.送风距离:≥24m;制冷工况(回风温度15℃,相对湿度60%);</w:t>
            </w:r>
            <w:r>
              <w:rPr>
                <w:rFonts w:hint="eastAsia"/>
              </w:rPr>
              <w:br w:type="textWrapping"/>
            </w:r>
            <w:r>
              <w:rPr>
                <w:rFonts w:hint="eastAsia"/>
              </w:rPr>
              <w:t>5.水流量&gt;2m³/h;</w:t>
            </w:r>
            <w:r>
              <w:rPr>
                <w:rFonts w:hint="eastAsia"/>
              </w:rPr>
              <w:br w:type="textWrapping"/>
            </w:r>
            <w:r>
              <w:rPr>
                <w:rFonts w:hint="eastAsia"/>
              </w:rPr>
              <w:t>6.出风温度范围:8-15℃;</w:t>
            </w:r>
            <w:r>
              <w:rPr>
                <w:rFonts w:hint="eastAsia"/>
              </w:rPr>
              <w:br w:type="textWrapping"/>
            </w:r>
            <w:r>
              <w:rPr>
                <w:rFonts w:hint="eastAsia"/>
              </w:rPr>
              <w:t xml:space="preserve">7.电源:380V; </w:t>
            </w:r>
            <w:r>
              <w:rPr>
                <w:rFonts w:hint="eastAsia"/>
              </w:rPr>
              <w:br w:type="textWrapping"/>
            </w:r>
            <w:r>
              <w:rPr>
                <w:rFonts w:hint="eastAsia"/>
              </w:rPr>
              <w:t>8.室内机组端部设置3只360度球形射流喷口;具有防磷化氢气体腐蚀功能和防尘、防冷凝水功能; 具有保水降温功能,避免空间水分损失过大影响表层粮食质量;</w:t>
            </w:r>
            <w:r>
              <w:rPr>
                <w:rFonts w:hint="eastAsia"/>
              </w:rPr>
              <w:br w:type="textWrapping"/>
            </w:r>
            <w:r>
              <w:rPr>
                <w:rFonts w:hint="eastAsia"/>
              </w:rPr>
              <w:t xml:space="preserve">9.室外机组具有定温启停(根据仓温变化自动启停机组)、定时启停(可任意设置时间启停机组)功能; 具有高低压保护功能(保护机组免受粮库夏季白夜间电压变化过大损坏机组);具有与智能粮库联网的 RS485，通信接口和免费协议; </w:t>
            </w:r>
            <w:r>
              <w:rPr>
                <w:rFonts w:hint="eastAsia"/>
              </w:rPr>
              <w:br w:type="textWrapping"/>
            </w:r>
            <w:r>
              <w:rPr>
                <w:rFonts w:hint="eastAsia"/>
              </w:rPr>
              <w:t>10.机组框架及面板采用304不锈钢外壳;机组操作盒采用防水型操作盒;机组操作盒在仓外1.5m标高位置处。</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组</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18</w:t>
            </w:r>
          </w:p>
        </w:tc>
        <w:tc>
          <w:tcPr>
            <w:tcW w:w="21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tc>
        <w:tc>
          <w:tcPr>
            <w:tcW w:w="2232"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tc>
      </w:tr>
      <w:tr>
        <w:tblPrEx>
          <w:tblCellMar>
            <w:top w:w="0" w:type="dxa"/>
            <w:left w:w="0" w:type="dxa"/>
            <w:bottom w:w="0" w:type="dxa"/>
            <w:right w:w="0" w:type="dxa"/>
          </w:tblCellMar>
        </w:tblPrEx>
        <w:trPr>
          <w:trHeight w:val="803"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1.2</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小计</w:t>
            </w:r>
          </w:p>
        </w:tc>
        <w:tc>
          <w:tcPr>
            <w:tcW w:w="52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tc>
        <w:tc>
          <w:tcPr>
            <w:tcW w:w="21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tc>
        <w:tc>
          <w:tcPr>
            <w:tcW w:w="2232"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r>
              <w:rPr>
                <w:rFonts w:hint="eastAsia"/>
              </w:rPr>
              <w:t xml:space="preserve"> </w:t>
            </w:r>
          </w:p>
        </w:tc>
      </w:tr>
      <w:tr>
        <w:tblPrEx>
          <w:tblCellMar>
            <w:top w:w="0" w:type="dxa"/>
            <w:left w:w="0" w:type="dxa"/>
            <w:bottom w:w="0" w:type="dxa"/>
            <w:right w:w="0" w:type="dxa"/>
          </w:tblCellMar>
        </w:tblPrEx>
        <w:trPr>
          <w:trHeight w:val="803" w:hRule="atLeast"/>
        </w:trPr>
        <w:tc>
          <w:tcPr>
            <w:tcW w:w="13945" w:type="dxa"/>
            <w:gridSpan w:val="7"/>
            <w:tcBorders>
              <w:top w:val="single" w:color="000000" w:sz="4" w:space="0"/>
              <w:left w:val="single" w:color="000000" w:sz="4" w:space="0"/>
              <w:bottom w:val="single" w:color="000000" w:sz="4" w:space="0"/>
              <w:right w:val="nil"/>
            </w:tcBorders>
            <w:shd w:val="clear" w:color="auto" w:fill="BFBFBF"/>
            <w:tcMar>
              <w:top w:w="12" w:type="dxa"/>
              <w:left w:w="12" w:type="dxa"/>
              <w:right w:w="12" w:type="dxa"/>
            </w:tcMar>
            <w:vAlign w:val="center"/>
          </w:tcPr>
          <w:p>
            <w:r>
              <w:rPr>
                <w:rFonts w:hint="eastAsia"/>
              </w:rPr>
              <w:t>二、通风熏蒸系统（三期）</w:t>
            </w:r>
          </w:p>
        </w:tc>
      </w:tr>
      <w:tr>
        <w:tblPrEx>
          <w:tblCellMar>
            <w:top w:w="0" w:type="dxa"/>
            <w:left w:w="0" w:type="dxa"/>
            <w:bottom w:w="0" w:type="dxa"/>
            <w:right w:w="0" w:type="dxa"/>
          </w:tblCellMar>
        </w:tblPrEx>
        <w:trPr>
          <w:trHeight w:val="803"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2.1</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移动通风机</w:t>
            </w:r>
          </w:p>
        </w:tc>
        <w:tc>
          <w:tcPr>
            <w:tcW w:w="52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L=15370m3/h H=1291Pa，r=1800rpm,N=7.5Kw，带移动小车，通风软连接布袋、12米电源线</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台</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6</w:t>
            </w:r>
          </w:p>
        </w:tc>
        <w:tc>
          <w:tcPr>
            <w:tcW w:w="21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tc>
        <w:tc>
          <w:tcPr>
            <w:tcW w:w="2232"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tc>
      </w:tr>
      <w:tr>
        <w:tblPrEx>
          <w:tblCellMar>
            <w:top w:w="0" w:type="dxa"/>
            <w:left w:w="0" w:type="dxa"/>
            <w:bottom w:w="0" w:type="dxa"/>
            <w:right w:w="0" w:type="dxa"/>
          </w:tblCellMar>
        </w:tblPrEx>
        <w:trPr>
          <w:trHeight w:val="803"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2.2</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防爆轴流通风机</w:t>
            </w:r>
          </w:p>
        </w:tc>
        <w:tc>
          <w:tcPr>
            <w:tcW w:w="52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N=1.1KW，风量L=12000m³/h，380V电源</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台</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18</w:t>
            </w:r>
          </w:p>
        </w:tc>
        <w:tc>
          <w:tcPr>
            <w:tcW w:w="21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tc>
        <w:tc>
          <w:tcPr>
            <w:tcW w:w="2232"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tc>
      </w:tr>
      <w:tr>
        <w:tblPrEx>
          <w:tblCellMar>
            <w:top w:w="0" w:type="dxa"/>
            <w:left w:w="0" w:type="dxa"/>
            <w:bottom w:w="0" w:type="dxa"/>
            <w:right w:w="0" w:type="dxa"/>
          </w:tblCellMar>
        </w:tblPrEx>
        <w:trPr>
          <w:trHeight w:val="803"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2.3</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空气分配箱</w:t>
            </w:r>
          </w:p>
        </w:tc>
        <w:tc>
          <w:tcPr>
            <w:tcW w:w="52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一机三道，满足图纸定制及安装要求，冷轧钢板厚度2.0mm，防腐喷漆</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套</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18</w:t>
            </w:r>
          </w:p>
        </w:tc>
        <w:tc>
          <w:tcPr>
            <w:tcW w:w="21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tc>
        <w:tc>
          <w:tcPr>
            <w:tcW w:w="2232"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tc>
      </w:tr>
      <w:tr>
        <w:tblPrEx>
          <w:tblCellMar>
            <w:top w:w="0" w:type="dxa"/>
            <w:left w:w="0" w:type="dxa"/>
            <w:bottom w:w="0" w:type="dxa"/>
            <w:right w:w="0" w:type="dxa"/>
          </w:tblCellMar>
        </w:tblPrEx>
        <w:trPr>
          <w:trHeight w:val="803"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2.4</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地上笼</w:t>
            </w:r>
          </w:p>
        </w:tc>
        <w:tc>
          <w:tcPr>
            <w:tcW w:w="52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空气分配管D500*2mm倒U管，每张长度为1米，冷板镀锌，开孔率35%，满足图纸定制及安装要求</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张</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1134</w:t>
            </w:r>
          </w:p>
        </w:tc>
        <w:tc>
          <w:tcPr>
            <w:tcW w:w="21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tc>
        <w:tc>
          <w:tcPr>
            <w:tcW w:w="2232"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tc>
      </w:tr>
      <w:tr>
        <w:tblPrEx>
          <w:tblCellMar>
            <w:top w:w="0" w:type="dxa"/>
            <w:left w:w="0" w:type="dxa"/>
            <w:bottom w:w="0" w:type="dxa"/>
            <w:right w:w="0" w:type="dxa"/>
          </w:tblCellMar>
        </w:tblPrEx>
        <w:trPr>
          <w:trHeight w:val="803"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2.5</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空气分配管</w:t>
            </w:r>
          </w:p>
        </w:tc>
        <w:tc>
          <w:tcPr>
            <w:tcW w:w="52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空气分配管D500*2mm倒U管，，每张长度为1米，冷板镀锌，开孔率35%，满足图纸定制及安装要求</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张</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135</w:t>
            </w:r>
          </w:p>
        </w:tc>
        <w:tc>
          <w:tcPr>
            <w:tcW w:w="21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tc>
        <w:tc>
          <w:tcPr>
            <w:tcW w:w="2232"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tc>
      </w:tr>
      <w:tr>
        <w:tblPrEx>
          <w:tblCellMar>
            <w:top w:w="0" w:type="dxa"/>
            <w:left w:w="0" w:type="dxa"/>
            <w:bottom w:w="0" w:type="dxa"/>
            <w:right w:w="0" w:type="dxa"/>
          </w:tblCellMar>
        </w:tblPrEx>
        <w:trPr>
          <w:trHeight w:val="803"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2.6</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90°弯头</w:t>
            </w:r>
          </w:p>
        </w:tc>
        <w:tc>
          <w:tcPr>
            <w:tcW w:w="52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空气分配管D500*2mm倒U管，冷板镀锌，开孔率35%，满足图纸定制及安装要求</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只</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36</w:t>
            </w:r>
          </w:p>
        </w:tc>
        <w:tc>
          <w:tcPr>
            <w:tcW w:w="21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tc>
        <w:tc>
          <w:tcPr>
            <w:tcW w:w="2232"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tc>
      </w:tr>
      <w:tr>
        <w:tblPrEx>
          <w:tblCellMar>
            <w:top w:w="0" w:type="dxa"/>
            <w:left w:w="0" w:type="dxa"/>
            <w:bottom w:w="0" w:type="dxa"/>
            <w:right w:w="0" w:type="dxa"/>
          </w:tblCellMar>
        </w:tblPrEx>
        <w:trPr>
          <w:trHeight w:val="803"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2.7</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45°弯头</w:t>
            </w:r>
          </w:p>
        </w:tc>
        <w:tc>
          <w:tcPr>
            <w:tcW w:w="52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空气分配管D500*2mm倒U管，冷板镀锌，开孔率35%，满足图纸定制及安装要求</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只</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12</w:t>
            </w:r>
          </w:p>
        </w:tc>
        <w:tc>
          <w:tcPr>
            <w:tcW w:w="21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tc>
        <w:tc>
          <w:tcPr>
            <w:tcW w:w="2232"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tc>
      </w:tr>
      <w:tr>
        <w:tblPrEx>
          <w:tblCellMar>
            <w:top w:w="0" w:type="dxa"/>
            <w:left w:w="0" w:type="dxa"/>
            <w:bottom w:w="0" w:type="dxa"/>
            <w:right w:w="0" w:type="dxa"/>
          </w:tblCellMar>
        </w:tblPrEx>
        <w:trPr>
          <w:trHeight w:val="803"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2.8</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堵头</w:t>
            </w:r>
          </w:p>
        </w:tc>
        <w:tc>
          <w:tcPr>
            <w:tcW w:w="52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D500倒U型封堵镀锌盖板，2mm厚，冷板镀锌</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只</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54</w:t>
            </w:r>
          </w:p>
        </w:tc>
        <w:tc>
          <w:tcPr>
            <w:tcW w:w="21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tc>
        <w:tc>
          <w:tcPr>
            <w:tcW w:w="2232"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tc>
      </w:tr>
      <w:tr>
        <w:tblPrEx>
          <w:tblCellMar>
            <w:top w:w="0" w:type="dxa"/>
            <w:left w:w="0" w:type="dxa"/>
            <w:bottom w:w="0" w:type="dxa"/>
            <w:right w:w="0" w:type="dxa"/>
          </w:tblCellMar>
        </w:tblPrEx>
        <w:trPr>
          <w:trHeight w:val="803"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2.9</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∅150导流管</w:t>
            </w:r>
          </w:p>
        </w:tc>
        <w:tc>
          <w:tcPr>
            <w:tcW w:w="52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 xml:space="preserve">每根长7.5米，直径150mm，镀锌管2mm 穿孔率10%，活接卡扣式 </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m</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360</w:t>
            </w:r>
          </w:p>
        </w:tc>
        <w:tc>
          <w:tcPr>
            <w:tcW w:w="21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tc>
        <w:tc>
          <w:tcPr>
            <w:tcW w:w="2232"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tc>
      </w:tr>
      <w:tr>
        <w:tblPrEx>
          <w:tblCellMar>
            <w:top w:w="0" w:type="dxa"/>
            <w:left w:w="0" w:type="dxa"/>
            <w:bottom w:w="0" w:type="dxa"/>
            <w:right w:w="0" w:type="dxa"/>
          </w:tblCellMar>
        </w:tblPrEx>
        <w:trPr>
          <w:trHeight w:val="803"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 xml:space="preserve">2.10 </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固定式环流熏蒸风机</w:t>
            </w:r>
          </w:p>
        </w:tc>
        <w:tc>
          <w:tcPr>
            <w:tcW w:w="52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环流风机为防腐防爆专用风机，L=1000m3/h, H=1000Pa,N=1.1KW,380V.配套遮雨棚</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台</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9</w:t>
            </w:r>
          </w:p>
        </w:tc>
        <w:tc>
          <w:tcPr>
            <w:tcW w:w="21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tc>
        <w:tc>
          <w:tcPr>
            <w:tcW w:w="2232"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tc>
      </w:tr>
      <w:tr>
        <w:tblPrEx>
          <w:tblCellMar>
            <w:top w:w="0" w:type="dxa"/>
            <w:left w:w="0" w:type="dxa"/>
            <w:bottom w:w="0" w:type="dxa"/>
            <w:right w:w="0" w:type="dxa"/>
          </w:tblCellMar>
        </w:tblPrEx>
        <w:trPr>
          <w:trHeight w:val="1044"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 xml:space="preserve">2.11 </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环流管道</w:t>
            </w:r>
          </w:p>
        </w:tc>
        <w:tc>
          <w:tcPr>
            <w:tcW w:w="52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包含两套不锈钢波纹管、不锈钢管道、其他配套管道满足图纸要求。满足图纸定制及安装要求，满足熏蒸及气调储粮要求，不包含控制系统。</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套</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9</w:t>
            </w:r>
          </w:p>
        </w:tc>
        <w:tc>
          <w:tcPr>
            <w:tcW w:w="21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tc>
        <w:tc>
          <w:tcPr>
            <w:tcW w:w="2232"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tc>
      </w:tr>
      <w:tr>
        <w:tblPrEx>
          <w:tblCellMar>
            <w:top w:w="0" w:type="dxa"/>
            <w:left w:w="0" w:type="dxa"/>
            <w:bottom w:w="0" w:type="dxa"/>
            <w:right w:w="0" w:type="dxa"/>
          </w:tblCellMar>
        </w:tblPrEx>
        <w:trPr>
          <w:trHeight w:val="1044"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 xml:space="preserve">2.12 </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气体取样装置</w:t>
            </w:r>
          </w:p>
        </w:tc>
        <w:tc>
          <w:tcPr>
            <w:tcW w:w="52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每套取样装置设置取样点：不少于5个；箱体护管、探头材质、取样订制阀门（6合1整体*2）：不锈钢；取样管：内径不小于3mm，壁厚≥1mm 聚乙烯 截面耐压不变形</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套</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9</w:t>
            </w:r>
          </w:p>
        </w:tc>
        <w:tc>
          <w:tcPr>
            <w:tcW w:w="21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tc>
        <w:tc>
          <w:tcPr>
            <w:tcW w:w="2232"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tc>
      </w:tr>
      <w:tr>
        <w:tblPrEx>
          <w:tblCellMar>
            <w:top w:w="0" w:type="dxa"/>
            <w:left w:w="0" w:type="dxa"/>
            <w:bottom w:w="0" w:type="dxa"/>
            <w:right w:w="0" w:type="dxa"/>
          </w:tblCellMar>
        </w:tblPrEx>
        <w:trPr>
          <w:trHeight w:val="803"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 xml:space="preserve">2.13 </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粮面PVC回气管网（含接头等配件）</w:t>
            </w:r>
          </w:p>
        </w:tc>
        <w:tc>
          <w:tcPr>
            <w:tcW w:w="52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PVCØ 110，具有粮库抗压、抗熏蒸功能，穿孔率15%</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m</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10000</w:t>
            </w:r>
          </w:p>
        </w:tc>
        <w:tc>
          <w:tcPr>
            <w:tcW w:w="21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tc>
        <w:tc>
          <w:tcPr>
            <w:tcW w:w="2232"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tc>
      </w:tr>
      <w:tr>
        <w:tblPrEx>
          <w:tblCellMar>
            <w:top w:w="0" w:type="dxa"/>
            <w:left w:w="0" w:type="dxa"/>
            <w:bottom w:w="0" w:type="dxa"/>
            <w:right w:w="0" w:type="dxa"/>
          </w:tblCellMar>
        </w:tblPrEx>
        <w:trPr>
          <w:trHeight w:val="803"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 xml:space="preserve">2.14 </w:t>
            </w:r>
          </w:p>
        </w:tc>
        <w:tc>
          <w:tcPr>
            <w:tcW w:w="1452"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r>
              <w:rPr>
                <w:rFonts w:hint="eastAsia"/>
              </w:rPr>
              <w:t>尼龙复合膜</w:t>
            </w:r>
          </w:p>
        </w:tc>
        <w:tc>
          <w:tcPr>
            <w:tcW w:w="5256"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r>
              <w:rPr>
                <w:rFonts w:hint="eastAsia"/>
              </w:rPr>
              <w:t>厚度0.12.尼龙或聚乙烯材质，每张952㎡，30米廒间用，28m*34m</w:t>
            </w:r>
          </w:p>
        </w:tc>
        <w:tc>
          <w:tcPr>
            <w:tcW w:w="840"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r>
              <w:rPr>
                <w:rFonts w:hint="eastAsia"/>
              </w:rPr>
              <w:t>张</w:t>
            </w:r>
          </w:p>
        </w:tc>
        <w:tc>
          <w:tcPr>
            <w:tcW w:w="1044" w:type="dxa"/>
            <w:tcBorders>
              <w:top w:val="single" w:color="000000" w:sz="4" w:space="0"/>
              <w:left w:val="single" w:color="000000" w:sz="4" w:space="0"/>
              <w:bottom w:val="nil"/>
              <w:right w:val="nil"/>
            </w:tcBorders>
            <w:shd w:val="clear" w:color="auto" w:fill="auto"/>
            <w:tcMar>
              <w:top w:w="12" w:type="dxa"/>
              <w:left w:w="12" w:type="dxa"/>
              <w:right w:w="12" w:type="dxa"/>
            </w:tcMar>
            <w:vAlign w:val="center"/>
          </w:tcPr>
          <w:p>
            <w:r>
              <w:rPr>
                <w:rFonts w:hint="eastAsia"/>
              </w:rPr>
              <w:t>6</w:t>
            </w:r>
          </w:p>
        </w:tc>
        <w:tc>
          <w:tcPr>
            <w:tcW w:w="21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tc>
        <w:tc>
          <w:tcPr>
            <w:tcW w:w="2232"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tc>
      </w:tr>
      <w:tr>
        <w:tblPrEx>
          <w:tblCellMar>
            <w:top w:w="0" w:type="dxa"/>
            <w:left w:w="0" w:type="dxa"/>
            <w:bottom w:w="0" w:type="dxa"/>
            <w:right w:w="0" w:type="dxa"/>
          </w:tblCellMar>
        </w:tblPrEx>
        <w:trPr>
          <w:trHeight w:val="803"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 xml:space="preserve">2.15 </w:t>
            </w:r>
          </w:p>
        </w:tc>
        <w:tc>
          <w:tcPr>
            <w:tcW w:w="1452"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r>
              <w:rPr>
                <w:rFonts w:hint="eastAsia"/>
              </w:rPr>
              <w:t>尼龙复合膜</w:t>
            </w:r>
          </w:p>
        </w:tc>
        <w:tc>
          <w:tcPr>
            <w:tcW w:w="5256"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r>
              <w:rPr>
                <w:rFonts w:hint="eastAsia"/>
              </w:rPr>
              <w:t>厚度0.12.尼龙或聚乙烯材质，每张784㎡，24米廒间用，28m*28m</w:t>
            </w:r>
          </w:p>
        </w:tc>
        <w:tc>
          <w:tcPr>
            <w:tcW w:w="840"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r>
              <w:rPr>
                <w:rFonts w:hint="eastAsia"/>
              </w:rPr>
              <w:t>张</w:t>
            </w:r>
          </w:p>
        </w:tc>
        <w:tc>
          <w:tcPr>
            <w:tcW w:w="1044" w:type="dxa"/>
            <w:tcBorders>
              <w:top w:val="single" w:color="000000" w:sz="4" w:space="0"/>
              <w:left w:val="single" w:color="000000" w:sz="4" w:space="0"/>
              <w:bottom w:val="nil"/>
              <w:right w:val="nil"/>
            </w:tcBorders>
            <w:shd w:val="clear" w:color="auto" w:fill="auto"/>
            <w:tcMar>
              <w:top w:w="12" w:type="dxa"/>
              <w:left w:w="12" w:type="dxa"/>
              <w:right w:w="12" w:type="dxa"/>
            </w:tcMar>
            <w:vAlign w:val="center"/>
          </w:tcPr>
          <w:p>
            <w:r>
              <w:rPr>
                <w:rFonts w:hint="eastAsia"/>
              </w:rPr>
              <w:t>3</w:t>
            </w:r>
          </w:p>
        </w:tc>
        <w:tc>
          <w:tcPr>
            <w:tcW w:w="21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tc>
        <w:tc>
          <w:tcPr>
            <w:tcW w:w="2232"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tc>
      </w:tr>
      <w:tr>
        <w:tblPrEx>
          <w:tblCellMar>
            <w:top w:w="0" w:type="dxa"/>
            <w:left w:w="0" w:type="dxa"/>
            <w:bottom w:w="0" w:type="dxa"/>
            <w:right w:w="0" w:type="dxa"/>
          </w:tblCellMar>
        </w:tblPrEx>
        <w:trPr>
          <w:trHeight w:val="803"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 xml:space="preserve">2.16 </w:t>
            </w:r>
          </w:p>
        </w:tc>
        <w:tc>
          <w:tcPr>
            <w:tcW w:w="1452"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r>
              <w:rPr>
                <w:rFonts w:hint="eastAsia"/>
              </w:rPr>
              <w:t>镂空踏粮板</w:t>
            </w:r>
          </w:p>
        </w:tc>
        <w:tc>
          <w:tcPr>
            <w:tcW w:w="5256"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r>
              <w:rPr>
                <w:rFonts w:hint="eastAsia"/>
              </w:rPr>
              <w:t>每张尺寸为1200x500x36mm，孔径2.6mm，开孔率70%，30m廒间162米，24m廒间144米</w:t>
            </w:r>
          </w:p>
        </w:tc>
        <w:tc>
          <w:tcPr>
            <w:tcW w:w="840"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r>
              <w:rPr>
                <w:rFonts w:hint="eastAsia"/>
              </w:rPr>
              <w:t>张</w:t>
            </w:r>
          </w:p>
        </w:tc>
        <w:tc>
          <w:tcPr>
            <w:tcW w:w="1044" w:type="dxa"/>
            <w:tcBorders>
              <w:top w:val="single" w:color="000000" w:sz="4" w:space="0"/>
              <w:left w:val="single" w:color="000000" w:sz="4" w:space="0"/>
              <w:bottom w:val="nil"/>
              <w:right w:val="nil"/>
            </w:tcBorders>
            <w:shd w:val="clear" w:color="auto" w:fill="auto"/>
            <w:tcMar>
              <w:top w:w="12" w:type="dxa"/>
              <w:left w:w="12" w:type="dxa"/>
              <w:right w:w="12" w:type="dxa"/>
            </w:tcMar>
            <w:vAlign w:val="center"/>
          </w:tcPr>
          <w:p>
            <w:r>
              <w:rPr>
                <w:rFonts w:hint="eastAsia"/>
              </w:rPr>
              <w:t>1200</w:t>
            </w:r>
          </w:p>
        </w:tc>
        <w:tc>
          <w:tcPr>
            <w:tcW w:w="21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tc>
        <w:tc>
          <w:tcPr>
            <w:tcW w:w="2232"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tc>
      </w:tr>
      <w:tr>
        <w:tblPrEx>
          <w:tblCellMar>
            <w:top w:w="0" w:type="dxa"/>
            <w:left w:w="0" w:type="dxa"/>
            <w:bottom w:w="0" w:type="dxa"/>
            <w:right w:w="0" w:type="dxa"/>
          </w:tblCellMar>
        </w:tblPrEx>
        <w:trPr>
          <w:trHeight w:val="803"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 xml:space="preserve">2.17 </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小计</w:t>
            </w:r>
          </w:p>
        </w:tc>
        <w:tc>
          <w:tcPr>
            <w:tcW w:w="52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tc>
        <w:tc>
          <w:tcPr>
            <w:tcW w:w="21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tc>
        <w:tc>
          <w:tcPr>
            <w:tcW w:w="2232"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tc>
      </w:tr>
      <w:tr>
        <w:tblPrEx>
          <w:tblCellMar>
            <w:top w:w="0" w:type="dxa"/>
            <w:left w:w="0" w:type="dxa"/>
            <w:bottom w:w="0" w:type="dxa"/>
            <w:right w:w="0" w:type="dxa"/>
          </w:tblCellMar>
        </w:tblPrEx>
        <w:trPr>
          <w:trHeight w:val="803" w:hRule="atLeast"/>
        </w:trPr>
        <w:tc>
          <w:tcPr>
            <w:tcW w:w="13945" w:type="dxa"/>
            <w:gridSpan w:val="7"/>
            <w:tcBorders>
              <w:top w:val="single" w:color="000000" w:sz="4" w:space="0"/>
              <w:left w:val="single" w:color="000000" w:sz="4" w:space="0"/>
              <w:bottom w:val="single" w:color="000000" w:sz="4" w:space="0"/>
              <w:right w:val="nil"/>
            </w:tcBorders>
            <w:shd w:val="clear" w:color="auto" w:fill="BFBFBF"/>
            <w:tcMar>
              <w:top w:w="12" w:type="dxa"/>
              <w:left w:w="12" w:type="dxa"/>
              <w:right w:w="12" w:type="dxa"/>
            </w:tcMar>
            <w:vAlign w:val="center"/>
          </w:tcPr>
          <w:p>
            <w:r>
              <w:rPr>
                <w:rFonts w:hint="eastAsia"/>
              </w:rPr>
              <w:t>三、氮气气调系统（一、二、三期）</w:t>
            </w:r>
          </w:p>
        </w:tc>
      </w:tr>
      <w:tr>
        <w:tblPrEx>
          <w:tblCellMar>
            <w:top w:w="0" w:type="dxa"/>
            <w:left w:w="0" w:type="dxa"/>
            <w:bottom w:w="0" w:type="dxa"/>
            <w:right w:w="0" w:type="dxa"/>
          </w:tblCellMar>
        </w:tblPrEx>
        <w:trPr>
          <w:trHeight w:val="822"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3.1</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空压机排热风道</w:t>
            </w:r>
          </w:p>
        </w:tc>
        <w:tc>
          <w:tcPr>
            <w:tcW w:w="52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镀锌板加工，连接空压机至制氮机房外，含风管内消音器。</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个</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1</w:t>
            </w:r>
          </w:p>
        </w:tc>
        <w:tc>
          <w:tcPr>
            <w:tcW w:w="21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tc>
        <w:tc>
          <w:tcPr>
            <w:tcW w:w="2232"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tc>
      </w:tr>
      <w:tr>
        <w:tblPrEx>
          <w:tblCellMar>
            <w:top w:w="0" w:type="dxa"/>
            <w:left w:w="0" w:type="dxa"/>
            <w:bottom w:w="0" w:type="dxa"/>
            <w:right w:w="0" w:type="dxa"/>
          </w:tblCellMar>
        </w:tblPrEx>
        <w:trPr>
          <w:trHeight w:val="822"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3.2</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固定式环流熏蒸风机</w:t>
            </w:r>
          </w:p>
        </w:tc>
        <w:tc>
          <w:tcPr>
            <w:tcW w:w="52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环流风机为防腐防爆专用风机，L=1000m3/h, H=1000Pa,N=1.1KW,380V.配套遮雨棚，一期、二期仓房改造更换。</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台</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23</w:t>
            </w:r>
          </w:p>
        </w:tc>
        <w:tc>
          <w:tcPr>
            <w:tcW w:w="21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tc>
        <w:tc>
          <w:tcPr>
            <w:tcW w:w="2232"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tc>
      </w:tr>
      <w:tr>
        <w:tblPrEx>
          <w:tblCellMar>
            <w:top w:w="0" w:type="dxa"/>
            <w:left w:w="0" w:type="dxa"/>
            <w:bottom w:w="0" w:type="dxa"/>
            <w:right w:w="0" w:type="dxa"/>
          </w:tblCellMar>
        </w:tblPrEx>
        <w:trPr>
          <w:trHeight w:val="1392"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3.3</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与环流熏蒸对接管道</w:t>
            </w:r>
          </w:p>
        </w:tc>
        <w:tc>
          <w:tcPr>
            <w:tcW w:w="52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包含不锈钢波纹管、不锈钢管道、其他配套管道满足图纸要求。满足图纸定制及安装要求，满足熏蒸及气调储粮要求，一期、二期改造，与原环流熏蒸管道对接，不包含控制系统。</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套</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23</w:t>
            </w:r>
          </w:p>
        </w:tc>
        <w:tc>
          <w:tcPr>
            <w:tcW w:w="21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tc>
        <w:tc>
          <w:tcPr>
            <w:tcW w:w="2232"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tc>
      </w:tr>
      <w:tr>
        <w:tblPrEx>
          <w:tblCellMar>
            <w:top w:w="0" w:type="dxa"/>
            <w:left w:w="0" w:type="dxa"/>
            <w:bottom w:w="0" w:type="dxa"/>
            <w:right w:w="0" w:type="dxa"/>
          </w:tblCellMar>
        </w:tblPrEx>
        <w:trPr>
          <w:trHeight w:val="1392"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3.4</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阀门箱</w:t>
            </w:r>
          </w:p>
        </w:tc>
        <w:tc>
          <w:tcPr>
            <w:tcW w:w="52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不锈钢阀门箱（箱体侧面和底部做百叶）、三个电动蝶阀、不锈钢熏蒸阀、满足图纸定制及安装要求，满足熏蒸及气调储粮要求，包含一期、二期、浅圆仓改造及三期新增，不包含控制系统。</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套</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48</w:t>
            </w:r>
          </w:p>
        </w:tc>
        <w:tc>
          <w:tcPr>
            <w:tcW w:w="21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tc>
        <w:tc>
          <w:tcPr>
            <w:tcW w:w="2232"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tc>
      </w:tr>
      <w:tr>
        <w:tblPrEx>
          <w:tblCellMar>
            <w:top w:w="0" w:type="dxa"/>
            <w:left w:w="0" w:type="dxa"/>
            <w:bottom w:w="0" w:type="dxa"/>
            <w:right w:w="0" w:type="dxa"/>
          </w:tblCellMar>
        </w:tblPrEx>
        <w:trPr>
          <w:trHeight w:val="1740"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3.5</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平房仓气调控制箱</w:t>
            </w:r>
          </w:p>
        </w:tc>
        <w:tc>
          <w:tcPr>
            <w:tcW w:w="52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仓内浓度检测、压力检测、不锈钢阀门控制、触摸屏显示、远程数据传输，PLC控制模块，箱体为不锈钢防水箱体；实时监控仓内气体浓度及压力，满足远程控制要求，含本地和远程控制组件。支持1台轴流风机控制，3个蝶阀控制，包含一期、二期、三期仓房。</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套</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32</w:t>
            </w:r>
          </w:p>
        </w:tc>
        <w:tc>
          <w:tcPr>
            <w:tcW w:w="21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tc>
        <w:tc>
          <w:tcPr>
            <w:tcW w:w="2232"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tc>
      </w:tr>
      <w:tr>
        <w:tblPrEx>
          <w:tblCellMar>
            <w:top w:w="0" w:type="dxa"/>
            <w:left w:w="0" w:type="dxa"/>
            <w:bottom w:w="0" w:type="dxa"/>
            <w:right w:w="0" w:type="dxa"/>
          </w:tblCellMar>
        </w:tblPrEx>
        <w:trPr>
          <w:trHeight w:val="1740"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3.6</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浅圆仓气调控制柜</w:t>
            </w:r>
          </w:p>
        </w:tc>
        <w:tc>
          <w:tcPr>
            <w:tcW w:w="52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仓内浓度检测、压力检测、不锈钢阀门控制、触摸屏显示、远程数据传输，PLC控制模块，箱体为不锈钢防水箱体；实时监控仓内气体浓度及压力，满足远程控制要求，含本地和远程控制组件。同时可以控制4个阀门箱，支持4台轴流风机控制，12个蝶阀控制。</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套</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4</w:t>
            </w:r>
          </w:p>
        </w:tc>
        <w:tc>
          <w:tcPr>
            <w:tcW w:w="21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tc>
        <w:tc>
          <w:tcPr>
            <w:tcW w:w="2232"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tc>
      </w:tr>
      <w:tr>
        <w:tblPrEx>
          <w:tblCellMar>
            <w:top w:w="0" w:type="dxa"/>
            <w:left w:w="0" w:type="dxa"/>
            <w:bottom w:w="0" w:type="dxa"/>
            <w:right w:w="0" w:type="dxa"/>
          </w:tblCellMar>
        </w:tblPrEx>
        <w:trPr>
          <w:trHeight w:val="803"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3.7</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工业触摸屏</w:t>
            </w:r>
          </w:p>
        </w:tc>
        <w:tc>
          <w:tcPr>
            <w:tcW w:w="52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7寸TFT工业液晶屏，支持以太网接口、串口RS232/RS485通讯，防护等级IP65，内嵌组态软件。</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块</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36</w:t>
            </w:r>
          </w:p>
        </w:tc>
        <w:tc>
          <w:tcPr>
            <w:tcW w:w="21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tc>
        <w:tc>
          <w:tcPr>
            <w:tcW w:w="2232"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tc>
      </w:tr>
      <w:tr>
        <w:tblPrEx>
          <w:tblCellMar>
            <w:top w:w="0" w:type="dxa"/>
            <w:left w:w="0" w:type="dxa"/>
            <w:bottom w:w="0" w:type="dxa"/>
            <w:right w:w="0" w:type="dxa"/>
          </w:tblCellMar>
        </w:tblPrEx>
        <w:trPr>
          <w:trHeight w:val="803"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3.8</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压力传感器</w:t>
            </w:r>
          </w:p>
        </w:tc>
        <w:tc>
          <w:tcPr>
            <w:tcW w:w="52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压力传感器</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套</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36</w:t>
            </w:r>
          </w:p>
        </w:tc>
        <w:tc>
          <w:tcPr>
            <w:tcW w:w="21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tc>
        <w:tc>
          <w:tcPr>
            <w:tcW w:w="2232"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tc>
      </w:tr>
      <w:tr>
        <w:tblPrEx>
          <w:tblCellMar>
            <w:top w:w="0" w:type="dxa"/>
            <w:left w:w="0" w:type="dxa"/>
            <w:bottom w:w="0" w:type="dxa"/>
            <w:right w:w="0" w:type="dxa"/>
          </w:tblCellMar>
        </w:tblPrEx>
        <w:trPr>
          <w:trHeight w:val="803"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3.9</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氮气传感器</w:t>
            </w:r>
          </w:p>
        </w:tc>
        <w:tc>
          <w:tcPr>
            <w:tcW w:w="52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氮气传感器，4-20ma输出，量程79.0%-99.9%，不含每年标定费用</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套</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36</w:t>
            </w:r>
          </w:p>
        </w:tc>
        <w:tc>
          <w:tcPr>
            <w:tcW w:w="21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tc>
        <w:tc>
          <w:tcPr>
            <w:tcW w:w="2232"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tc>
      </w:tr>
      <w:tr>
        <w:tblPrEx>
          <w:tblCellMar>
            <w:top w:w="0" w:type="dxa"/>
            <w:left w:w="0" w:type="dxa"/>
            <w:bottom w:w="0" w:type="dxa"/>
            <w:right w:w="0" w:type="dxa"/>
          </w:tblCellMar>
        </w:tblPrEx>
        <w:trPr>
          <w:trHeight w:val="1740"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 xml:space="preserve">3.10 </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8口工业环网型交换机</w:t>
            </w:r>
          </w:p>
        </w:tc>
        <w:tc>
          <w:tcPr>
            <w:tcW w:w="52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网管型6个百兆电口+2个百兆光（SC接口单模单纤）口交换机，交换带宽1Gbps；支持 iRing 环形组网，环网自愈时间&lt;20ms，电源双DC冗余：12-48V DC（工业端子）冗余电源输入，工作温度–40℃-85℃，具备CE、FCC、PTCRB、Verizon Wireless、AT&amp;T认证</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台</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36</w:t>
            </w:r>
          </w:p>
        </w:tc>
        <w:tc>
          <w:tcPr>
            <w:tcW w:w="21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tc>
        <w:tc>
          <w:tcPr>
            <w:tcW w:w="2232"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tc>
      </w:tr>
      <w:tr>
        <w:tblPrEx>
          <w:tblCellMar>
            <w:top w:w="0" w:type="dxa"/>
            <w:left w:w="0" w:type="dxa"/>
            <w:bottom w:w="0" w:type="dxa"/>
            <w:right w:w="0" w:type="dxa"/>
          </w:tblCellMar>
        </w:tblPrEx>
        <w:trPr>
          <w:trHeight w:val="803"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 xml:space="preserve">3.11 </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开关电源</w:t>
            </w:r>
          </w:p>
        </w:tc>
        <w:tc>
          <w:tcPr>
            <w:tcW w:w="52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工业用DIN型DC24V电源</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个</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36</w:t>
            </w:r>
          </w:p>
        </w:tc>
        <w:tc>
          <w:tcPr>
            <w:tcW w:w="21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tc>
        <w:tc>
          <w:tcPr>
            <w:tcW w:w="2232"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tc>
      </w:tr>
      <w:tr>
        <w:tblPrEx>
          <w:tblCellMar>
            <w:top w:w="0" w:type="dxa"/>
            <w:left w:w="0" w:type="dxa"/>
            <w:bottom w:w="0" w:type="dxa"/>
            <w:right w:w="0" w:type="dxa"/>
          </w:tblCellMar>
        </w:tblPrEx>
        <w:trPr>
          <w:trHeight w:val="803"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 xml:space="preserve">3.12 </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制氮机通讯模块</w:t>
            </w:r>
          </w:p>
        </w:tc>
        <w:tc>
          <w:tcPr>
            <w:tcW w:w="52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双路RS485转TCP</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个</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1</w:t>
            </w:r>
          </w:p>
        </w:tc>
        <w:tc>
          <w:tcPr>
            <w:tcW w:w="21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tc>
        <w:tc>
          <w:tcPr>
            <w:tcW w:w="2232"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tc>
      </w:tr>
      <w:tr>
        <w:tblPrEx>
          <w:tblCellMar>
            <w:top w:w="0" w:type="dxa"/>
            <w:left w:w="0" w:type="dxa"/>
            <w:bottom w:w="0" w:type="dxa"/>
            <w:right w:w="0" w:type="dxa"/>
          </w:tblCellMar>
        </w:tblPrEx>
        <w:trPr>
          <w:trHeight w:val="803"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 xml:space="preserve">3.13 </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智能电表</w:t>
            </w:r>
          </w:p>
        </w:tc>
        <w:tc>
          <w:tcPr>
            <w:tcW w:w="52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3相4线数字电表</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个</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1</w:t>
            </w:r>
          </w:p>
        </w:tc>
        <w:tc>
          <w:tcPr>
            <w:tcW w:w="21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tc>
        <w:tc>
          <w:tcPr>
            <w:tcW w:w="2232"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tc>
      </w:tr>
      <w:tr>
        <w:tblPrEx>
          <w:tblCellMar>
            <w:top w:w="0" w:type="dxa"/>
            <w:left w:w="0" w:type="dxa"/>
            <w:bottom w:w="0" w:type="dxa"/>
            <w:right w:w="0" w:type="dxa"/>
          </w:tblCellMar>
        </w:tblPrEx>
        <w:trPr>
          <w:trHeight w:val="803"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 xml:space="preserve">3.14 </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互感线圈</w:t>
            </w:r>
          </w:p>
        </w:tc>
        <w:tc>
          <w:tcPr>
            <w:tcW w:w="52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150/5</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个</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3</w:t>
            </w:r>
          </w:p>
        </w:tc>
        <w:tc>
          <w:tcPr>
            <w:tcW w:w="21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tc>
        <w:tc>
          <w:tcPr>
            <w:tcW w:w="2232"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tc>
      </w:tr>
      <w:tr>
        <w:tblPrEx>
          <w:tblCellMar>
            <w:top w:w="0" w:type="dxa"/>
            <w:left w:w="0" w:type="dxa"/>
            <w:bottom w:w="0" w:type="dxa"/>
            <w:right w:w="0" w:type="dxa"/>
          </w:tblCellMar>
        </w:tblPrEx>
        <w:trPr>
          <w:trHeight w:val="803"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 xml:space="preserve">3.15 </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光纤</w:t>
            </w:r>
          </w:p>
        </w:tc>
        <w:tc>
          <w:tcPr>
            <w:tcW w:w="52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4芯单模铠装光纤</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米</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3000</w:t>
            </w:r>
          </w:p>
        </w:tc>
        <w:tc>
          <w:tcPr>
            <w:tcW w:w="21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tc>
        <w:tc>
          <w:tcPr>
            <w:tcW w:w="2232"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tc>
      </w:tr>
      <w:tr>
        <w:tblPrEx>
          <w:tblCellMar>
            <w:top w:w="0" w:type="dxa"/>
            <w:left w:w="0" w:type="dxa"/>
            <w:bottom w:w="0" w:type="dxa"/>
            <w:right w:w="0" w:type="dxa"/>
          </w:tblCellMar>
        </w:tblPrEx>
        <w:trPr>
          <w:trHeight w:val="803"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 xml:space="preserve">3.16 </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网线</w:t>
            </w:r>
          </w:p>
        </w:tc>
        <w:tc>
          <w:tcPr>
            <w:tcW w:w="52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超五类非屏蔽</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箱</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6</w:t>
            </w:r>
          </w:p>
        </w:tc>
        <w:tc>
          <w:tcPr>
            <w:tcW w:w="21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tc>
        <w:tc>
          <w:tcPr>
            <w:tcW w:w="2232"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tc>
      </w:tr>
      <w:tr>
        <w:tblPrEx>
          <w:tblCellMar>
            <w:top w:w="0" w:type="dxa"/>
            <w:left w:w="0" w:type="dxa"/>
            <w:bottom w:w="0" w:type="dxa"/>
            <w:right w:w="0" w:type="dxa"/>
          </w:tblCellMar>
        </w:tblPrEx>
        <w:trPr>
          <w:trHeight w:val="803"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 xml:space="preserve">3.17 </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环流风机电源线</w:t>
            </w:r>
          </w:p>
        </w:tc>
        <w:tc>
          <w:tcPr>
            <w:tcW w:w="52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KVV4*2.5</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米</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450</w:t>
            </w:r>
          </w:p>
        </w:tc>
        <w:tc>
          <w:tcPr>
            <w:tcW w:w="21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tc>
        <w:tc>
          <w:tcPr>
            <w:tcW w:w="2232"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tc>
      </w:tr>
      <w:tr>
        <w:tblPrEx>
          <w:tblCellMar>
            <w:top w:w="0" w:type="dxa"/>
            <w:left w:w="0" w:type="dxa"/>
            <w:bottom w:w="0" w:type="dxa"/>
            <w:right w:w="0" w:type="dxa"/>
          </w:tblCellMar>
        </w:tblPrEx>
        <w:trPr>
          <w:trHeight w:val="803"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 xml:space="preserve">3.18 </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阀门控制线</w:t>
            </w:r>
          </w:p>
        </w:tc>
        <w:tc>
          <w:tcPr>
            <w:tcW w:w="52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RVV5*1.5</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米</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1300</w:t>
            </w:r>
          </w:p>
        </w:tc>
        <w:tc>
          <w:tcPr>
            <w:tcW w:w="21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tc>
        <w:tc>
          <w:tcPr>
            <w:tcW w:w="2232"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tc>
      </w:tr>
      <w:tr>
        <w:tblPrEx>
          <w:tblCellMar>
            <w:top w:w="0" w:type="dxa"/>
            <w:left w:w="0" w:type="dxa"/>
            <w:bottom w:w="0" w:type="dxa"/>
            <w:right w:w="0" w:type="dxa"/>
          </w:tblCellMar>
        </w:tblPrEx>
        <w:trPr>
          <w:trHeight w:val="803"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 xml:space="preserve">3.19 </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PU管</w:t>
            </w:r>
          </w:p>
        </w:tc>
        <w:tc>
          <w:tcPr>
            <w:tcW w:w="52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内径4*外径6</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米</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3200</w:t>
            </w:r>
          </w:p>
        </w:tc>
        <w:tc>
          <w:tcPr>
            <w:tcW w:w="21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tc>
        <w:tc>
          <w:tcPr>
            <w:tcW w:w="2232"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tc>
      </w:tr>
      <w:tr>
        <w:tblPrEx>
          <w:tblCellMar>
            <w:top w:w="0" w:type="dxa"/>
            <w:left w:w="0" w:type="dxa"/>
            <w:bottom w:w="0" w:type="dxa"/>
            <w:right w:w="0" w:type="dxa"/>
          </w:tblCellMar>
        </w:tblPrEx>
        <w:trPr>
          <w:trHeight w:val="803"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 xml:space="preserve">3.20 </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气体取样杆</w:t>
            </w:r>
          </w:p>
        </w:tc>
        <w:tc>
          <w:tcPr>
            <w:tcW w:w="52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0.5m/根，每个仓6根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根</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192</w:t>
            </w:r>
          </w:p>
        </w:tc>
        <w:tc>
          <w:tcPr>
            <w:tcW w:w="21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tc>
        <w:tc>
          <w:tcPr>
            <w:tcW w:w="2232"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tc>
      </w:tr>
      <w:tr>
        <w:tblPrEx>
          <w:tblCellMar>
            <w:top w:w="0" w:type="dxa"/>
            <w:left w:w="0" w:type="dxa"/>
            <w:bottom w:w="0" w:type="dxa"/>
            <w:right w:w="0" w:type="dxa"/>
          </w:tblCellMar>
        </w:tblPrEx>
        <w:trPr>
          <w:trHeight w:val="1044"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 xml:space="preserve">3.21 </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控制系统</w:t>
            </w:r>
          </w:p>
        </w:tc>
        <w:tc>
          <w:tcPr>
            <w:tcW w:w="52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包含现场触摸屏控制程序、PLC控制程序、控制中心PC端组态程序及加密狗，实现远程控制一键充氮气调，包含单机控制端和BS网页端数据查看。</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套</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1</w:t>
            </w:r>
          </w:p>
        </w:tc>
        <w:tc>
          <w:tcPr>
            <w:tcW w:w="21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tc>
        <w:tc>
          <w:tcPr>
            <w:tcW w:w="2232"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tc>
      </w:tr>
      <w:tr>
        <w:tblPrEx>
          <w:tblCellMar>
            <w:top w:w="0" w:type="dxa"/>
            <w:left w:w="0" w:type="dxa"/>
            <w:bottom w:w="0" w:type="dxa"/>
            <w:right w:w="0" w:type="dxa"/>
          </w:tblCellMar>
        </w:tblPrEx>
        <w:trPr>
          <w:trHeight w:val="803"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 xml:space="preserve">3.22 </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辅材</w:t>
            </w:r>
          </w:p>
        </w:tc>
        <w:tc>
          <w:tcPr>
            <w:tcW w:w="52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光纤熔接、PVC管等</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项</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1</w:t>
            </w:r>
          </w:p>
        </w:tc>
        <w:tc>
          <w:tcPr>
            <w:tcW w:w="21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tc>
        <w:tc>
          <w:tcPr>
            <w:tcW w:w="2232"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tc>
      </w:tr>
      <w:tr>
        <w:tblPrEx>
          <w:tblCellMar>
            <w:top w:w="0" w:type="dxa"/>
            <w:left w:w="0" w:type="dxa"/>
            <w:bottom w:w="0" w:type="dxa"/>
            <w:right w:w="0" w:type="dxa"/>
          </w:tblCellMar>
        </w:tblPrEx>
        <w:trPr>
          <w:trHeight w:val="803"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 xml:space="preserve">3.23 </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小计</w:t>
            </w:r>
          </w:p>
        </w:tc>
        <w:tc>
          <w:tcPr>
            <w:tcW w:w="52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tc>
        <w:tc>
          <w:tcPr>
            <w:tcW w:w="21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tc>
        <w:tc>
          <w:tcPr>
            <w:tcW w:w="2232"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tc>
      </w:tr>
      <w:tr>
        <w:tblPrEx>
          <w:tblCellMar>
            <w:top w:w="0" w:type="dxa"/>
            <w:left w:w="0" w:type="dxa"/>
            <w:bottom w:w="0" w:type="dxa"/>
            <w:right w:w="0" w:type="dxa"/>
          </w:tblCellMar>
        </w:tblPrEx>
        <w:trPr>
          <w:trHeight w:val="803" w:hRule="atLeast"/>
        </w:trPr>
        <w:tc>
          <w:tcPr>
            <w:tcW w:w="13945" w:type="dxa"/>
            <w:gridSpan w:val="7"/>
            <w:tcBorders>
              <w:top w:val="single" w:color="000000" w:sz="4" w:space="0"/>
              <w:left w:val="single" w:color="000000" w:sz="4" w:space="0"/>
              <w:bottom w:val="single" w:color="000000" w:sz="4" w:space="0"/>
              <w:right w:val="nil"/>
            </w:tcBorders>
            <w:shd w:val="clear" w:color="auto" w:fill="BFBFBF"/>
            <w:tcMar>
              <w:top w:w="12" w:type="dxa"/>
              <w:left w:w="12" w:type="dxa"/>
              <w:right w:w="12" w:type="dxa"/>
            </w:tcMar>
            <w:vAlign w:val="center"/>
          </w:tcPr>
          <w:p>
            <w:r>
              <w:rPr>
                <w:rFonts w:hint="eastAsia"/>
              </w:rPr>
              <w:t>四、平房仓粮情检测系统（三期）</w:t>
            </w:r>
          </w:p>
        </w:tc>
      </w:tr>
      <w:tr>
        <w:tblPrEx>
          <w:tblCellMar>
            <w:top w:w="0" w:type="dxa"/>
            <w:left w:w="0" w:type="dxa"/>
            <w:bottom w:w="0" w:type="dxa"/>
            <w:right w:w="0" w:type="dxa"/>
          </w:tblCellMar>
        </w:tblPrEx>
        <w:trPr>
          <w:trHeight w:val="3132" w:hRule="atLeast"/>
        </w:trPr>
        <w:tc>
          <w:tcPr>
            <w:tcW w:w="97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r>
              <w:rPr>
                <w:rFonts w:hint="eastAsia"/>
              </w:rPr>
              <w:t>4.1</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粮情检测主机（含网络版软件）</w:t>
            </w:r>
          </w:p>
        </w:tc>
        <w:tc>
          <w:tcPr>
            <w:tcW w:w="52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测控主机内含工控机、网络版软件装在工控机内，可实现局域网或互联网内任何计算机或手机等均可实时测温，实现仓房现场测控分机与上位机之间的数据传输与交换，具有有线和无线、光线、物联网等多种通讯方式。测控主机可对分机电源进行集中管理，检测时自动给分机加电，检测完毕自动掉电。  测控主机使粮情检测系统同计算机及库内局域网相互隔离，防止外部干扰和雷击损坏计算机及网络。 主机具有显示通讯状况，显示工作时电压电流功能，通讯模式：广播模式即主机之间“一对所有”的通讯模式。</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套</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1</w:t>
            </w:r>
          </w:p>
        </w:tc>
        <w:tc>
          <w:tcPr>
            <w:tcW w:w="21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tc>
        <w:tc>
          <w:tcPr>
            <w:tcW w:w="2232"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tc>
      </w:tr>
      <w:tr>
        <w:tblPrEx>
          <w:tblCellMar>
            <w:top w:w="0" w:type="dxa"/>
            <w:left w:w="0" w:type="dxa"/>
            <w:bottom w:w="0" w:type="dxa"/>
            <w:right w:w="0" w:type="dxa"/>
          </w:tblCellMar>
        </w:tblPrEx>
        <w:trPr>
          <w:trHeight w:val="3405" w:hRule="atLeast"/>
        </w:trPr>
        <w:tc>
          <w:tcPr>
            <w:tcW w:w="97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r>
              <w:rPr>
                <w:rFonts w:hint="eastAsia"/>
              </w:rPr>
              <w:t>4.2</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测控分机</w:t>
            </w:r>
          </w:p>
        </w:tc>
        <w:tc>
          <w:tcPr>
            <w:tcW w:w="52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测控分机接收测控主机指令，通过现场传感器采集粮情数据及粮情控制设备状态，并将所采集数据返回给上位机，完成对粮情控制设备的控制。测控分机具有自动检测传感器ID码的功能，自动对点位数量、位置进行检测、存储。测控分机应预留测水、测虫、测气、自动通风接口。分机应采用低功耗设计，能长时加电工作。</w:t>
            </w:r>
            <w:r>
              <w:rPr>
                <w:rFonts w:hint="eastAsia"/>
              </w:rPr>
              <w:br w:type="textWrapping"/>
            </w:r>
            <w:r>
              <w:rPr>
                <w:rFonts w:hint="eastAsia"/>
              </w:rPr>
              <w:t>分机采用透明外壳设计，可随时观察分机工作状况分机具有自适应功能，在应用多年线路老化时，可通过软件对分机进行初始化，使其根据线路老化情况调整自身参数，始终保持最佳效果</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只</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9</w:t>
            </w:r>
          </w:p>
        </w:tc>
        <w:tc>
          <w:tcPr>
            <w:tcW w:w="21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tc>
        <w:tc>
          <w:tcPr>
            <w:tcW w:w="2232"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tc>
      </w:tr>
      <w:tr>
        <w:tblPrEx>
          <w:tblCellMar>
            <w:top w:w="0" w:type="dxa"/>
            <w:left w:w="0" w:type="dxa"/>
            <w:bottom w:w="0" w:type="dxa"/>
            <w:right w:w="0" w:type="dxa"/>
          </w:tblCellMar>
        </w:tblPrEx>
        <w:trPr>
          <w:trHeight w:val="803" w:hRule="atLeast"/>
        </w:trPr>
        <w:tc>
          <w:tcPr>
            <w:tcW w:w="97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r>
              <w:rPr>
                <w:rFonts w:hint="eastAsia"/>
              </w:rPr>
              <w:t>4.3</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无线系统</w:t>
            </w:r>
          </w:p>
        </w:tc>
        <w:tc>
          <w:tcPr>
            <w:tcW w:w="52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分机与主机采用无线通讯</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台</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10</w:t>
            </w:r>
          </w:p>
        </w:tc>
        <w:tc>
          <w:tcPr>
            <w:tcW w:w="21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tc>
        <w:tc>
          <w:tcPr>
            <w:tcW w:w="2232"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tc>
      </w:tr>
      <w:tr>
        <w:tblPrEx>
          <w:tblCellMar>
            <w:top w:w="0" w:type="dxa"/>
            <w:left w:w="0" w:type="dxa"/>
            <w:bottom w:w="0" w:type="dxa"/>
            <w:right w:w="0" w:type="dxa"/>
          </w:tblCellMar>
        </w:tblPrEx>
        <w:trPr>
          <w:trHeight w:val="803" w:hRule="atLeast"/>
        </w:trPr>
        <w:tc>
          <w:tcPr>
            <w:tcW w:w="97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r>
              <w:rPr>
                <w:rFonts w:hint="eastAsia"/>
              </w:rPr>
              <w:t>4.4</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不锈钢控制箱</w:t>
            </w:r>
          </w:p>
        </w:tc>
        <w:tc>
          <w:tcPr>
            <w:tcW w:w="52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含防雷、电源</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台</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9</w:t>
            </w:r>
          </w:p>
        </w:tc>
        <w:tc>
          <w:tcPr>
            <w:tcW w:w="21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tc>
        <w:tc>
          <w:tcPr>
            <w:tcW w:w="2232"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tc>
      </w:tr>
      <w:tr>
        <w:tblPrEx>
          <w:tblCellMar>
            <w:top w:w="0" w:type="dxa"/>
            <w:left w:w="0" w:type="dxa"/>
            <w:bottom w:w="0" w:type="dxa"/>
            <w:right w:w="0" w:type="dxa"/>
          </w:tblCellMar>
        </w:tblPrEx>
        <w:trPr>
          <w:trHeight w:val="4872" w:hRule="atLeast"/>
        </w:trPr>
        <w:tc>
          <w:tcPr>
            <w:tcW w:w="97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r>
              <w:rPr>
                <w:rFonts w:hint="eastAsia"/>
              </w:rPr>
              <w:t>4.5</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测温电缆</w:t>
            </w:r>
          </w:p>
        </w:tc>
        <w:tc>
          <w:tcPr>
            <w:tcW w:w="52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测温电缆总成（包括粮面下的测温电缆及粮面上的引线），所用的外绝缘和护套材料、内线芯绝缘和护套材料、连接部件、接插件，均采用100%原生料，不用再生材料。测温电缆要采用接插件连接，每根互相独立，用计算机或手持仪器能够改写地址码，以保证测温电缆可以互换。    测温电缆应符合抗拉、抗压、抗老化、抗腐蚀、耐低温的使用要求，测温电缆正常情况下使用寿命≥15年，平房仓测温电缆采用两线制，扁平、单点注塑、筒仓可换芯电缆芯采用内注可溶性电子胶保护，大大加强了防腐、防熏蒸能力</w:t>
            </w:r>
            <w:r>
              <w:rPr>
                <w:rFonts w:hint="eastAsia"/>
              </w:rPr>
              <w:br w:type="textWrapping"/>
            </w:r>
            <w:r>
              <w:rPr>
                <w:rFonts w:hint="eastAsia"/>
              </w:rPr>
              <w:t>平房仓采用一线总线式数字温度传感器。一致性好，寿命长，准确度高，精度高，重复性好。测量范围：-55℃ - +125℃；测量精度：≤±0.5℃；重复误差：≤±0.2℃。30米廒间每廒间42根。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根</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360</w:t>
            </w:r>
          </w:p>
        </w:tc>
        <w:tc>
          <w:tcPr>
            <w:tcW w:w="21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tc>
        <w:tc>
          <w:tcPr>
            <w:tcW w:w="2232"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tc>
      </w:tr>
      <w:tr>
        <w:tblPrEx>
          <w:tblCellMar>
            <w:top w:w="0" w:type="dxa"/>
            <w:left w:w="0" w:type="dxa"/>
            <w:bottom w:w="0" w:type="dxa"/>
            <w:right w:w="0" w:type="dxa"/>
          </w:tblCellMar>
        </w:tblPrEx>
        <w:trPr>
          <w:trHeight w:val="1392" w:hRule="atLeast"/>
        </w:trPr>
        <w:tc>
          <w:tcPr>
            <w:tcW w:w="97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r>
              <w:rPr>
                <w:rFonts w:hint="eastAsia"/>
              </w:rPr>
              <w:t>4.6</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仓内温湿度传感器</w:t>
            </w:r>
          </w:p>
        </w:tc>
        <w:tc>
          <w:tcPr>
            <w:tcW w:w="52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仓温、仓湿传感器采用温、湿度一体化的形式，可直接同数字电缆连接，用于测量仓房内的环境温、湿度值。具有较强的防尘、防腐蚀和抗熏蒸能力。环境湿度：1%RH～99%RH(包括凝露)；</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只</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9</w:t>
            </w:r>
          </w:p>
        </w:tc>
        <w:tc>
          <w:tcPr>
            <w:tcW w:w="21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tc>
        <w:tc>
          <w:tcPr>
            <w:tcW w:w="2232"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tc>
      </w:tr>
      <w:tr>
        <w:tblPrEx>
          <w:tblCellMar>
            <w:top w:w="0" w:type="dxa"/>
            <w:left w:w="0" w:type="dxa"/>
            <w:bottom w:w="0" w:type="dxa"/>
            <w:right w:w="0" w:type="dxa"/>
          </w:tblCellMar>
        </w:tblPrEx>
        <w:trPr>
          <w:trHeight w:val="1392" w:hRule="atLeast"/>
        </w:trPr>
        <w:tc>
          <w:tcPr>
            <w:tcW w:w="97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r>
              <w:rPr>
                <w:rFonts w:hint="eastAsia"/>
              </w:rPr>
              <w:t>4.7</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大气温湿度传感器</w:t>
            </w:r>
          </w:p>
        </w:tc>
        <w:tc>
          <w:tcPr>
            <w:tcW w:w="52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仓温、仓湿传感器采用温、湿度一体化的形式，可直接同数字电缆连接，用于测量仓房内的环境温、湿度值。具有较强的防尘、防腐蚀和抗熏蒸能力。环境湿度：1%RH～99%RH(包括凝露)；外罩百叶箱</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套</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1</w:t>
            </w:r>
          </w:p>
        </w:tc>
        <w:tc>
          <w:tcPr>
            <w:tcW w:w="21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tc>
        <w:tc>
          <w:tcPr>
            <w:tcW w:w="2232"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tc>
      </w:tr>
      <w:tr>
        <w:tblPrEx>
          <w:tblCellMar>
            <w:top w:w="0" w:type="dxa"/>
            <w:left w:w="0" w:type="dxa"/>
            <w:bottom w:w="0" w:type="dxa"/>
            <w:right w:w="0" w:type="dxa"/>
          </w:tblCellMar>
        </w:tblPrEx>
        <w:trPr>
          <w:trHeight w:val="803" w:hRule="atLeast"/>
        </w:trPr>
        <w:tc>
          <w:tcPr>
            <w:tcW w:w="97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r>
              <w:rPr>
                <w:rFonts w:hint="eastAsia"/>
              </w:rPr>
              <w:t>4.8</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两芯互连线</w:t>
            </w:r>
          </w:p>
        </w:tc>
        <w:tc>
          <w:tcPr>
            <w:tcW w:w="52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2 @ 0.75mm2 (22 AWG), 防紫外线PVC 黑色外壳。工作温度范围： -40℃ +80℃。  直径为5mm</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米</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900</w:t>
            </w:r>
          </w:p>
        </w:tc>
        <w:tc>
          <w:tcPr>
            <w:tcW w:w="21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tc>
        <w:tc>
          <w:tcPr>
            <w:tcW w:w="2232"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tc>
      </w:tr>
      <w:tr>
        <w:tblPrEx>
          <w:tblCellMar>
            <w:top w:w="0" w:type="dxa"/>
            <w:left w:w="0" w:type="dxa"/>
            <w:bottom w:w="0" w:type="dxa"/>
            <w:right w:w="0" w:type="dxa"/>
          </w:tblCellMar>
        </w:tblPrEx>
        <w:trPr>
          <w:trHeight w:val="803" w:hRule="atLeast"/>
        </w:trPr>
        <w:tc>
          <w:tcPr>
            <w:tcW w:w="97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r>
              <w:rPr>
                <w:rFonts w:hint="eastAsia"/>
              </w:rPr>
              <w:t>4.9</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连接头</w:t>
            </w:r>
          </w:p>
        </w:tc>
        <w:tc>
          <w:tcPr>
            <w:tcW w:w="52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1. 防水两芯数字式温度连接插头。</w:t>
            </w:r>
            <w:r>
              <w:rPr>
                <w:rFonts w:hint="eastAsia"/>
              </w:rPr>
              <w:br w:type="textWrapping"/>
            </w:r>
            <w:r>
              <w:rPr>
                <w:rFonts w:hint="eastAsia"/>
              </w:rPr>
              <w:t>2. 防水两芯数字式温度连接插座</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个</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75</w:t>
            </w:r>
          </w:p>
        </w:tc>
        <w:tc>
          <w:tcPr>
            <w:tcW w:w="21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tc>
        <w:tc>
          <w:tcPr>
            <w:tcW w:w="2232"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tc>
      </w:tr>
      <w:tr>
        <w:tblPrEx>
          <w:tblCellMar>
            <w:top w:w="0" w:type="dxa"/>
            <w:left w:w="0" w:type="dxa"/>
            <w:bottom w:w="0" w:type="dxa"/>
            <w:right w:w="0" w:type="dxa"/>
          </w:tblCellMar>
        </w:tblPrEx>
        <w:trPr>
          <w:trHeight w:val="803"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 xml:space="preserve">4.10 </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辅材</w:t>
            </w:r>
          </w:p>
        </w:tc>
        <w:tc>
          <w:tcPr>
            <w:tcW w:w="52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配套固定管材、固体胶棒等</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项</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1</w:t>
            </w:r>
          </w:p>
        </w:tc>
        <w:tc>
          <w:tcPr>
            <w:tcW w:w="21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tc>
        <w:tc>
          <w:tcPr>
            <w:tcW w:w="2232"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tc>
      </w:tr>
      <w:tr>
        <w:tblPrEx>
          <w:tblCellMar>
            <w:top w:w="0" w:type="dxa"/>
            <w:left w:w="0" w:type="dxa"/>
            <w:bottom w:w="0" w:type="dxa"/>
            <w:right w:w="0" w:type="dxa"/>
          </w:tblCellMar>
        </w:tblPrEx>
        <w:trPr>
          <w:trHeight w:val="803"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 xml:space="preserve">4.11 </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小计</w:t>
            </w:r>
          </w:p>
        </w:tc>
        <w:tc>
          <w:tcPr>
            <w:tcW w:w="52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tc>
        <w:tc>
          <w:tcPr>
            <w:tcW w:w="21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tc>
        <w:tc>
          <w:tcPr>
            <w:tcW w:w="2232"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tc>
      </w:tr>
      <w:tr>
        <w:tblPrEx>
          <w:tblCellMar>
            <w:top w:w="0" w:type="dxa"/>
            <w:left w:w="0" w:type="dxa"/>
            <w:bottom w:w="0" w:type="dxa"/>
            <w:right w:w="0" w:type="dxa"/>
          </w:tblCellMar>
        </w:tblPrEx>
        <w:trPr>
          <w:trHeight w:val="803" w:hRule="atLeast"/>
        </w:trPr>
        <w:tc>
          <w:tcPr>
            <w:tcW w:w="7681"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南库区合计</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tc>
        <w:tc>
          <w:tcPr>
            <w:tcW w:w="2232"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tc>
      </w:tr>
      <w:tr>
        <w:tblPrEx>
          <w:tblCellMar>
            <w:top w:w="0" w:type="dxa"/>
            <w:left w:w="0" w:type="dxa"/>
            <w:bottom w:w="0" w:type="dxa"/>
            <w:right w:w="0" w:type="dxa"/>
          </w:tblCellMar>
        </w:tblPrEx>
        <w:trPr>
          <w:trHeight w:val="803" w:hRule="atLeast"/>
        </w:trPr>
        <w:tc>
          <w:tcPr>
            <w:tcW w:w="13945" w:type="dxa"/>
            <w:gridSpan w:val="7"/>
            <w:tcBorders>
              <w:top w:val="nil"/>
              <w:left w:val="nil"/>
              <w:bottom w:val="nil"/>
              <w:right w:val="nil"/>
            </w:tcBorders>
            <w:shd w:val="clear" w:color="auto" w:fill="FFFF00"/>
            <w:tcMar>
              <w:top w:w="12" w:type="dxa"/>
              <w:left w:w="12" w:type="dxa"/>
              <w:right w:w="12" w:type="dxa"/>
            </w:tcMar>
            <w:vAlign w:val="center"/>
          </w:tcPr>
          <w:p>
            <w:pPr>
              <w:jc w:val="center"/>
            </w:pPr>
            <w:r>
              <w:rPr>
                <w:rFonts w:hint="eastAsia"/>
              </w:rPr>
              <w:t>设备清单（北库区）</w:t>
            </w:r>
          </w:p>
        </w:tc>
      </w:tr>
      <w:tr>
        <w:tblPrEx>
          <w:tblCellMar>
            <w:top w:w="0" w:type="dxa"/>
            <w:left w:w="0" w:type="dxa"/>
            <w:bottom w:w="0" w:type="dxa"/>
            <w:right w:w="0" w:type="dxa"/>
          </w:tblCellMar>
        </w:tblPrEx>
        <w:trPr>
          <w:trHeight w:val="540" w:hRule="atLeast"/>
        </w:trPr>
        <w:tc>
          <w:tcPr>
            <w:tcW w:w="97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序号</w:t>
            </w:r>
          </w:p>
        </w:tc>
        <w:tc>
          <w:tcPr>
            <w:tcW w:w="145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项目名称</w:t>
            </w:r>
          </w:p>
        </w:tc>
        <w:tc>
          <w:tcPr>
            <w:tcW w:w="5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项目特征描述</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 xml:space="preserve">计量 </w:t>
            </w:r>
            <w:r>
              <w:rPr>
                <w:rFonts w:hint="eastAsia"/>
              </w:rPr>
              <w:br w:type="textWrapping"/>
            </w:r>
            <w:r>
              <w:rPr>
                <w:rFonts w:hint="eastAsia"/>
              </w:rPr>
              <w:t>单位</w:t>
            </w:r>
          </w:p>
        </w:tc>
        <w:tc>
          <w:tcPr>
            <w:tcW w:w="104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工程量</w:t>
            </w:r>
          </w:p>
        </w:tc>
        <w:tc>
          <w:tcPr>
            <w:tcW w:w="438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金额（元）</w:t>
            </w:r>
          </w:p>
        </w:tc>
      </w:tr>
      <w:tr>
        <w:tblPrEx>
          <w:tblCellMar>
            <w:top w:w="0" w:type="dxa"/>
            <w:left w:w="0" w:type="dxa"/>
            <w:bottom w:w="0" w:type="dxa"/>
            <w:right w:w="0" w:type="dxa"/>
          </w:tblCellMar>
        </w:tblPrEx>
        <w:trPr>
          <w:trHeight w:val="540"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tc>
        <w:tc>
          <w:tcPr>
            <w:tcW w:w="14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tc>
        <w:tc>
          <w:tcPr>
            <w:tcW w:w="5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tc>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tc>
        <w:tc>
          <w:tcPr>
            <w:tcW w:w="214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r>
              <w:rPr>
                <w:rFonts w:hint="eastAsia"/>
              </w:rPr>
              <w:t>综合单价</w:t>
            </w:r>
          </w:p>
        </w:tc>
        <w:tc>
          <w:tcPr>
            <w:tcW w:w="2232"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r>
              <w:rPr>
                <w:rFonts w:hint="eastAsia"/>
              </w:rPr>
              <w:t>合价</w:t>
            </w:r>
          </w:p>
        </w:tc>
      </w:tr>
      <w:tr>
        <w:tblPrEx>
          <w:tblCellMar>
            <w:top w:w="0" w:type="dxa"/>
            <w:left w:w="0" w:type="dxa"/>
            <w:bottom w:w="0" w:type="dxa"/>
            <w:right w:w="0" w:type="dxa"/>
          </w:tblCellMar>
        </w:tblPrEx>
        <w:trPr>
          <w:trHeight w:val="803" w:hRule="atLeast"/>
        </w:trPr>
        <w:tc>
          <w:tcPr>
            <w:tcW w:w="13945" w:type="dxa"/>
            <w:gridSpan w:val="7"/>
            <w:tcBorders>
              <w:top w:val="single" w:color="000000" w:sz="4" w:space="0"/>
              <w:left w:val="single" w:color="000000" w:sz="4" w:space="0"/>
              <w:bottom w:val="single" w:color="000000" w:sz="4" w:space="0"/>
              <w:right w:val="nil"/>
            </w:tcBorders>
            <w:shd w:val="clear" w:color="auto" w:fill="BFBFBF"/>
            <w:tcMar>
              <w:top w:w="12" w:type="dxa"/>
              <w:left w:w="12" w:type="dxa"/>
              <w:right w:w="12" w:type="dxa"/>
            </w:tcMar>
            <w:vAlign w:val="center"/>
          </w:tcPr>
          <w:p>
            <w:r>
              <w:rPr>
                <w:rFonts w:hint="eastAsia"/>
              </w:rPr>
              <w:t>一、粮面表层控温系统（北库）</w:t>
            </w:r>
          </w:p>
        </w:tc>
      </w:tr>
      <w:tr>
        <w:tblPrEx>
          <w:tblCellMar>
            <w:top w:w="0" w:type="dxa"/>
            <w:left w:w="0" w:type="dxa"/>
            <w:bottom w:w="0" w:type="dxa"/>
            <w:right w:w="0" w:type="dxa"/>
          </w:tblCellMar>
        </w:tblPrEx>
        <w:trPr>
          <w:trHeight w:val="5568"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1.1</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平房仓风冷粮面低温专用机组（含室内外机组）</w:t>
            </w:r>
          </w:p>
        </w:tc>
        <w:tc>
          <w:tcPr>
            <w:tcW w:w="52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1.制冷量≥10kw</w:t>
            </w:r>
            <w:r>
              <w:rPr>
                <w:rFonts w:hint="eastAsia"/>
              </w:rPr>
              <w:br w:type="textWrapping"/>
            </w:r>
            <w:r>
              <w:rPr>
                <w:rFonts w:hint="eastAsia"/>
              </w:rPr>
              <w:t>2.送风量≥3600m3/h</w:t>
            </w:r>
            <w:r>
              <w:rPr>
                <w:rFonts w:hint="eastAsia"/>
              </w:rPr>
              <w:br w:type="textWrapping"/>
            </w:r>
            <w:r>
              <w:rPr>
                <w:rFonts w:hint="eastAsia"/>
              </w:rPr>
              <w:t>3.制冷消耗功率≤5900W</w:t>
            </w:r>
            <w:r>
              <w:rPr>
                <w:rFonts w:hint="eastAsia"/>
              </w:rPr>
              <w:br w:type="textWrapping"/>
            </w:r>
            <w:r>
              <w:rPr>
                <w:rFonts w:hint="eastAsia"/>
              </w:rPr>
              <w:t>4.送风距离:≥24m;制冷工况(回风温度15℃,相对湿度60%);</w:t>
            </w:r>
            <w:r>
              <w:rPr>
                <w:rFonts w:hint="eastAsia"/>
              </w:rPr>
              <w:br w:type="textWrapping"/>
            </w:r>
            <w:r>
              <w:rPr>
                <w:rFonts w:hint="eastAsia"/>
              </w:rPr>
              <w:t>5.最大运行功率:5.82kw;</w:t>
            </w:r>
            <w:r>
              <w:rPr>
                <w:rFonts w:hint="eastAsia"/>
              </w:rPr>
              <w:br w:type="textWrapping"/>
            </w:r>
            <w:r>
              <w:rPr>
                <w:rFonts w:hint="eastAsia"/>
              </w:rPr>
              <w:t>6.出风温度范围:8-15℃;</w:t>
            </w:r>
            <w:r>
              <w:rPr>
                <w:rFonts w:hint="eastAsia"/>
              </w:rPr>
              <w:br w:type="textWrapping"/>
            </w:r>
            <w:r>
              <w:rPr>
                <w:rFonts w:hint="eastAsia"/>
              </w:rPr>
              <w:t xml:space="preserve">7.电源:380V; </w:t>
            </w:r>
            <w:r>
              <w:rPr>
                <w:rFonts w:hint="eastAsia"/>
              </w:rPr>
              <w:br w:type="textWrapping"/>
            </w:r>
            <w:r>
              <w:rPr>
                <w:rFonts w:hint="eastAsia"/>
              </w:rPr>
              <w:t>8.室内机组端部设置3只360度球形射流喷口;具有防磷化氢气体腐蚀功能和防尘、防冷凝水功能; 具有保水降温功能,避免空间水分损失过大影响表层粮食质量;</w:t>
            </w:r>
            <w:r>
              <w:rPr>
                <w:rFonts w:hint="eastAsia"/>
              </w:rPr>
              <w:br w:type="textWrapping"/>
            </w:r>
            <w:r>
              <w:rPr>
                <w:rFonts w:hint="eastAsia"/>
              </w:rPr>
              <w:t xml:space="preserve">9.室外机组具有定温启停(根据仓温变化自动启停机组)、定时启停(可任意设置时间启停机组)功能; 具有高低压保护功能(保护机组免受粮库夏季白夜间电压变化过大损坏机组);具有与智能粮库联网的 RS485，通信接口和免费协议; </w:t>
            </w:r>
            <w:r>
              <w:rPr>
                <w:rFonts w:hint="eastAsia"/>
              </w:rPr>
              <w:br w:type="textWrapping"/>
            </w:r>
            <w:r>
              <w:rPr>
                <w:rFonts w:hint="eastAsia"/>
              </w:rPr>
              <w:t>10.机组框架及面板采用304不锈钢外壳;机组操作盒采用防水型操作盒;</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组</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16</w:t>
            </w:r>
          </w:p>
        </w:tc>
        <w:tc>
          <w:tcPr>
            <w:tcW w:w="21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tc>
        <w:tc>
          <w:tcPr>
            <w:tcW w:w="2232"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tc>
      </w:tr>
      <w:tr>
        <w:tblPrEx>
          <w:tblCellMar>
            <w:top w:w="0" w:type="dxa"/>
            <w:left w:w="0" w:type="dxa"/>
            <w:bottom w:w="0" w:type="dxa"/>
            <w:right w:w="0" w:type="dxa"/>
          </w:tblCellMar>
        </w:tblPrEx>
        <w:trPr>
          <w:trHeight w:val="803"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1.2</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小计</w:t>
            </w:r>
          </w:p>
        </w:tc>
        <w:tc>
          <w:tcPr>
            <w:tcW w:w="52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tc>
        <w:tc>
          <w:tcPr>
            <w:tcW w:w="21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tc>
        <w:tc>
          <w:tcPr>
            <w:tcW w:w="2232"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tc>
      </w:tr>
      <w:tr>
        <w:tblPrEx>
          <w:tblCellMar>
            <w:top w:w="0" w:type="dxa"/>
            <w:left w:w="0" w:type="dxa"/>
            <w:bottom w:w="0" w:type="dxa"/>
            <w:right w:w="0" w:type="dxa"/>
          </w:tblCellMar>
        </w:tblPrEx>
        <w:trPr>
          <w:trHeight w:val="803" w:hRule="atLeast"/>
        </w:trPr>
        <w:tc>
          <w:tcPr>
            <w:tcW w:w="13945" w:type="dxa"/>
            <w:gridSpan w:val="7"/>
            <w:tcBorders>
              <w:top w:val="single" w:color="000000" w:sz="4" w:space="0"/>
              <w:left w:val="single" w:color="000000" w:sz="4" w:space="0"/>
              <w:bottom w:val="single" w:color="000000" w:sz="4" w:space="0"/>
              <w:right w:val="nil"/>
            </w:tcBorders>
            <w:shd w:val="clear" w:color="auto" w:fill="BFBFBF"/>
            <w:tcMar>
              <w:top w:w="12" w:type="dxa"/>
              <w:left w:w="12" w:type="dxa"/>
              <w:right w:w="12" w:type="dxa"/>
            </w:tcMar>
            <w:vAlign w:val="center"/>
          </w:tcPr>
          <w:p>
            <w:r>
              <w:rPr>
                <w:rFonts w:hint="eastAsia"/>
              </w:rPr>
              <w:t>二、整仓降温系统（北库）</w:t>
            </w:r>
          </w:p>
        </w:tc>
      </w:tr>
      <w:tr>
        <w:tblPrEx>
          <w:tblCellMar>
            <w:top w:w="0" w:type="dxa"/>
            <w:left w:w="0" w:type="dxa"/>
            <w:bottom w:w="0" w:type="dxa"/>
            <w:right w:w="0" w:type="dxa"/>
          </w:tblCellMar>
        </w:tblPrEx>
        <w:trPr>
          <w:trHeight w:val="1740"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2.1</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移动式水冷谷物冷却机</w:t>
            </w:r>
          </w:p>
        </w:tc>
        <w:tc>
          <w:tcPr>
            <w:tcW w:w="52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额定制冷量Q≥85KW，</w:t>
            </w:r>
            <w:r>
              <w:rPr>
                <w:rFonts w:hint="eastAsia"/>
              </w:rPr>
              <w:br w:type="textWrapping"/>
            </w:r>
            <w:r>
              <w:rPr>
                <w:rFonts w:hint="eastAsia"/>
              </w:rPr>
              <w:t>整机总功率≤27.5KW，</w:t>
            </w:r>
            <w:r>
              <w:rPr>
                <w:rFonts w:hint="eastAsia"/>
              </w:rPr>
              <w:br w:type="textWrapping"/>
            </w:r>
            <w:r>
              <w:rPr>
                <w:rFonts w:hint="eastAsia"/>
              </w:rPr>
              <w:t>额定风量5500m³/h。</w:t>
            </w:r>
            <w:r>
              <w:rPr>
                <w:rFonts w:hint="eastAsia"/>
              </w:rPr>
              <w:br w:type="textWrapping"/>
            </w:r>
            <w:r>
              <w:rPr>
                <w:rFonts w:hint="eastAsia"/>
              </w:rPr>
              <w:t>回风+定风量运行。配套送风、回风保温软管、风口接头及支架。</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台</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2</w:t>
            </w:r>
          </w:p>
        </w:tc>
        <w:tc>
          <w:tcPr>
            <w:tcW w:w="21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tc>
        <w:tc>
          <w:tcPr>
            <w:tcW w:w="2232"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tc>
      </w:tr>
      <w:tr>
        <w:tblPrEx>
          <w:tblCellMar>
            <w:top w:w="0" w:type="dxa"/>
            <w:left w:w="0" w:type="dxa"/>
            <w:bottom w:w="0" w:type="dxa"/>
            <w:right w:w="0" w:type="dxa"/>
          </w:tblCellMar>
        </w:tblPrEx>
        <w:trPr>
          <w:trHeight w:val="1257" w:hRule="atLeast"/>
        </w:trPr>
        <w:tc>
          <w:tcPr>
            <w:tcW w:w="97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r>
              <w:rPr>
                <w:rFonts w:hint="eastAsia"/>
              </w:rPr>
              <w:t>2.2</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移动式冷却塔</w:t>
            </w:r>
          </w:p>
        </w:tc>
        <w:tc>
          <w:tcPr>
            <w:tcW w:w="52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循环水量L=50m3/h，装机功率7KW。</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台</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2</w:t>
            </w:r>
          </w:p>
        </w:tc>
        <w:tc>
          <w:tcPr>
            <w:tcW w:w="21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tc>
        <w:tc>
          <w:tcPr>
            <w:tcW w:w="2232"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tc>
      </w:tr>
      <w:tr>
        <w:tblPrEx>
          <w:tblCellMar>
            <w:top w:w="0" w:type="dxa"/>
            <w:left w:w="0" w:type="dxa"/>
            <w:bottom w:w="0" w:type="dxa"/>
            <w:right w:w="0" w:type="dxa"/>
          </w:tblCellMar>
        </w:tblPrEx>
        <w:trPr>
          <w:trHeight w:val="1148"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2.3</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仓外保温回风道</w:t>
            </w:r>
          </w:p>
        </w:tc>
        <w:tc>
          <w:tcPr>
            <w:tcW w:w="52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ascii="宋体" w:hAnsi="宋体" w:cs="宋体"/>
                <w:color w:val="000000"/>
                <w:kern w:val="0"/>
                <w:sz w:val="24"/>
              </w:rPr>
              <w:t>仓外保温回风道</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根</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16</w:t>
            </w:r>
          </w:p>
        </w:tc>
        <w:tc>
          <w:tcPr>
            <w:tcW w:w="21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tc>
        <w:tc>
          <w:tcPr>
            <w:tcW w:w="2232"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tc>
      </w:tr>
      <w:tr>
        <w:tblPrEx>
          <w:tblCellMar>
            <w:top w:w="0" w:type="dxa"/>
            <w:left w:w="0" w:type="dxa"/>
            <w:bottom w:w="0" w:type="dxa"/>
            <w:right w:w="0" w:type="dxa"/>
          </w:tblCellMar>
        </w:tblPrEx>
        <w:trPr>
          <w:trHeight w:val="803" w:hRule="atLeast"/>
        </w:trPr>
        <w:tc>
          <w:tcPr>
            <w:tcW w:w="97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r>
              <w:rPr>
                <w:rFonts w:hint="eastAsia"/>
              </w:rPr>
              <w:t>2.4</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小计</w:t>
            </w:r>
          </w:p>
        </w:tc>
        <w:tc>
          <w:tcPr>
            <w:tcW w:w="52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tc>
        <w:tc>
          <w:tcPr>
            <w:tcW w:w="21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tc>
        <w:tc>
          <w:tcPr>
            <w:tcW w:w="2232"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tc>
      </w:tr>
      <w:tr>
        <w:tblPrEx>
          <w:tblCellMar>
            <w:top w:w="0" w:type="dxa"/>
            <w:left w:w="0" w:type="dxa"/>
            <w:bottom w:w="0" w:type="dxa"/>
            <w:right w:w="0" w:type="dxa"/>
          </w:tblCellMar>
        </w:tblPrEx>
        <w:trPr>
          <w:trHeight w:val="803" w:hRule="atLeast"/>
        </w:trPr>
        <w:tc>
          <w:tcPr>
            <w:tcW w:w="13945" w:type="dxa"/>
            <w:gridSpan w:val="7"/>
            <w:tcBorders>
              <w:top w:val="single" w:color="000000" w:sz="4" w:space="0"/>
              <w:left w:val="single" w:color="000000" w:sz="4" w:space="0"/>
              <w:bottom w:val="single" w:color="000000" w:sz="4" w:space="0"/>
              <w:right w:val="nil"/>
            </w:tcBorders>
            <w:shd w:val="clear" w:color="auto" w:fill="BFBFBF"/>
            <w:tcMar>
              <w:top w:w="12" w:type="dxa"/>
              <w:left w:w="12" w:type="dxa"/>
              <w:right w:w="12" w:type="dxa"/>
            </w:tcMar>
            <w:vAlign w:val="center"/>
          </w:tcPr>
          <w:p>
            <w:r>
              <w:rPr>
                <w:rFonts w:hint="eastAsia"/>
              </w:rPr>
              <w:t>三、通风熏蒸系统（北库）</w:t>
            </w:r>
          </w:p>
        </w:tc>
      </w:tr>
      <w:tr>
        <w:tblPrEx>
          <w:tblCellMar>
            <w:top w:w="0" w:type="dxa"/>
            <w:left w:w="0" w:type="dxa"/>
            <w:bottom w:w="0" w:type="dxa"/>
            <w:right w:w="0" w:type="dxa"/>
          </w:tblCellMar>
        </w:tblPrEx>
        <w:trPr>
          <w:trHeight w:val="1392"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3.1</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不锈钢电动保温窗</w:t>
            </w:r>
          </w:p>
        </w:tc>
        <w:tc>
          <w:tcPr>
            <w:tcW w:w="52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铝镁合金外框，面板外侧采用0.8mm厚304不锈钢，面板内侧采用0.6mm厚上海宝钢产热镀锌基板（颜色白灰），1540-2不锈钢合页，夹芯材料为聚氨酯一次性发泡工艺。含24V电机，尺寸1500*1200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台</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64</w:t>
            </w:r>
          </w:p>
        </w:tc>
        <w:tc>
          <w:tcPr>
            <w:tcW w:w="21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tc>
        <w:tc>
          <w:tcPr>
            <w:tcW w:w="2232"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tc>
      </w:tr>
      <w:tr>
        <w:tblPrEx>
          <w:tblCellMar>
            <w:top w:w="0" w:type="dxa"/>
            <w:left w:w="0" w:type="dxa"/>
            <w:bottom w:w="0" w:type="dxa"/>
            <w:right w:w="0" w:type="dxa"/>
          </w:tblCellMar>
        </w:tblPrEx>
        <w:trPr>
          <w:trHeight w:val="1392"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3.2</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不锈钢电动保温风机窗</w:t>
            </w:r>
          </w:p>
        </w:tc>
        <w:tc>
          <w:tcPr>
            <w:tcW w:w="52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铝镁合金外框，面板外侧采用0.8mm厚304不锈钢，面板内侧采用0.6mm厚上海宝钢产热镀锌基板（颜色白灰），1540-2不锈钢合页，夹芯材料为聚氨酯一次性发泡工艺。含24V电机，尺寸960m*960m</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台</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16</w:t>
            </w:r>
          </w:p>
        </w:tc>
        <w:tc>
          <w:tcPr>
            <w:tcW w:w="21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tc>
        <w:tc>
          <w:tcPr>
            <w:tcW w:w="2232"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tc>
      </w:tr>
      <w:tr>
        <w:tblPrEx>
          <w:tblCellMar>
            <w:top w:w="0" w:type="dxa"/>
            <w:left w:w="0" w:type="dxa"/>
            <w:bottom w:w="0" w:type="dxa"/>
            <w:right w:w="0" w:type="dxa"/>
          </w:tblCellMar>
        </w:tblPrEx>
        <w:trPr>
          <w:trHeight w:val="803"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3.3</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轴流风机封堵</w:t>
            </w:r>
          </w:p>
        </w:tc>
        <w:tc>
          <w:tcPr>
            <w:tcW w:w="52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镀锌钢板</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膛</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16</w:t>
            </w:r>
          </w:p>
        </w:tc>
        <w:tc>
          <w:tcPr>
            <w:tcW w:w="21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tc>
        <w:tc>
          <w:tcPr>
            <w:tcW w:w="2232"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tc>
      </w:tr>
      <w:tr>
        <w:tblPrEx>
          <w:tblCellMar>
            <w:top w:w="0" w:type="dxa"/>
            <w:left w:w="0" w:type="dxa"/>
            <w:bottom w:w="0" w:type="dxa"/>
            <w:right w:w="0" w:type="dxa"/>
          </w:tblCellMar>
        </w:tblPrEx>
        <w:trPr>
          <w:trHeight w:val="803"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3.4</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移动通风机</w:t>
            </w:r>
          </w:p>
        </w:tc>
        <w:tc>
          <w:tcPr>
            <w:tcW w:w="52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L=15370m3/h H=1291Pa，r=1800rpm,N=7.5Kw，带移动小车，通风软连接布袋、12米电源线</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台</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4</w:t>
            </w:r>
          </w:p>
        </w:tc>
        <w:tc>
          <w:tcPr>
            <w:tcW w:w="21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tc>
        <w:tc>
          <w:tcPr>
            <w:tcW w:w="2232"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tc>
      </w:tr>
      <w:tr>
        <w:tblPrEx>
          <w:tblCellMar>
            <w:top w:w="0" w:type="dxa"/>
            <w:left w:w="0" w:type="dxa"/>
            <w:bottom w:w="0" w:type="dxa"/>
            <w:right w:w="0" w:type="dxa"/>
          </w:tblCellMar>
        </w:tblPrEx>
        <w:trPr>
          <w:trHeight w:val="1044"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3.5</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气体取样装置</w:t>
            </w:r>
          </w:p>
        </w:tc>
        <w:tc>
          <w:tcPr>
            <w:tcW w:w="52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每套取样装置设置取样点：不少于5个；箱体护管、探头材质、取样订制阀门（6合1整体*2）：不锈钢；取样管：内径不小于3mm，壁厚≥1mm 聚乙烯 截面耐压不变形</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套</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8</w:t>
            </w:r>
          </w:p>
        </w:tc>
        <w:tc>
          <w:tcPr>
            <w:tcW w:w="21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tc>
        <w:tc>
          <w:tcPr>
            <w:tcW w:w="2232"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tc>
      </w:tr>
      <w:tr>
        <w:tblPrEx>
          <w:tblCellMar>
            <w:top w:w="0" w:type="dxa"/>
            <w:left w:w="0" w:type="dxa"/>
            <w:bottom w:w="0" w:type="dxa"/>
            <w:right w:w="0" w:type="dxa"/>
          </w:tblCellMar>
        </w:tblPrEx>
        <w:trPr>
          <w:trHeight w:val="803"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3.6</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小计</w:t>
            </w:r>
          </w:p>
        </w:tc>
        <w:tc>
          <w:tcPr>
            <w:tcW w:w="52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tc>
        <w:tc>
          <w:tcPr>
            <w:tcW w:w="21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tc>
        <w:tc>
          <w:tcPr>
            <w:tcW w:w="2232"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tc>
      </w:tr>
      <w:tr>
        <w:tblPrEx>
          <w:tblCellMar>
            <w:top w:w="0" w:type="dxa"/>
            <w:left w:w="0" w:type="dxa"/>
            <w:bottom w:w="0" w:type="dxa"/>
            <w:right w:w="0" w:type="dxa"/>
          </w:tblCellMar>
        </w:tblPrEx>
        <w:trPr>
          <w:trHeight w:val="803" w:hRule="atLeast"/>
        </w:trPr>
        <w:tc>
          <w:tcPr>
            <w:tcW w:w="13945" w:type="dxa"/>
            <w:gridSpan w:val="7"/>
            <w:tcBorders>
              <w:top w:val="single" w:color="000000" w:sz="4" w:space="0"/>
              <w:left w:val="single" w:color="000000" w:sz="4" w:space="0"/>
              <w:bottom w:val="single" w:color="000000" w:sz="4" w:space="0"/>
              <w:right w:val="nil"/>
            </w:tcBorders>
            <w:shd w:val="clear" w:color="auto" w:fill="BFBFBF"/>
            <w:tcMar>
              <w:top w:w="12" w:type="dxa"/>
              <w:left w:w="12" w:type="dxa"/>
              <w:right w:w="12" w:type="dxa"/>
            </w:tcMar>
            <w:vAlign w:val="center"/>
          </w:tcPr>
          <w:p>
            <w:r>
              <w:rPr>
                <w:rFonts w:hint="eastAsia"/>
              </w:rPr>
              <w:t>四、平房仓粮情检测系统（北库）</w:t>
            </w:r>
          </w:p>
        </w:tc>
      </w:tr>
      <w:tr>
        <w:tblPrEx>
          <w:tblCellMar>
            <w:top w:w="0" w:type="dxa"/>
            <w:left w:w="0" w:type="dxa"/>
            <w:bottom w:w="0" w:type="dxa"/>
            <w:right w:w="0" w:type="dxa"/>
          </w:tblCellMar>
        </w:tblPrEx>
        <w:trPr>
          <w:trHeight w:val="3132" w:hRule="atLeast"/>
        </w:trPr>
        <w:tc>
          <w:tcPr>
            <w:tcW w:w="97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r>
              <w:rPr>
                <w:rFonts w:hint="eastAsia"/>
              </w:rPr>
              <w:t>4.1</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粮情检测主机（含网络版软件）</w:t>
            </w:r>
          </w:p>
        </w:tc>
        <w:tc>
          <w:tcPr>
            <w:tcW w:w="52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测控主机内含工控机、网络版软件装在工控机内，可实现局域网或互联网内任何计算机或手机等均可实时测温，实现仓房现场测控分机与上位机之间的数据传输与交换，具有有线和无线、光线、物联网等多种通讯方式。测控主机可对分机电源进行集中管理，检测时自动给分机加电，检测完毕自动掉电。  测控主机使粮情检测系统同计算机及库内局域网相互隔离，防止外部干扰和雷击损坏计算机及网络。 主机具有显示通讯状况，显示工作时电压电流功能，通讯模式：广播模式即主机之间“一对所有”的通讯模式。</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套</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1</w:t>
            </w:r>
          </w:p>
        </w:tc>
        <w:tc>
          <w:tcPr>
            <w:tcW w:w="21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tc>
        <w:tc>
          <w:tcPr>
            <w:tcW w:w="2232"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tc>
      </w:tr>
      <w:tr>
        <w:tblPrEx>
          <w:tblCellMar>
            <w:top w:w="0" w:type="dxa"/>
            <w:left w:w="0" w:type="dxa"/>
            <w:bottom w:w="0" w:type="dxa"/>
            <w:right w:w="0" w:type="dxa"/>
          </w:tblCellMar>
        </w:tblPrEx>
        <w:trPr>
          <w:trHeight w:val="3480" w:hRule="atLeast"/>
        </w:trPr>
        <w:tc>
          <w:tcPr>
            <w:tcW w:w="97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r>
              <w:rPr>
                <w:rFonts w:hint="eastAsia"/>
              </w:rPr>
              <w:t>4.2</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测控分机</w:t>
            </w:r>
          </w:p>
        </w:tc>
        <w:tc>
          <w:tcPr>
            <w:tcW w:w="52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测控分机接收测控主机指令，通过现场传感器采集粮情数据及粮情控制设备状态，并将所采集数据返回给上位机，完成对粮情控制设备的控制。测控分机具有自动检测传感器ID码的功能，自动对点位数量、位置进行检测、存储。测控分机应预留测水、测虫、测气、自动通风接口。分机应采用低功耗设计，能长时加电工作。</w:t>
            </w:r>
            <w:r>
              <w:rPr>
                <w:rFonts w:hint="eastAsia"/>
              </w:rPr>
              <w:br w:type="textWrapping"/>
            </w:r>
            <w:r>
              <w:rPr>
                <w:rFonts w:hint="eastAsia"/>
              </w:rPr>
              <w:t>分机采用透明外壳设计，可随时观察分机工作状况分机具有自适应功能，在应用多年线路老化时，可通过软件对分机进行初始化，使其根据线路老化情况调整自身参数，始终保持最佳效果</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只</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8</w:t>
            </w:r>
          </w:p>
        </w:tc>
        <w:tc>
          <w:tcPr>
            <w:tcW w:w="21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tc>
        <w:tc>
          <w:tcPr>
            <w:tcW w:w="2232"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tc>
      </w:tr>
      <w:tr>
        <w:tblPrEx>
          <w:tblCellMar>
            <w:top w:w="0" w:type="dxa"/>
            <w:left w:w="0" w:type="dxa"/>
            <w:bottom w:w="0" w:type="dxa"/>
            <w:right w:w="0" w:type="dxa"/>
          </w:tblCellMar>
        </w:tblPrEx>
        <w:trPr>
          <w:trHeight w:val="803" w:hRule="atLeast"/>
        </w:trPr>
        <w:tc>
          <w:tcPr>
            <w:tcW w:w="97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r>
              <w:rPr>
                <w:rFonts w:hint="eastAsia"/>
              </w:rPr>
              <w:t>4.3</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无线系统</w:t>
            </w:r>
          </w:p>
        </w:tc>
        <w:tc>
          <w:tcPr>
            <w:tcW w:w="52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分机与主机采用无线通讯</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台</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9</w:t>
            </w:r>
          </w:p>
        </w:tc>
        <w:tc>
          <w:tcPr>
            <w:tcW w:w="21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tc>
        <w:tc>
          <w:tcPr>
            <w:tcW w:w="2232"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tc>
      </w:tr>
      <w:tr>
        <w:tblPrEx>
          <w:tblCellMar>
            <w:top w:w="0" w:type="dxa"/>
            <w:left w:w="0" w:type="dxa"/>
            <w:bottom w:w="0" w:type="dxa"/>
            <w:right w:w="0" w:type="dxa"/>
          </w:tblCellMar>
        </w:tblPrEx>
        <w:trPr>
          <w:trHeight w:val="803" w:hRule="atLeast"/>
        </w:trPr>
        <w:tc>
          <w:tcPr>
            <w:tcW w:w="97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r>
              <w:rPr>
                <w:rFonts w:hint="eastAsia"/>
              </w:rPr>
              <w:t>4.4</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不锈钢控制箱</w:t>
            </w:r>
          </w:p>
        </w:tc>
        <w:tc>
          <w:tcPr>
            <w:tcW w:w="52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含防雷、电源</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台</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8</w:t>
            </w:r>
          </w:p>
        </w:tc>
        <w:tc>
          <w:tcPr>
            <w:tcW w:w="21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tc>
        <w:tc>
          <w:tcPr>
            <w:tcW w:w="2232"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tc>
      </w:tr>
      <w:tr>
        <w:tblPrEx>
          <w:tblCellMar>
            <w:top w:w="0" w:type="dxa"/>
            <w:left w:w="0" w:type="dxa"/>
            <w:bottom w:w="0" w:type="dxa"/>
            <w:right w:w="0" w:type="dxa"/>
          </w:tblCellMar>
        </w:tblPrEx>
        <w:trPr>
          <w:trHeight w:val="4524" w:hRule="atLeast"/>
        </w:trPr>
        <w:tc>
          <w:tcPr>
            <w:tcW w:w="97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r>
              <w:rPr>
                <w:rFonts w:hint="eastAsia"/>
              </w:rPr>
              <w:t>4.5</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rPr>
            </w:pPr>
            <w:r>
              <w:rPr>
                <w:rFonts w:hint="eastAsia"/>
              </w:rPr>
              <w:t>测温电缆</w:t>
            </w:r>
          </w:p>
        </w:tc>
        <w:tc>
          <w:tcPr>
            <w:tcW w:w="52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rPr>
            </w:pPr>
            <w:r>
              <w:rPr>
                <w:rFonts w:hint="eastAsia"/>
              </w:rPr>
              <w:t>测温电缆总成（包括粮面下的测温电缆及粮面上的引线），所用的外绝缘和护套材料、内线芯绝缘和护套材料、连接部件、接插件，均采用100%原生料，不用再生材料。测温电缆要采用接插件连接，每根互相独立，用计算机或手持仪器能够改写地址码，以保证测温电缆可以互换。    测温电缆应符合抗拉、抗压、抗老化、抗腐蚀、耐低温的使用要求，测温电缆正常情况下使用寿命≥15年，平房仓测温电缆采用两线制，扁平、单点注塑、筒仓可换芯电缆芯采用内注可溶性电子胶保护，大大加强了防腐、防熏蒸能力</w:t>
            </w:r>
            <w:r>
              <w:rPr>
                <w:rFonts w:hint="eastAsia"/>
              </w:rPr>
              <w:br w:type="textWrapping"/>
            </w:r>
            <w:r>
              <w:rPr>
                <w:rFonts w:hint="eastAsia"/>
              </w:rPr>
              <w:t>平房仓采用一线总线式数字温度传感器。一致性好，寿命长，准确度高，精度高，重复性好。测量范围：-55℃ - +125℃；测量精度：≤±0.5℃；重复误差：≤±0.2℃。30米廒间每廒间42根。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根</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336</w:t>
            </w:r>
          </w:p>
        </w:tc>
        <w:tc>
          <w:tcPr>
            <w:tcW w:w="21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tc>
        <w:tc>
          <w:tcPr>
            <w:tcW w:w="2232"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tc>
      </w:tr>
      <w:tr>
        <w:tblPrEx>
          <w:tblCellMar>
            <w:top w:w="0" w:type="dxa"/>
            <w:left w:w="0" w:type="dxa"/>
            <w:bottom w:w="0" w:type="dxa"/>
            <w:right w:w="0" w:type="dxa"/>
          </w:tblCellMar>
        </w:tblPrEx>
        <w:trPr>
          <w:trHeight w:val="1392" w:hRule="atLeast"/>
        </w:trPr>
        <w:tc>
          <w:tcPr>
            <w:tcW w:w="97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r>
              <w:rPr>
                <w:rFonts w:hint="eastAsia"/>
              </w:rPr>
              <w:t>4.6</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仓内温湿度传感器</w:t>
            </w:r>
          </w:p>
        </w:tc>
        <w:tc>
          <w:tcPr>
            <w:tcW w:w="52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仓温、仓湿传感器采用温、湿度一体化的形式，可直接同数字电缆连接，用于测量仓房内的环境温、湿度值。具有较强的防尘、防腐蚀和抗熏蒸能力。环境湿度：1%RH～99%RH(包括凝露)；</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只</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8</w:t>
            </w:r>
          </w:p>
        </w:tc>
        <w:tc>
          <w:tcPr>
            <w:tcW w:w="21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tc>
        <w:tc>
          <w:tcPr>
            <w:tcW w:w="2232"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tc>
      </w:tr>
      <w:tr>
        <w:tblPrEx>
          <w:tblCellMar>
            <w:top w:w="0" w:type="dxa"/>
            <w:left w:w="0" w:type="dxa"/>
            <w:bottom w:w="0" w:type="dxa"/>
            <w:right w:w="0" w:type="dxa"/>
          </w:tblCellMar>
        </w:tblPrEx>
        <w:trPr>
          <w:trHeight w:val="1392" w:hRule="atLeast"/>
        </w:trPr>
        <w:tc>
          <w:tcPr>
            <w:tcW w:w="97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r>
              <w:rPr>
                <w:rFonts w:hint="eastAsia"/>
              </w:rPr>
              <w:t>4.7</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大气温湿度传感器</w:t>
            </w:r>
          </w:p>
        </w:tc>
        <w:tc>
          <w:tcPr>
            <w:tcW w:w="52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仓温、仓湿传感器采用温、湿度一体化的形式，可直接同数字电缆连接，用于测量仓房内的环境温、湿度值。具有较强的防尘、防腐蚀和抗熏蒸能力。环境湿度：1%RH～99%RH(包括凝露)；外罩百叶箱</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套</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1</w:t>
            </w:r>
          </w:p>
        </w:tc>
        <w:tc>
          <w:tcPr>
            <w:tcW w:w="21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tc>
        <w:tc>
          <w:tcPr>
            <w:tcW w:w="2232"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tc>
      </w:tr>
      <w:tr>
        <w:tblPrEx>
          <w:tblCellMar>
            <w:top w:w="0" w:type="dxa"/>
            <w:left w:w="0" w:type="dxa"/>
            <w:bottom w:w="0" w:type="dxa"/>
            <w:right w:w="0" w:type="dxa"/>
          </w:tblCellMar>
        </w:tblPrEx>
        <w:trPr>
          <w:trHeight w:val="803" w:hRule="atLeast"/>
        </w:trPr>
        <w:tc>
          <w:tcPr>
            <w:tcW w:w="97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r>
              <w:rPr>
                <w:rFonts w:hint="eastAsia"/>
              </w:rPr>
              <w:t>4.8</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两芯互连线</w:t>
            </w:r>
          </w:p>
        </w:tc>
        <w:tc>
          <w:tcPr>
            <w:tcW w:w="52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2 @ 0.75mm2 (22 AWG), 防紫外线PVC 黑色外壳。工作温度范围： -40℃ +80℃。  直径为5mm</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米</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800</w:t>
            </w:r>
          </w:p>
        </w:tc>
        <w:tc>
          <w:tcPr>
            <w:tcW w:w="21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tc>
        <w:tc>
          <w:tcPr>
            <w:tcW w:w="2232"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tc>
      </w:tr>
      <w:tr>
        <w:tblPrEx>
          <w:tblCellMar>
            <w:top w:w="0" w:type="dxa"/>
            <w:left w:w="0" w:type="dxa"/>
            <w:bottom w:w="0" w:type="dxa"/>
            <w:right w:w="0" w:type="dxa"/>
          </w:tblCellMar>
        </w:tblPrEx>
        <w:trPr>
          <w:trHeight w:val="613" w:hRule="atLeast"/>
        </w:trPr>
        <w:tc>
          <w:tcPr>
            <w:tcW w:w="97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r>
              <w:rPr>
                <w:rFonts w:hint="eastAsia"/>
              </w:rPr>
              <w:t>4.9</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连接头</w:t>
            </w:r>
          </w:p>
        </w:tc>
        <w:tc>
          <w:tcPr>
            <w:tcW w:w="52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1. 防水两芯数字式温度连接插头。</w:t>
            </w:r>
            <w:r>
              <w:rPr>
                <w:rFonts w:hint="eastAsia"/>
              </w:rPr>
              <w:br w:type="textWrapping"/>
            </w:r>
            <w:r>
              <w:rPr>
                <w:rFonts w:hint="eastAsia"/>
              </w:rPr>
              <w:t>2. 防水两芯数字式温度连接插座</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个</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70</w:t>
            </w:r>
          </w:p>
        </w:tc>
        <w:tc>
          <w:tcPr>
            <w:tcW w:w="21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tc>
        <w:tc>
          <w:tcPr>
            <w:tcW w:w="2232"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tc>
      </w:tr>
      <w:tr>
        <w:tblPrEx>
          <w:tblCellMar>
            <w:top w:w="0" w:type="dxa"/>
            <w:left w:w="0" w:type="dxa"/>
            <w:bottom w:w="0" w:type="dxa"/>
            <w:right w:w="0" w:type="dxa"/>
          </w:tblCellMar>
        </w:tblPrEx>
        <w:trPr>
          <w:trHeight w:val="553"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 xml:space="preserve">4.10 </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辅材</w:t>
            </w:r>
          </w:p>
        </w:tc>
        <w:tc>
          <w:tcPr>
            <w:tcW w:w="52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配套固定管材、固体胶棒等</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项</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1</w:t>
            </w:r>
          </w:p>
        </w:tc>
        <w:tc>
          <w:tcPr>
            <w:tcW w:w="21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tc>
        <w:tc>
          <w:tcPr>
            <w:tcW w:w="2232"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tc>
      </w:tr>
      <w:tr>
        <w:tblPrEx>
          <w:tblCellMar>
            <w:top w:w="0" w:type="dxa"/>
            <w:left w:w="0" w:type="dxa"/>
            <w:bottom w:w="0" w:type="dxa"/>
            <w:right w:w="0" w:type="dxa"/>
          </w:tblCellMar>
        </w:tblPrEx>
        <w:trPr>
          <w:trHeight w:val="505"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 xml:space="preserve">4.11 </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小计</w:t>
            </w:r>
          </w:p>
        </w:tc>
        <w:tc>
          <w:tcPr>
            <w:tcW w:w="52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tc>
        <w:tc>
          <w:tcPr>
            <w:tcW w:w="21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tc>
        <w:tc>
          <w:tcPr>
            <w:tcW w:w="2232"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tc>
      </w:tr>
      <w:tr>
        <w:tblPrEx>
          <w:tblCellMar>
            <w:top w:w="0" w:type="dxa"/>
            <w:left w:w="0" w:type="dxa"/>
            <w:bottom w:w="0" w:type="dxa"/>
            <w:right w:w="0" w:type="dxa"/>
          </w:tblCellMar>
        </w:tblPrEx>
        <w:trPr>
          <w:trHeight w:val="485"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北库区合计</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tc>
        <w:tc>
          <w:tcPr>
            <w:tcW w:w="52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tc>
        <w:tc>
          <w:tcPr>
            <w:tcW w:w="2232"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tc>
      </w:tr>
      <w:tr>
        <w:tblPrEx>
          <w:tblCellMar>
            <w:top w:w="0" w:type="dxa"/>
            <w:left w:w="0" w:type="dxa"/>
            <w:bottom w:w="0" w:type="dxa"/>
            <w:right w:w="0" w:type="dxa"/>
          </w:tblCellMar>
        </w:tblPrEx>
        <w:trPr>
          <w:trHeight w:val="795"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暂列金</w:t>
            </w:r>
          </w:p>
        </w:tc>
        <w:tc>
          <w:tcPr>
            <w:tcW w:w="52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为不可竞争费，投标人不得下浮</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r>
              <w:rPr>
                <w:rFonts w:hint="eastAsia"/>
              </w:rPr>
              <w:t>项</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r>
              <w:rPr>
                <w:rFonts w:hint="eastAsia"/>
              </w:rPr>
              <w:t>1</w:t>
            </w: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r>
              <w:rPr>
                <w:rFonts w:hint="eastAsia"/>
              </w:rPr>
              <w:t xml:space="preserve">300000.00 </w:t>
            </w:r>
          </w:p>
        </w:tc>
        <w:tc>
          <w:tcPr>
            <w:tcW w:w="2232"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r>
              <w:rPr>
                <w:rFonts w:hint="eastAsia"/>
              </w:rPr>
              <w:t xml:space="preserve">300000.00 </w:t>
            </w:r>
          </w:p>
        </w:tc>
      </w:tr>
      <w:tr>
        <w:tblPrEx>
          <w:tblCellMar>
            <w:top w:w="0" w:type="dxa"/>
            <w:left w:w="0" w:type="dxa"/>
            <w:bottom w:w="0" w:type="dxa"/>
            <w:right w:w="0" w:type="dxa"/>
          </w:tblCellMar>
        </w:tblPrEx>
        <w:trPr>
          <w:trHeight w:val="803"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rPr>
              <w:t>总计</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tc>
        <w:tc>
          <w:tcPr>
            <w:tcW w:w="52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tc>
        <w:tc>
          <w:tcPr>
            <w:tcW w:w="2232"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tc>
      </w:tr>
    </w:tbl>
    <w:p>
      <w:pPr>
        <w:pStyle w:val="2"/>
        <w:sectPr>
          <w:pgSz w:w="16838" w:h="11906" w:orient="landscape"/>
          <w:pgMar w:top="1620" w:right="1134" w:bottom="1134" w:left="1134" w:header="851" w:footer="992" w:gutter="0"/>
          <w:cols w:space="425" w:num="1"/>
          <w:docGrid w:type="lines" w:linePitch="312" w:charSpace="0"/>
        </w:sectPr>
      </w:pPr>
    </w:p>
    <w:p>
      <w:pPr>
        <w:pStyle w:val="2"/>
      </w:pPr>
    </w:p>
    <w:p>
      <w:pPr>
        <w:spacing w:line="360" w:lineRule="auto"/>
        <w:jc w:val="left"/>
        <w:rPr>
          <w:rStyle w:val="18"/>
          <w:rFonts w:ascii="宋体" w:hAnsi="宋体"/>
          <w:b/>
          <w:szCs w:val="21"/>
        </w:rPr>
      </w:pPr>
    </w:p>
    <w:p>
      <w:pPr>
        <w:spacing w:line="360" w:lineRule="auto"/>
        <w:jc w:val="left"/>
        <w:rPr>
          <w:rStyle w:val="18"/>
          <w:rFonts w:ascii="宋体" w:hAnsi="宋体"/>
          <w:b/>
          <w:szCs w:val="21"/>
        </w:rPr>
      </w:pPr>
    </w:p>
    <w:p>
      <w:pPr>
        <w:spacing w:line="360" w:lineRule="auto"/>
        <w:jc w:val="left"/>
        <w:rPr>
          <w:rStyle w:val="18"/>
          <w:rFonts w:ascii="宋体" w:hAnsi="宋体"/>
          <w:b/>
          <w:szCs w:val="21"/>
        </w:rPr>
      </w:pPr>
    </w:p>
    <w:p>
      <w:pPr>
        <w:spacing w:line="360" w:lineRule="auto"/>
        <w:jc w:val="left"/>
        <w:rPr>
          <w:rStyle w:val="18"/>
          <w:rFonts w:ascii="宋体" w:hAnsi="宋体"/>
          <w:b/>
          <w:szCs w:val="21"/>
        </w:rPr>
      </w:pPr>
    </w:p>
    <w:p>
      <w:pPr>
        <w:pStyle w:val="27"/>
        <w:numPr>
          <w:ilvl w:val="0"/>
          <w:numId w:val="4"/>
        </w:numPr>
        <w:snapToGrid w:val="0"/>
        <w:spacing w:before="120" w:after="120" w:line="360" w:lineRule="auto"/>
        <w:jc w:val="center"/>
        <w:outlineLvl w:val="0"/>
        <w:rPr>
          <w:rStyle w:val="18"/>
          <w:rFonts w:hAnsi="宋体"/>
        </w:rPr>
      </w:pPr>
      <w:r>
        <w:rPr>
          <w:sz w:val="20"/>
        </w:rPr>
        <w:br w:type="page"/>
      </w:r>
      <w:bookmarkStart w:id="23" w:name="_Toc6443"/>
      <w:bookmarkStart w:id="24" w:name="_Toc7525"/>
      <w:bookmarkStart w:id="25" w:name="_Toc397928630"/>
      <w:bookmarkStart w:id="26" w:name="_Toc31035"/>
      <w:bookmarkStart w:id="27" w:name="_Toc13167"/>
      <w:bookmarkStart w:id="28" w:name="_Toc6509"/>
      <w:bookmarkStart w:id="29" w:name="_Toc397928631"/>
      <w:r>
        <w:rPr>
          <w:rStyle w:val="18"/>
          <w:rFonts w:hint="eastAsia" w:hAnsi="宋体"/>
        </w:rPr>
        <w:t>投标文件格式</w:t>
      </w:r>
      <w:bookmarkEnd w:id="23"/>
      <w:bookmarkEnd w:id="24"/>
      <w:bookmarkEnd w:id="25"/>
      <w:bookmarkEnd w:id="26"/>
      <w:bookmarkEnd w:id="27"/>
    </w:p>
    <w:p>
      <w:pPr>
        <w:spacing w:line="360" w:lineRule="auto"/>
        <w:jc w:val="left"/>
        <w:rPr>
          <w:rFonts w:ascii="宋体" w:hAnsi="宋体"/>
          <w:b/>
          <w:color w:val="000000"/>
          <w:sz w:val="32"/>
        </w:rPr>
      </w:pPr>
      <w:r>
        <w:rPr>
          <w:rStyle w:val="29"/>
          <w:rFonts w:hint="eastAsia" w:ascii="宋体" w:hAnsi="宋体"/>
          <w:color w:val="000000"/>
        </w:rPr>
        <w:t>封面</w:t>
      </w:r>
      <w:bookmarkEnd w:id="28"/>
      <w:bookmarkEnd w:id="29"/>
    </w:p>
    <w:p>
      <w:pPr>
        <w:spacing w:line="360" w:lineRule="auto"/>
        <w:jc w:val="center"/>
        <w:rPr>
          <w:rFonts w:ascii="黑体" w:eastAsia="黑体"/>
          <w:b/>
          <w:color w:val="000000"/>
          <w:sz w:val="32"/>
        </w:rPr>
      </w:pPr>
    </w:p>
    <w:p>
      <w:pPr>
        <w:jc w:val="center"/>
        <w:rPr>
          <w:rFonts w:ascii="宋体" w:hAnsi="宋体"/>
          <w:color w:val="000000"/>
          <w:sz w:val="44"/>
          <w:szCs w:val="44"/>
        </w:rPr>
      </w:pPr>
      <w:r>
        <w:rPr>
          <w:rFonts w:hint="eastAsia" w:ascii="宋体" w:hAnsi="宋体"/>
          <w:color w:val="000000"/>
          <w:sz w:val="44"/>
          <w:szCs w:val="44"/>
        </w:rPr>
        <w:t xml:space="preserve"> </w:t>
      </w:r>
    </w:p>
    <w:p>
      <w:pPr>
        <w:jc w:val="center"/>
        <w:outlineLvl w:val="0"/>
        <w:rPr>
          <w:rFonts w:ascii="宋体" w:hAnsi="宋体"/>
          <w:color w:val="000000"/>
          <w:sz w:val="44"/>
          <w:szCs w:val="44"/>
        </w:rPr>
      </w:pPr>
      <w:r>
        <w:rPr>
          <w:rFonts w:hint="eastAsia" w:ascii="宋体" w:hAnsi="宋体"/>
          <w:color w:val="000000"/>
          <w:sz w:val="44"/>
          <w:szCs w:val="44"/>
          <w:u w:val="single"/>
        </w:rPr>
        <w:t xml:space="preserve"> </w:t>
      </w:r>
      <w:bookmarkStart w:id="30" w:name="_Toc25799"/>
      <w:bookmarkStart w:id="31" w:name="_Toc7893"/>
      <w:r>
        <w:rPr>
          <w:rFonts w:hint="eastAsia" w:ascii="宋体" w:hAnsi="宋体"/>
          <w:color w:val="000000"/>
          <w:sz w:val="44"/>
          <w:szCs w:val="44"/>
          <w:u w:val="single"/>
        </w:rPr>
        <w:t>（项目名称及标段）</w:t>
      </w:r>
      <w:bookmarkEnd w:id="30"/>
      <w:bookmarkEnd w:id="31"/>
    </w:p>
    <w:p>
      <w:pPr>
        <w:spacing w:line="360" w:lineRule="auto"/>
        <w:jc w:val="center"/>
        <w:rPr>
          <w:rFonts w:ascii="宋体" w:hAnsi="宋体"/>
          <w:color w:val="000000"/>
          <w:sz w:val="28"/>
          <w:szCs w:val="28"/>
        </w:rPr>
      </w:pPr>
    </w:p>
    <w:p>
      <w:pPr>
        <w:spacing w:line="360" w:lineRule="auto"/>
        <w:jc w:val="center"/>
        <w:rPr>
          <w:rFonts w:ascii="宋体" w:hAnsi="宋体"/>
          <w:color w:val="000000"/>
          <w:sz w:val="28"/>
          <w:szCs w:val="28"/>
        </w:rPr>
      </w:pPr>
    </w:p>
    <w:p>
      <w:pPr>
        <w:spacing w:line="360" w:lineRule="auto"/>
        <w:jc w:val="center"/>
        <w:rPr>
          <w:rFonts w:ascii="宋体" w:hAnsi="宋体"/>
          <w:color w:val="000000"/>
          <w:sz w:val="72"/>
          <w:szCs w:val="72"/>
        </w:rPr>
      </w:pPr>
    </w:p>
    <w:p>
      <w:pPr>
        <w:spacing w:line="360" w:lineRule="auto"/>
        <w:jc w:val="center"/>
        <w:outlineLvl w:val="0"/>
        <w:rPr>
          <w:rFonts w:ascii="黑体" w:hAnsi="黑体" w:eastAsia="黑体"/>
          <w:color w:val="000000"/>
          <w:sz w:val="96"/>
          <w:szCs w:val="96"/>
        </w:rPr>
      </w:pPr>
      <w:bookmarkStart w:id="32" w:name="_Toc3678"/>
      <w:bookmarkStart w:id="33" w:name="_Toc25292"/>
      <w:r>
        <w:rPr>
          <w:rFonts w:hint="eastAsia" w:ascii="黑体" w:hAnsi="黑体" w:eastAsia="黑体"/>
          <w:color w:val="000000"/>
          <w:sz w:val="96"/>
          <w:szCs w:val="96"/>
        </w:rPr>
        <w:t>投 标 文 件</w:t>
      </w:r>
      <w:bookmarkEnd w:id="32"/>
      <w:bookmarkEnd w:id="33"/>
    </w:p>
    <w:p>
      <w:pPr>
        <w:spacing w:line="360" w:lineRule="auto"/>
        <w:jc w:val="center"/>
        <w:rPr>
          <w:rFonts w:ascii="宋体" w:hAnsi="宋体"/>
          <w:color w:val="000000"/>
          <w:sz w:val="28"/>
          <w:szCs w:val="28"/>
        </w:rPr>
      </w:pPr>
    </w:p>
    <w:p>
      <w:pPr>
        <w:spacing w:line="360" w:lineRule="auto"/>
        <w:jc w:val="center"/>
        <w:rPr>
          <w:rFonts w:ascii="宋体" w:hAnsi="宋体"/>
          <w:color w:val="000000"/>
          <w:sz w:val="28"/>
          <w:szCs w:val="28"/>
        </w:rPr>
      </w:pPr>
    </w:p>
    <w:p>
      <w:pPr>
        <w:spacing w:line="360" w:lineRule="auto"/>
        <w:jc w:val="center"/>
        <w:rPr>
          <w:rFonts w:ascii="宋体" w:hAnsi="宋体"/>
          <w:color w:val="000000"/>
          <w:sz w:val="28"/>
          <w:szCs w:val="28"/>
        </w:rPr>
      </w:pPr>
    </w:p>
    <w:p>
      <w:pPr>
        <w:spacing w:line="360" w:lineRule="auto"/>
        <w:jc w:val="center"/>
        <w:rPr>
          <w:rFonts w:ascii="宋体" w:hAnsi="宋体"/>
          <w:color w:val="000000"/>
          <w:sz w:val="28"/>
          <w:szCs w:val="28"/>
        </w:rPr>
      </w:pPr>
    </w:p>
    <w:p>
      <w:pPr>
        <w:spacing w:line="360" w:lineRule="auto"/>
        <w:jc w:val="center"/>
        <w:rPr>
          <w:rFonts w:ascii="宋体" w:hAnsi="宋体"/>
          <w:color w:val="000000"/>
          <w:sz w:val="28"/>
          <w:szCs w:val="28"/>
        </w:rPr>
      </w:pPr>
    </w:p>
    <w:p>
      <w:pPr>
        <w:spacing w:line="360" w:lineRule="auto"/>
        <w:jc w:val="center"/>
        <w:rPr>
          <w:rFonts w:ascii="宋体" w:hAnsi="宋体"/>
          <w:color w:val="000000"/>
          <w:sz w:val="28"/>
          <w:szCs w:val="28"/>
        </w:rPr>
      </w:pPr>
    </w:p>
    <w:p>
      <w:pPr>
        <w:spacing w:line="360" w:lineRule="auto"/>
        <w:jc w:val="center"/>
        <w:rPr>
          <w:rFonts w:ascii="宋体" w:hAnsi="宋体"/>
          <w:color w:val="000000"/>
          <w:sz w:val="28"/>
          <w:szCs w:val="28"/>
        </w:rPr>
      </w:pPr>
    </w:p>
    <w:p>
      <w:pPr>
        <w:spacing w:line="360" w:lineRule="auto"/>
        <w:jc w:val="center"/>
        <w:rPr>
          <w:rFonts w:ascii="宋体" w:hAnsi="宋体"/>
          <w:color w:val="000000"/>
          <w:sz w:val="28"/>
          <w:szCs w:val="28"/>
        </w:rPr>
      </w:pPr>
    </w:p>
    <w:p>
      <w:pPr>
        <w:spacing w:line="360" w:lineRule="auto"/>
        <w:ind w:firstLine="3080" w:firstLineChars="1100"/>
        <w:jc w:val="both"/>
        <w:rPr>
          <w:rFonts w:ascii="宋体" w:hAnsi="宋体"/>
          <w:color w:val="000000"/>
          <w:sz w:val="28"/>
          <w:szCs w:val="28"/>
          <w:u w:val="single"/>
        </w:rPr>
      </w:pPr>
      <w:r>
        <w:rPr>
          <w:rFonts w:hint="eastAsia" w:ascii="宋体" w:hAnsi="宋体"/>
          <w:color w:val="000000"/>
          <w:sz w:val="28"/>
          <w:szCs w:val="28"/>
        </w:rPr>
        <w:t>投标人（盖章）：</w:t>
      </w:r>
    </w:p>
    <w:p>
      <w:pPr>
        <w:pStyle w:val="22"/>
        <w:jc w:val="center"/>
        <w:outlineLvl w:val="0"/>
        <w:rPr>
          <w:rStyle w:val="18"/>
          <w:rFonts w:ascii="宋体" w:hAnsi="宋体"/>
        </w:rPr>
      </w:pPr>
      <w:bookmarkStart w:id="34" w:name="_Toc32736"/>
      <w:bookmarkStart w:id="35" w:name="_Toc83"/>
      <w:r>
        <w:rPr>
          <w:rFonts w:hint="eastAsia" w:ascii="宋体" w:hAnsi="宋体"/>
          <w:sz w:val="28"/>
          <w:szCs w:val="28"/>
        </w:rPr>
        <w:t>日期：</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r>
        <w:rPr>
          <w:rFonts w:ascii="黑体" w:eastAsia="黑体"/>
        </w:rPr>
        <w:br w:type="page"/>
      </w:r>
      <w:bookmarkEnd w:id="34"/>
      <w:bookmarkEnd w:id="35"/>
    </w:p>
    <w:p>
      <w:pPr>
        <w:pStyle w:val="22"/>
        <w:outlineLvl w:val="0"/>
        <w:rPr>
          <w:rStyle w:val="18"/>
          <w:rFonts w:ascii="宋体" w:hAnsi="宋体"/>
        </w:rPr>
      </w:pPr>
      <w:bookmarkStart w:id="36" w:name="_Toc15988"/>
      <w:bookmarkStart w:id="37" w:name="_Toc15213"/>
      <w:bookmarkStart w:id="38" w:name="_Toc13656"/>
      <w:bookmarkStart w:id="39" w:name="_Toc11128"/>
      <w:r>
        <w:rPr>
          <w:rStyle w:val="18"/>
          <w:rFonts w:ascii="宋体" w:hAnsi="宋体"/>
        </w:rPr>
        <w:t>1.投标函</w:t>
      </w:r>
      <w:bookmarkEnd w:id="36"/>
      <w:bookmarkEnd w:id="37"/>
      <w:bookmarkEnd w:id="38"/>
      <w:bookmarkEnd w:id="39"/>
    </w:p>
    <w:p>
      <w:pPr>
        <w:pStyle w:val="30"/>
        <w:spacing w:line="360" w:lineRule="auto"/>
        <w:jc w:val="center"/>
        <w:rPr>
          <w:rStyle w:val="18"/>
          <w:rFonts w:hAnsi="宋体"/>
          <w:sz w:val="32"/>
          <w:szCs w:val="32"/>
        </w:rPr>
      </w:pPr>
      <w:r>
        <w:rPr>
          <w:rStyle w:val="18"/>
          <w:rFonts w:hAnsi="宋体"/>
          <w:sz w:val="32"/>
          <w:szCs w:val="32"/>
        </w:rPr>
        <w:t>投   标   函</w:t>
      </w:r>
    </w:p>
    <w:p>
      <w:pPr>
        <w:pStyle w:val="30"/>
        <w:spacing w:line="360" w:lineRule="auto"/>
        <w:rPr>
          <w:rStyle w:val="18"/>
          <w:rFonts w:hAnsi="宋体"/>
          <w:sz w:val="21"/>
          <w:szCs w:val="21"/>
        </w:rPr>
      </w:pPr>
      <w:r>
        <w:rPr>
          <w:rStyle w:val="18"/>
          <w:rFonts w:hAnsi="宋体"/>
          <w:sz w:val="21"/>
          <w:szCs w:val="21"/>
          <w:u w:val="single"/>
        </w:rPr>
        <w:t xml:space="preserve">  </w:t>
      </w:r>
      <w:r>
        <w:rPr>
          <w:rStyle w:val="18"/>
          <w:rFonts w:hAnsi="宋体"/>
          <w:iCs/>
          <w:sz w:val="21"/>
          <w:szCs w:val="21"/>
          <w:u w:val="single"/>
        </w:rPr>
        <w:t>（招标人）</w:t>
      </w:r>
      <w:r>
        <w:rPr>
          <w:rStyle w:val="18"/>
          <w:rFonts w:hAnsi="宋体"/>
          <w:sz w:val="21"/>
          <w:szCs w:val="21"/>
          <w:u w:val="single"/>
        </w:rPr>
        <w:t xml:space="preserve">   </w:t>
      </w:r>
      <w:r>
        <w:rPr>
          <w:rStyle w:val="18"/>
          <w:rFonts w:hAnsi="宋体"/>
          <w:sz w:val="21"/>
          <w:szCs w:val="21"/>
        </w:rPr>
        <w:t>：</w:t>
      </w:r>
    </w:p>
    <w:p>
      <w:pPr>
        <w:spacing w:line="360" w:lineRule="auto"/>
        <w:ind w:firstLine="420" w:firstLineChars="200"/>
        <w:rPr>
          <w:rStyle w:val="18"/>
          <w:rFonts w:ascii="宋体" w:hAnsi="宋体"/>
          <w:szCs w:val="21"/>
        </w:rPr>
      </w:pPr>
      <w:r>
        <w:rPr>
          <w:rStyle w:val="18"/>
          <w:rFonts w:ascii="宋体" w:hAnsi="宋体"/>
          <w:szCs w:val="21"/>
        </w:rPr>
        <w:t>1．我方已仔细研究了</w:t>
      </w:r>
      <w:r>
        <w:rPr>
          <w:rStyle w:val="18"/>
          <w:rFonts w:ascii="宋体" w:hAnsi="宋体"/>
          <w:szCs w:val="21"/>
          <w:u w:val="single"/>
        </w:rPr>
        <w:t xml:space="preserve">               </w:t>
      </w:r>
      <w:r>
        <w:rPr>
          <w:rStyle w:val="18"/>
          <w:rFonts w:ascii="宋体" w:hAnsi="宋体"/>
          <w:kern w:val="0"/>
          <w:szCs w:val="21"/>
        </w:rPr>
        <w:t>（项目名称及标段）货物招标文件</w:t>
      </w:r>
      <w:r>
        <w:rPr>
          <w:rStyle w:val="18"/>
          <w:rFonts w:ascii="宋体" w:hAnsi="宋体"/>
          <w:szCs w:val="21"/>
        </w:rPr>
        <w:t>的全部内容，愿意以人民币（大写）</w:t>
      </w:r>
      <w:r>
        <w:rPr>
          <w:rStyle w:val="18"/>
          <w:rFonts w:ascii="宋体" w:hAnsi="宋体"/>
          <w:szCs w:val="21"/>
          <w:u w:val="single"/>
        </w:rPr>
        <w:t xml:space="preserve">                  </w:t>
      </w:r>
      <w:r>
        <w:rPr>
          <w:rStyle w:val="18"/>
          <w:rFonts w:ascii="宋体" w:hAnsi="宋体"/>
          <w:szCs w:val="21"/>
        </w:rPr>
        <w:t>（¥</w:t>
      </w:r>
      <w:r>
        <w:rPr>
          <w:rStyle w:val="18"/>
          <w:rFonts w:ascii="宋体" w:hAnsi="宋体"/>
          <w:szCs w:val="21"/>
          <w:u w:val="single"/>
        </w:rPr>
        <w:t xml:space="preserve">           </w:t>
      </w:r>
      <w:r>
        <w:rPr>
          <w:rStyle w:val="18"/>
          <w:rFonts w:ascii="宋体" w:hAnsi="宋体"/>
          <w:szCs w:val="21"/>
        </w:rPr>
        <w:t>）元的投标总报价，以</w:t>
      </w:r>
      <w:r>
        <w:rPr>
          <w:rStyle w:val="18"/>
          <w:rFonts w:ascii="宋体" w:hAnsi="宋体"/>
          <w:szCs w:val="21"/>
          <w:u w:val="single"/>
        </w:rPr>
        <w:t xml:space="preserve"> （交货期或交付使用期）  </w:t>
      </w:r>
      <w:r>
        <w:rPr>
          <w:rStyle w:val="18"/>
          <w:rFonts w:ascii="宋体" w:hAnsi="宋体"/>
          <w:szCs w:val="21"/>
        </w:rPr>
        <w:t>，并将按招标文件的规定履行合同责任和义务，实现工程目的。</w:t>
      </w:r>
    </w:p>
    <w:p>
      <w:pPr>
        <w:spacing w:line="360" w:lineRule="auto"/>
        <w:ind w:firstLine="420" w:firstLineChars="200"/>
        <w:rPr>
          <w:rStyle w:val="18"/>
          <w:rFonts w:ascii="宋体" w:hAnsi="宋体"/>
          <w:szCs w:val="21"/>
        </w:rPr>
      </w:pPr>
      <w:r>
        <w:rPr>
          <w:rStyle w:val="18"/>
          <w:rFonts w:ascii="宋体" w:hAnsi="宋体"/>
          <w:szCs w:val="21"/>
        </w:rPr>
        <w:t>2．我方承诺在招标文件规定的投标有效期内不修改、撤销投标文件。</w:t>
      </w:r>
    </w:p>
    <w:p>
      <w:pPr>
        <w:spacing w:line="360" w:lineRule="auto"/>
        <w:ind w:firstLine="420" w:firstLineChars="200"/>
        <w:rPr>
          <w:rStyle w:val="18"/>
          <w:rFonts w:ascii="宋体" w:hAnsi="宋体"/>
          <w:szCs w:val="21"/>
        </w:rPr>
      </w:pPr>
      <w:r>
        <w:rPr>
          <w:rStyle w:val="18"/>
          <w:rFonts w:ascii="宋体" w:hAnsi="宋体"/>
          <w:szCs w:val="21"/>
        </w:rPr>
        <w:t>3．如果我方中标，将派出</w:t>
      </w:r>
      <w:r>
        <w:rPr>
          <w:rStyle w:val="18"/>
          <w:rFonts w:ascii="宋体" w:hAnsi="宋体"/>
          <w:szCs w:val="21"/>
          <w:u w:val="single"/>
        </w:rPr>
        <w:t xml:space="preserve">         </w:t>
      </w:r>
      <w:r>
        <w:rPr>
          <w:rStyle w:val="18"/>
          <w:rFonts w:ascii="宋体" w:hAnsi="宋体"/>
          <w:szCs w:val="21"/>
        </w:rPr>
        <w:t>（姓名）作为本工程的项目负责人。</w:t>
      </w:r>
    </w:p>
    <w:p>
      <w:pPr>
        <w:spacing w:line="360" w:lineRule="auto"/>
        <w:ind w:firstLine="420" w:firstLineChars="200"/>
        <w:rPr>
          <w:rStyle w:val="18"/>
          <w:rFonts w:ascii="宋体" w:hAnsi="宋体"/>
          <w:szCs w:val="21"/>
        </w:rPr>
      </w:pPr>
      <w:r>
        <w:rPr>
          <w:rStyle w:val="18"/>
          <w:rFonts w:ascii="宋体" w:hAnsi="宋体"/>
          <w:szCs w:val="21"/>
        </w:rPr>
        <w:t>4. 质保期：</w:t>
      </w:r>
      <w:r>
        <w:rPr>
          <w:rStyle w:val="18"/>
          <w:rFonts w:ascii="宋体" w:hAnsi="宋体"/>
          <w:szCs w:val="21"/>
          <w:u w:val="single"/>
        </w:rPr>
        <w:t xml:space="preserve">     </w:t>
      </w:r>
      <w:r>
        <w:rPr>
          <w:rStyle w:val="18"/>
          <w:rFonts w:ascii="宋体" w:hAnsi="宋体"/>
          <w:szCs w:val="21"/>
        </w:rPr>
        <w:t>年</w:t>
      </w:r>
    </w:p>
    <w:p>
      <w:pPr>
        <w:spacing w:line="360" w:lineRule="auto"/>
        <w:ind w:firstLine="420" w:firstLineChars="200"/>
        <w:rPr>
          <w:rStyle w:val="18"/>
          <w:rFonts w:ascii="宋体" w:hAnsi="宋体"/>
          <w:szCs w:val="21"/>
        </w:rPr>
      </w:pPr>
      <w:r>
        <w:rPr>
          <w:rStyle w:val="18"/>
          <w:rFonts w:ascii="宋体" w:hAnsi="宋体"/>
          <w:szCs w:val="21"/>
        </w:rPr>
        <w:t>5. 交货期或交付使用期：</w:t>
      </w:r>
      <w:r>
        <w:rPr>
          <w:rStyle w:val="18"/>
          <w:rFonts w:ascii="宋体" w:hAnsi="宋体"/>
          <w:szCs w:val="21"/>
          <w:u w:val="single"/>
        </w:rPr>
        <w:t xml:space="preserve">     </w:t>
      </w:r>
      <w:r>
        <w:rPr>
          <w:rStyle w:val="18"/>
          <w:rFonts w:ascii="宋体" w:hAnsi="宋体"/>
          <w:szCs w:val="21"/>
        </w:rPr>
        <w:t>日历天</w:t>
      </w:r>
    </w:p>
    <w:p>
      <w:pPr>
        <w:spacing w:line="360" w:lineRule="auto"/>
        <w:ind w:firstLine="420" w:firstLineChars="200"/>
        <w:rPr>
          <w:rStyle w:val="18"/>
          <w:rFonts w:ascii="宋体" w:hAnsi="宋体"/>
          <w:szCs w:val="21"/>
        </w:rPr>
      </w:pPr>
      <w:r>
        <w:rPr>
          <w:rStyle w:val="18"/>
          <w:rFonts w:ascii="宋体" w:hAnsi="宋体"/>
          <w:szCs w:val="21"/>
        </w:rPr>
        <w:t>5．如我方中标：</w:t>
      </w:r>
    </w:p>
    <w:p>
      <w:pPr>
        <w:spacing w:line="360" w:lineRule="auto"/>
        <w:ind w:firstLine="539" w:firstLineChars="257"/>
        <w:rPr>
          <w:rStyle w:val="18"/>
          <w:rFonts w:ascii="宋体" w:hAnsi="宋体"/>
          <w:szCs w:val="21"/>
        </w:rPr>
      </w:pPr>
      <w:r>
        <w:rPr>
          <w:rStyle w:val="18"/>
          <w:rFonts w:ascii="宋体" w:hAnsi="宋体"/>
          <w:szCs w:val="21"/>
        </w:rPr>
        <w:t>（1）我方承诺在收到中标通知书后，在中标通知书规定的期限内与你方签订合同。</w:t>
      </w:r>
    </w:p>
    <w:p>
      <w:pPr>
        <w:spacing w:line="360" w:lineRule="auto"/>
        <w:ind w:firstLine="539" w:firstLineChars="257"/>
        <w:rPr>
          <w:rStyle w:val="18"/>
          <w:rFonts w:ascii="宋体" w:hAnsi="宋体"/>
          <w:szCs w:val="21"/>
        </w:rPr>
      </w:pPr>
      <w:r>
        <w:rPr>
          <w:rStyle w:val="18"/>
          <w:rFonts w:ascii="宋体" w:hAnsi="宋体"/>
          <w:szCs w:val="21"/>
        </w:rPr>
        <w:t>（2）我方承诺按照招标文件规定向你方递交履约保证金。</w:t>
      </w:r>
    </w:p>
    <w:p>
      <w:pPr>
        <w:spacing w:line="360" w:lineRule="auto"/>
        <w:ind w:firstLine="539" w:firstLineChars="257"/>
        <w:rPr>
          <w:rStyle w:val="18"/>
          <w:rFonts w:ascii="宋体" w:hAnsi="宋体"/>
          <w:szCs w:val="21"/>
        </w:rPr>
      </w:pPr>
      <w:r>
        <w:rPr>
          <w:rStyle w:val="18"/>
          <w:rFonts w:ascii="宋体" w:hAnsi="宋体"/>
          <w:szCs w:val="21"/>
        </w:rPr>
        <w:t>（3）我方将严格履行本投标文件中的全部承诺和责任，并遵守招标文件中对投标人的所有规定。</w:t>
      </w:r>
    </w:p>
    <w:p>
      <w:pPr>
        <w:spacing w:line="360" w:lineRule="auto"/>
        <w:ind w:firstLine="420" w:firstLineChars="200"/>
        <w:rPr>
          <w:rStyle w:val="18"/>
          <w:rFonts w:ascii="宋体" w:hAnsi="宋体"/>
          <w:szCs w:val="21"/>
        </w:rPr>
      </w:pPr>
      <w:r>
        <w:rPr>
          <w:rStyle w:val="18"/>
          <w:rFonts w:ascii="宋体" w:hAnsi="宋体"/>
          <w:szCs w:val="21"/>
        </w:rPr>
        <w:t>5．</w:t>
      </w:r>
      <w:r>
        <w:rPr>
          <w:rStyle w:val="18"/>
          <w:rFonts w:ascii="宋体" w:hAnsi="宋体"/>
        </w:rPr>
        <w:t>我方在此声明，所递交的投标文件及有关资料内容完整、真实和准确，且不存在第二章“投标人须知”第1.4.3项规定的任何一种情形。</w:t>
      </w:r>
    </w:p>
    <w:p>
      <w:pPr>
        <w:spacing w:line="360" w:lineRule="auto"/>
        <w:ind w:firstLine="420" w:firstLineChars="200"/>
        <w:rPr>
          <w:rStyle w:val="18"/>
          <w:rFonts w:ascii="宋体" w:hAnsi="宋体"/>
          <w:szCs w:val="21"/>
        </w:rPr>
      </w:pPr>
      <w:r>
        <w:rPr>
          <w:rStyle w:val="18"/>
          <w:rFonts w:ascii="宋体" w:hAnsi="宋体"/>
          <w:szCs w:val="21"/>
        </w:rPr>
        <w:t>6．</w:t>
      </w:r>
      <w:r>
        <w:rPr>
          <w:rStyle w:val="18"/>
          <w:rFonts w:ascii="宋体" w:hAnsi="宋体"/>
          <w:szCs w:val="21"/>
          <w:u w:val="single"/>
        </w:rPr>
        <w:t xml:space="preserve">                                       </w:t>
      </w:r>
      <w:r>
        <w:rPr>
          <w:rStyle w:val="18"/>
          <w:rFonts w:ascii="宋体" w:hAnsi="宋体"/>
          <w:szCs w:val="21"/>
        </w:rPr>
        <w:t>（其他补充说明）。</w:t>
      </w:r>
    </w:p>
    <w:p>
      <w:pPr>
        <w:pStyle w:val="30"/>
        <w:spacing w:line="360" w:lineRule="auto"/>
        <w:ind w:firstLine="420" w:firstLineChars="200"/>
        <w:rPr>
          <w:rStyle w:val="18"/>
          <w:rFonts w:hAnsi="宋体"/>
          <w:sz w:val="21"/>
          <w:szCs w:val="21"/>
        </w:rPr>
      </w:pPr>
    </w:p>
    <w:p>
      <w:pPr>
        <w:pStyle w:val="30"/>
        <w:tabs>
          <w:tab w:val="left" w:pos="5665"/>
          <w:tab w:val="right" w:pos="8360"/>
        </w:tabs>
        <w:spacing w:line="360" w:lineRule="auto"/>
        <w:ind w:right="42" w:firstLine="1560" w:firstLineChars="650"/>
        <w:rPr>
          <w:rStyle w:val="18"/>
          <w:rFonts w:hAnsi="宋体"/>
          <w:sz w:val="24"/>
        </w:rPr>
      </w:pPr>
    </w:p>
    <w:p>
      <w:pPr>
        <w:pStyle w:val="30"/>
        <w:tabs>
          <w:tab w:val="left" w:pos="5665"/>
          <w:tab w:val="right" w:pos="8360"/>
        </w:tabs>
        <w:spacing w:line="360" w:lineRule="auto"/>
        <w:ind w:right="42" w:firstLine="1560" w:firstLineChars="650"/>
        <w:rPr>
          <w:rStyle w:val="18"/>
          <w:rFonts w:hAnsi="宋体"/>
          <w:sz w:val="24"/>
          <w:u w:val="single"/>
        </w:rPr>
      </w:pPr>
      <w:r>
        <w:rPr>
          <w:rStyle w:val="18"/>
          <w:rFonts w:hAnsi="宋体"/>
          <w:sz w:val="24"/>
        </w:rPr>
        <w:t>投标人(公章)：</w:t>
      </w:r>
      <w:r>
        <w:rPr>
          <w:rStyle w:val="18"/>
          <w:rFonts w:hAnsi="宋体"/>
          <w:sz w:val="24"/>
          <w:u w:val="single"/>
        </w:rPr>
        <w:t xml:space="preserve">                                  </w:t>
      </w:r>
    </w:p>
    <w:p>
      <w:pPr>
        <w:pStyle w:val="30"/>
        <w:tabs>
          <w:tab w:val="left" w:pos="5665"/>
          <w:tab w:val="right" w:pos="8360"/>
        </w:tabs>
        <w:spacing w:line="360" w:lineRule="auto"/>
        <w:ind w:right="42" w:firstLine="1560" w:firstLineChars="650"/>
        <w:rPr>
          <w:rStyle w:val="18"/>
          <w:rFonts w:hAnsi="宋体"/>
          <w:sz w:val="24"/>
          <w:u w:val="single"/>
        </w:rPr>
      </w:pPr>
    </w:p>
    <w:p>
      <w:pPr>
        <w:pStyle w:val="30"/>
        <w:tabs>
          <w:tab w:val="left" w:pos="5665"/>
          <w:tab w:val="right" w:pos="8360"/>
        </w:tabs>
        <w:spacing w:line="360" w:lineRule="auto"/>
        <w:ind w:right="42" w:firstLine="1560" w:firstLineChars="650"/>
        <w:rPr>
          <w:rStyle w:val="18"/>
          <w:rFonts w:hAnsi="宋体"/>
          <w:sz w:val="24"/>
          <w:u w:val="single"/>
        </w:rPr>
      </w:pPr>
    </w:p>
    <w:p>
      <w:pPr>
        <w:pStyle w:val="30"/>
        <w:tabs>
          <w:tab w:val="left" w:pos="5665"/>
          <w:tab w:val="right" w:pos="8360"/>
        </w:tabs>
        <w:spacing w:line="360" w:lineRule="auto"/>
        <w:ind w:right="42" w:firstLine="1560" w:firstLineChars="650"/>
        <w:rPr>
          <w:rStyle w:val="18"/>
          <w:rFonts w:hAnsi="宋体"/>
          <w:sz w:val="24"/>
          <w:u w:val="single"/>
        </w:rPr>
      </w:pPr>
      <w:r>
        <w:rPr>
          <w:rStyle w:val="18"/>
          <w:rFonts w:hAnsi="宋体"/>
          <w:sz w:val="24"/>
        </w:rPr>
        <w:t>法人代表或授权委托人（签字或印章）：</w:t>
      </w:r>
      <w:r>
        <w:rPr>
          <w:rStyle w:val="18"/>
          <w:rFonts w:hAnsi="宋体"/>
          <w:sz w:val="24"/>
          <w:u w:val="single"/>
        </w:rPr>
        <w:t xml:space="preserve">             </w:t>
      </w:r>
    </w:p>
    <w:p>
      <w:pPr>
        <w:pStyle w:val="30"/>
        <w:tabs>
          <w:tab w:val="left" w:pos="5665"/>
          <w:tab w:val="right" w:pos="8360"/>
        </w:tabs>
        <w:spacing w:line="360" w:lineRule="auto"/>
        <w:ind w:right="42" w:firstLine="1560" w:firstLineChars="650"/>
        <w:rPr>
          <w:rStyle w:val="18"/>
          <w:rFonts w:hAnsi="宋体"/>
          <w:sz w:val="24"/>
          <w:u w:val="single"/>
        </w:rPr>
      </w:pPr>
    </w:p>
    <w:p>
      <w:pPr>
        <w:pStyle w:val="30"/>
        <w:tabs>
          <w:tab w:val="left" w:pos="5665"/>
          <w:tab w:val="right" w:pos="8360"/>
        </w:tabs>
        <w:spacing w:line="360" w:lineRule="auto"/>
        <w:ind w:right="42" w:firstLine="1560" w:firstLineChars="650"/>
        <w:rPr>
          <w:rStyle w:val="18"/>
          <w:rFonts w:hAnsi="宋体"/>
          <w:sz w:val="24"/>
          <w:u w:val="single"/>
        </w:rPr>
      </w:pPr>
    </w:p>
    <w:p>
      <w:pPr>
        <w:pStyle w:val="30"/>
        <w:tabs>
          <w:tab w:val="left" w:pos="5665"/>
          <w:tab w:val="right" w:pos="8360"/>
        </w:tabs>
        <w:ind w:right="42" w:firstLine="1575" w:firstLineChars="750"/>
        <w:jc w:val="left"/>
        <w:rPr>
          <w:rStyle w:val="18"/>
          <w:rFonts w:hAnsi="宋体"/>
        </w:rPr>
      </w:pPr>
      <w:r>
        <w:rPr>
          <w:rStyle w:val="18"/>
          <w:rFonts w:hAnsi="宋体"/>
          <w:sz w:val="21"/>
          <w:szCs w:val="21"/>
        </w:rPr>
        <w:t>日 期：</w:t>
      </w:r>
      <w:r>
        <w:rPr>
          <w:rStyle w:val="18"/>
          <w:rFonts w:hAnsi="宋体"/>
          <w:sz w:val="21"/>
          <w:szCs w:val="21"/>
          <w:u w:val="single"/>
        </w:rPr>
        <w:t xml:space="preserve">                                                </w:t>
      </w:r>
      <w:bookmarkStart w:id="40" w:name="_Toc26495"/>
      <w:bookmarkStart w:id="41" w:name="_Toc17188"/>
      <w:bookmarkStart w:id="42" w:name="_Toc25716"/>
    </w:p>
    <w:p>
      <w:pPr>
        <w:pStyle w:val="22"/>
        <w:outlineLvl w:val="9"/>
        <w:rPr>
          <w:rStyle w:val="18"/>
          <w:rFonts w:ascii="宋体" w:hAnsi="宋体"/>
        </w:rPr>
      </w:pPr>
    </w:p>
    <w:p>
      <w:pPr>
        <w:pStyle w:val="22"/>
        <w:outlineLvl w:val="0"/>
        <w:rPr>
          <w:rStyle w:val="18"/>
          <w:rFonts w:ascii="宋体" w:hAnsi="宋体"/>
          <w:b w:val="0"/>
          <w:sz w:val="24"/>
        </w:rPr>
      </w:pPr>
      <w:bookmarkStart w:id="43" w:name="_Toc10073"/>
      <w:r>
        <w:rPr>
          <w:rStyle w:val="18"/>
          <w:rFonts w:ascii="宋体" w:hAnsi="宋体"/>
        </w:rPr>
        <w:t>2.投标报价明细表</w:t>
      </w:r>
      <w:bookmarkEnd w:id="40"/>
      <w:bookmarkEnd w:id="41"/>
      <w:bookmarkEnd w:id="42"/>
      <w:bookmarkEnd w:id="43"/>
    </w:p>
    <w:p>
      <w:pPr>
        <w:pStyle w:val="7"/>
        <w:snapToGrid w:val="0"/>
        <w:spacing w:before="295" w:beforeLines="0" w:after="295" w:afterLines="0" w:line="520" w:lineRule="exact"/>
        <w:jc w:val="center"/>
        <w:rPr>
          <w:rStyle w:val="18"/>
          <w:rFonts w:hAnsi="宋体"/>
          <w:sz w:val="32"/>
          <w:szCs w:val="32"/>
        </w:rPr>
      </w:pPr>
      <w:r>
        <w:rPr>
          <w:rStyle w:val="18"/>
          <w:rFonts w:hAnsi="宋体"/>
          <w:sz w:val="32"/>
          <w:szCs w:val="32"/>
        </w:rPr>
        <w:t>投标报价明细表</w:t>
      </w:r>
      <w:r>
        <w:rPr>
          <w:rStyle w:val="18"/>
          <w:rFonts w:hint="eastAsia" w:hAnsi="宋体" w:cs="宋体"/>
          <w:b/>
          <w:sz w:val="32"/>
          <w:szCs w:val="32"/>
        </w:rPr>
        <w:t>（可根据实际情况自制）</w:t>
      </w:r>
    </w:p>
    <w:p>
      <w:pPr>
        <w:spacing w:line="360" w:lineRule="auto"/>
        <w:rPr>
          <w:rStyle w:val="18"/>
          <w:rFonts w:ascii="宋体" w:hAnsi="宋体"/>
          <w:sz w:val="24"/>
        </w:rPr>
      </w:pPr>
    </w:p>
    <w:p>
      <w:pPr>
        <w:spacing w:line="360" w:lineRule="auto"/>
        <w:jc w:val="left"/>
        <w:rPr>
          <w:rStyle w:val="18"/>
          <w:rFonts w:ascii="宋体" w:hAnsi="宋体"/>
          <w:szCs w:val="21"/>
        </w:rPr>
      </w:pPr>
      <w:r>
        <w:rPr>
          <w:rStyle w:val="18"/>
          <w:rFonts w:ascii="宋体" w:hAnsi="宋体"/>
          <w:szCs w:val="21"/>
        </w:rPr>
        <w:t xml:space="preserve">项目名称：                                  </w:t>
      </w:r>
    </w:p>
    <w:p>
      <w:pPr>
        <w:spacing w:line="360" w:lineRule="auto"/>
        <w:jc w:val="left"/>
        <w:rPr>
          <w:rStyle w:val="18"/>
          <w:rFonts w:ascii="宋体" w:hAnsi="宋体"/>
          <w:szCs w:val="21"/>
        </w:rPr>
      </w:pPr>
      <w:r>
        <w:rPr>
          <w:rStyle w:val="18"/>
          <w:rFonts w:ascii="宋体" w:hAnsi="宋体"/>
          <w:szCs w:val="21"/>
        </w:rPr>
        <w:t xml:space="preserve">招标编号：                         标段号：（如有时）          </w:t>
      </w:r>
    </w:p>
    <w:p>
      <w:pPr>
        <w:spacing w:line="360" w:lineRule="auto"/>
        <w:jc w:val="left"/>
        <w:rPr>
          <w:rStyle w:val="18"/>
          <w:rFonts w:ascii="宋体" w:hAnsi="宋体"/>
          <w:szCs w:val="21"/>
        </w:rPr>
      </w:pPr>
      <w:r>
        <w:rPr>
          <w:rStyle w:val="18"/>
          <w:rFonts w:ascii="宋体" w:hAnsi="宋体"/>
          <w:szCs w:val="21"/>
        </w:rPr>
        <w:t>报价单位：人民币元</w:t>
      </w:r>
    </w:p>
    <w:tbl>
      <w:tblPr>
        <w:tblStyle w:val="12"/>
        <w:tblW w:w="9396" w:type="dxa"/>
        <w:tblInd w:w="-105" w:type="dxa"/>
        <w:tblLayout w:type="fixed"/>
        <w:tblCellMar>
          <w:top w:w="0" w:type="dxa"/>
          <w:left w:w="0" w:type="dxa"/>
          <w:bottom w:w="0" w:type="dxa"/>
          <w:right w:w="0" w:type="dxa"/>
        </w:tblCellMar>
      </w:tblPr>
      <w:tblGrid>
        <w:gridCol w:w="735"/>
        <w:gridCol w:w="1680"/>
        <w:gridCol w:w="1470"/>
        <w:gridCol w:w="728"/>
        <w:gridCol w:w="784"/>
        <w:gridCol w:w="898"/>
        <w:gridCol w:w="898"/>
        <w:gridCol w:w="806"/>
        <w:gridCol w:w="1397"/>
      </w:tblGrid>
      <w:tr>
        <w:tblPrEx>
          <w:tblCellMar>
            <w:top w:w="0" w:type="dxa"/>
            <w:left w:w="0" w:type="dxa"/>
            <w:bottom w:w="0" w:type="dxa"/>
            <w:right w:w="0" w:type="dxa"/>
          </w:tblCellMar>
        </w:tblPrEx>
        <w:trPr>
          <w:cantSplit/>
          <w:trHeight w:val="655" w:hRule="atLeast"/>
        </w:trPr>
        <w:tc>
          <w:tcPr>
            <w:tcW w:w="735" w:type="dxa"/>
            <w:tcBorders>
              <w:top w:val="single" w:color="000000" w:sz="4" w:space="0"/>
              <w:left w:val="single" w:color="000000" w:sz="4" w:space="0"/>
              <w:bottom w:val="single" w:color="000000" w:sz="4" w:space="0"/>
              <w:right w:val="single" w:color="000000" w:sz="6" w:space="0"/>
            </w:tcBorders>
            <w:vAlign w:val="center"/>
          </w:tcPr>
          <w:p>
            <w:pPr>
              <w:spacing w:line="360" w:lineRule="auto"/>
              <w:ind w:right="-5"/>
              <w:jc w:val="center"/>
              <w:textAlignment w:val="bottom"/>
              <w:rPr>
                <w:rStyle w:val="18"/>
                <w:rFonts w:ascii="宋体" w:hAnsi="宋体"/>
                <w:szCs w:val="21"/>
              </w:rPr>
            </w:pPr>
            <w:r>
              <w:rPr>
                <w:rStyle w:val="18"/>
                <w:rFonts w:ascii="宋体" w:hAnsi="宋体"/>
                <w:szCs w:val="21"/>
              </w:rPr>
              <w:t>序号</w:t>
            </w:r>
          </w:p>
        </w:tc>
        <w:tc>
          <w:tcPr>
            <w:tcW w:w="1680" w:type="dxa"/>
            <w:tcBorders>
              <w:top w:val="single" w:color="000000" w:sz="4" w:space="0"/>
              <w:left w:val="single" w:color="000000" w:sz="6" w:space="0"/>
              <w:bottom w:val="single" w:color="000000" w:sz="4" w:space="0"/>
              <w:right w:val="single" w:color="000000" w:sz="4" w:space="0"/>
            </w:tcBorders>
            <w:vAlign w:val="center"/>
          </w:tcPr>
          <w:p>
            <w:pPr>
              <w:spacing w:line="360" w:lineRule="auto"/>
              <w:ind w:right="-5"/>
              <w:jc w:val="center"/>
              <w:textAlignment w:val="bottom"/>
              <w:rPr>
                <w:rStyle w:val="18"/>
                <w:rFonts w:ascii="宋体" w:hAnsi="宋体"/>
                <w:szCs w:val="21"/>
              </w:rPr>
            </w:pPr>
            <w:r>
              <w:rPr>
                <w:rStyle w:val="18"/>
                <w:rFonts w:ascii="宋体" w:hAnsi="宋体"/>
                <w:szCs w:val="21"/>
              </w:rPr>
              <w:t>货物名称</w:t>
            </w:r>
          </w:p>
        </w:tc>
        <w:tc>
          <w:tcPr>
            <w:tcW w:w="1470" w:type="dxa"/>
            <w:tcBorders>
              <w:top w:val="single" w:color="000000" w:sz="4" w:space="0"/>
              <w:left w:val="single" w:color="000000" w:sz="4" w:space="0"/>
              <w:bottom w:val="single" w:color="000000" w:sz="4" w:space="0"/>
              <w:right w:val="single" w:color="000000" w:sz="6" w:space="0"/>
            </w:tcBorders>
            <w:vAlign w:val="center"/>
          </w:tcPr>
          <w:p>
            <w:pPr>
              <w:spacing w:line="360" w:lineRule="auto"/>
              <w:ind w:right="-5"/>
              <w:jc w:val="center"/>
              <w:textAlignment w:val="bottom"/>
              <w:rPr>
                <w:rStyle w:val="18"/>
                <w:rFonts w:ascii="宋体" w:hAnsi="宋体"/>
                <w:szCs w:val="21"/>
              </w:rPr>
            </w:pPr>
            <w:r>
              <w:rPr>
                <w:rStyle w:val="18"/>
                <w:rFonts w:ascii="宋体" w:hAnsi="宋体"/>
                <w:szCs w:val="21"/>
              </w:rPr>
              <w:t>型号及规格</w:t>
            </w:r>
          </w:p>
        </w:tc>
        <w:tc>
          <w:tcPr>
            <w:tcW w:w="728" w:type="dxa"/>
            <w:tcBorders>
              <w:top w:val="single" w:color="000000" w:sz="4" w:space="0"/>
              <w:left w:val="single" w:color="000000" w:sz="6" w:space="0"/>
              <w:bottom w:val="single" w:color="000000" w:sz="4" w:space="0"/>
              <w:right w:val="single" w:color="000000" w:sz="6" w:space="0"/>
            </w:tcBorders>
            <w:vAlign w:val="center"/>
          </w:tcPr>
          <w:p>
            <w:pPr>
              <w:spacing w:line="360" w:lineRule="auto"/>
              <w:ind w:right="-5"/>
              <w:jc w:val="center"/>
              <w:textAlignment w:val="bottom"/>
              <w:rPr>
                <w:rStyle w:val="18"/>
                <w:rFonts w:ascii="宋体" w:hAnsi="宋体"/>
                <w:szCs w:val="21"/>
              </w:rPr>
            </w:pPr>
            <w:r>
              <w:rPr>
                <w:rStyle w:val="18"/>
                <w:rFonts w:ascii="宋体" w:hAnsi="宋体"/>
                <w:szCs w:val="21"/>
              </w:rPr>
              <w:t>单位</w:t>
            </w:r>
          </w:p>
        </w:tc>
        <w:tc>
          <w:tcPr>
            <w:tcW w:w="784" w:type="dxa"/>
            <w:tcBorders>
              <w:top w:val="single" w:color="000000" w:sz="4" w:space="0"/>
              <w:left w:val="single" w:color="000000" w:sz="6" w:space="0"/>
              <w:bottom w:val="single" w:color="000000" w:sz="4" w:space="0"/>
              <w:right w:val="single" w:color="000000" w:sz="6" w:space="0"/>
            </w:tcBorders>
            <w:vAlign w:val="center"/>
          </w:tcPr>
          <w:p>
            <w:pPr>
              <w:spacing w:line="360" w:lineRule="auto"/>
              <w:ind w:right="-5"/>
              <w:jc w:val="center"/>
              <w:textAlignment w:val="bottom"/>
              <w:rPr>
                <w:rStyle w:val="18"/>
                <w:rFonts w:ascii="宋体" w:hAnsi="宋体"/>
                <w:szCs w:val="21"/>
              </w:rPr>
            </w:pPr>
            <w:r>
              <w:rPr>
                <w:rStyle w:val="18"/>
                <w:rFonts w:ascii="宋体" w:hAnsi="宋体"/>
                <w:szCs w:val="21"/>
              </w:rPr>
              <w:t>数量</w:t>
            </w:r>
          </w:p>
        </w:tc>
        <w:tc>
          <w:tcPr>
            <w:tcW w:w="898" w:type="dxa"/>
            <w:tcBorders>
              <w:top w:val="single" w:color="000000" w:sz="4" w:space="0"/>
              <w:left w:val="single" w:color="000000" w:sz="6" w:space="0"/>
              <w:bottom w:val="single" w:color="000000" w:sz="4" w:space="0"/>
              <w:right w:val="single" w:color="000000" w:sz="6" w:space="0"/>
            </w:tcBorders>
            <w:vAlign w:val="center"/>
          </w:tcPr>
          <w:p>
            <w:pPr>
              <w:spacing w:line="360" w:lineRule="auto"/>
              <w:ind w:right="-5"/>
              <w:jc w:val="center"/>
              <w:textAlignment w:val="bottom"/>
              <w:rPr>
                <w:rStyle w:val="18"/>
                <w:rFonts w:ascii="宋体" w:hAnsi="宋体"/>
                <w:szCs w:val="21"/>
              </w:rPr>
            </w:pPr>
            <w:r>
              <w:rPr>
                <w:rStyle w:val="18"/>
                <w:rFonts w:ascii="宋体" w:hAnsi="宋体"/>
                <w:szCs w:val="21"/>
              </w:rPr>
              <w:t>单价</w:t>
            </w:r>
            <w:r>
              <w:rPr>
                <w:rStyle w:val="18"/>
                <w:rFonts w:hint="eastAsia" w:ascii="宋体" w:hAnsi="宋体"/>
                <w:szCs w:val="21"/>
              </w:rPr>
              <w:t>（元）</w:t>
            </w:r>
          </w:p>
        </w:tc>
        <w:tc>
          <w:tcPr>
            <w:tcW w:w="898" w:type="dxa"/>
            <w:tcBorders>
              <w:top w:val="single" w:color="000000" w:sz="4" w:space="0"/>
              <w:left w:val="single" w:color="000000" w:sz="6" w:space="0"/>
              <w:bottom w:val="single" w:color="000000" w:sz="4" w:space="0"/>
              <w:right w:val="single" w:color="000000" w:sz="6" w:space="0"/>
            </w:tcBorders>
            <w:vAlign w:val="center"/>
          </w:tcPr>
          <w:p>
            <w:pPr>
              <w:spacing w:line="360" w:lineRule="auto"/>
              <w:ind w:right="-5"/>
              <w:jc w:val="center"/>
              <w:textAlignment w:val="bottom"/>
              <w:rPr>
                <w:rStyle w:val="18"/>
                <w:rFonts w:ascii="宋体" w:hAnsi="宋体"/>
                <w:szCs w:val="21"/>
              </w:rPr>
            </w:pPr>
            <w:r>
              <w:rPr>
                <w:rStyle w:val="18"/>
                <w:rFonts w:ascii="宋体" w:hAnsi="宋体"/>
                <w:szCs w:val="21"/>
              </w:rPr>
              <w:t>总价</w:t>
            </w:r>
            <w:r>
              <w:rPr>
                <w:rStyle w:val="18"/>
                <w:rFonts w:hint="eastAsia" w:ascii="宋体" w:hAnsi="宋体"/>
                <w:szCs w:val="21"/>
              </w:rPr>
              <w:t>（元）</w:t>
            </w:r>
          </w:p>
        </w:tc>
        <w:tc>
          <w:tcPr>
            <w:tcW w:w="806" w:type="dxa"/>
            <w:tcBorders>
              <w:top w:val="single" w:color="000000" w:sz="4" w:space="0"/>
              <w:left w:val="single" w:color="000000" w:sz="6" w:space="0"/>
              <w:bottom w:val="single" w:color="000000" w:sz="4" w:space="0"/>
              <w:right w:val="single" w:color="auto" w:sz="4" w:space="0"/>
            </w:tcBorders>
            <w:vAlign w:val="center"/>
          </w:tcPr>
          <w:p>
            <w:pPr>
              <w:spacing w:line="360" w:lineRule="auto"/>
              <w:ind w:right="-5"/>
              <w:jc w:val="center"/>
              <w:textAlignment w:val="bottom"/>
              <w:rPr>
                <w:rStyle w:val="18"/>
                <w:rFonts w:ascii="宋体" w:hAnsi="宋体"/>
                <w:szCs w:val="21"/>
              </w:rPr>
            </w:pPr>
            <w:r>
              <w:rPr>
                <w:rStyle w:val="18"/>
                <w:rFonts w:hint="eastAsia" w:ascii="宋体" w:hAnsi="宋体"/>
                <w:szCs w:val="21"/>
              </w:rPr>
              <w:t>品牌</w:t>
            </w:r>
          </w:p>
        </w:tc>
        <w:tc>
          <w:tcPr>
            <w:tcW w:w="1397" w:type="dxa"/>
            <w:tcBorders>
              <w:top w:val="single" w:color="000000" w:sz="4" w:space="0"/>
              <w:left w:val="single" w:color="auto" w:sz="4" w:space="0"/>
              <w:bottom w:val="single" w:color="000000" w:sz="4" w:space="0"/>
              <w:right w:val="single" w:color="000000" w:sz="4" w:space="0"/>
            </w:tcBorders>
            <w:vAlign w:val="center"/>
          </w:tcPr>
          <w:p>
            <w:pPr>
              <w:spacing w:line="360" w:lineRule="auto"/>
              <w:ind w:right="-5"/>
              <w:jc w:val="center"/>
              <w:textAlignment w:val="bottom"/>
              <w:rPr>
                <w:rStyle w:val="18"/>
                <w:rFonts w:ascii="宋体" w:hAnsi="宋体"/>
                <w:szCs w:val="21"/>
              </w:rPr>
            </w:pPr>
            <w:r>
              <w:rPr>
                <w:rStyle w:val="18"/>
                <w:rFonts w:ascii="宋体" w:hAnsi="宋体"/>
                <w:szCs w:val="21"/>
              </w:rPr>
              <w:t>制造商/产地</w:t>
            </w:r>
          </w:p>
        </w:tc>
      </w:tr>
      <w:tr>
        <w:tblPrEx>
          <w:tblCellMar>
            <w:top w:w="0" w:type="dxa"/>
            <w:left w:w="0" w:type="dxa"/>
            <w:bottom w:w="0" w:type="dxa"/>
            <w:right w:w="0" w:type="dxa"/>
          </w:tblCellMar>
        </w:tblPrEx>
        <w:trPr>
          <w:cantSplit/>
          <w:trHeight w:val="655" w:hRule="atLeast"/>
        </w:trPr>
        <w:tc>
          <w:tcPr>
            <w:tcW w:w="735" w:type="dxa"/>
            <w:tcBorders>
              <w:top w:val="single" w:color="000000" w:sz="4" w:space="0"/>
              <w:left w:val="single" w:color="000000" w:sz="4" w:space="0"/>
              <w:bottom w:val="single" w:color="000000" w:sz="4" w:space="0"/>
              <w:right w:val="single" w:color="000000" w:sz="6" w:space="0"/>
            </w:tcBorders>
          </w:tcPr>
          <w:p>
            <w:pPr>
              <w:spacing w:line="360" w:lineRule="auto"/>
              <w:ind w:right="-5"/>
              <w:jc w:val="center"/>
              <w:textAlignment w:val="bottom"/>
              <w:rPr>
                <w:rStyle w:val="18"/>
                <w:rFonts w:ascii="宋体" w:hAnsi="宋体"/>
                <w:szCs w:val="21"/>
              </w:rPr>
            </w:pPr>
            <w:r>
              <w:rPr>
                <w:rStyle w:val="18"/>
                <w:rFonts w:hint="eastAsia" w:ascii="宋体" w:hAnsi="宋体"/>
                <w:szCs w:val="21"/>
              </w:rPr>
              <w:t>1</w:t>
            </w:r>
          </w:p>
        </w:tc>
        <w:tc>
          <w:tcPr>
            <w:tcW w:w="1680" w:type="dxa"/>
            <w:tcBorders>
              <w:top w:val="single" w:color="000000" w:sz="4" w:space="0"/>
              <w:left w:val="single" w:color="000000" w:sz="6" w:space="0"/>
              <w:bottom w:val="single" w:color="000000" w:sz="4" w:space="0"/>
              <w:right w:val="single" w:color="000000" w:sz="4" w:space="0"/>
            </w:tcBorders>
          </w:tcPr>
          <w:p>
            <w:pPr>
              <w:spacing w:line="360" w:lineRule="auto"/>
              <w:ind w:right="-5"/>
              <w:jc w:val="center"/>
              <w:textAlignment w:val="bottom"/>
              <w:rPr>
                <w:rStyle w:val="18"/>
                <w:rFonts w:ascii="宋体" w:hAnsi="宋体"/>
                <w:szCs w:val="21"/>
              </w:rPr>
            </w:pPr>
          </w:p>
        </w:tc>
        <w:tc>
          <w:tcPr>
            <w:tcW w:w="1470" w:type="dxa"/>
            <w:tcBorders>
              <w:top w:val="single" w:color="000000" w:sz="4" w:space="0"/>
              <w:left w:val="single" w:color="000000" w:sz="4" w:space="0"/>
              <w:bottom w:val="single" w:color="000000" w:sz="4" w:space="0"/>
              <w:right w:val="single" w:color="000000" w:sz="6" w:space="0"/>
            </w:tcBorders>
          </w:tcPr>
          <w:p>
            <w:pPr>
              <w:spacing w:line="360" w:lineRule="auto"/>
              <w:ind w:right="-5"/>
              <w:jc w:val="center"/>
              <w:textAlignment w:val="bottom"/>
              <w:rPr>
                <w:rStyle w:val="18"/>
                <w:rFonts w:ascii="宋体" w:hAnsi="宋体"/>
                <w:szCs w:val="21"/>
              </w:rPr>
            </w:pPr>
          </w:p>
        </w:tc>
        <w:tc>
          <w:tcPr>
            <w:tcW w:w="728" w:type="dxa"/>
            <w:tcBorders>
              <w:top w:val="single" w:color="000000" w:sz="4" w:space="0"/>
              <w:left w:val="single" w:color="000000" w:sz="6" w:space="0"/>
              <w:bottom w:val="single" w:color="000000" w:sz="4" w:space="0"/>
              <w:right w:val="single" w:color="000000" w:sz="6" w:space="0"/>
            </w:tcBorders>
          </w:tcPr>
          <w:p>
            <w:pPr>
              <w:spacing w:line="360" w:lineRule="auto"/>
              <w:ind w:right="-5"/>
              <w:jc w:val="center"/>
              <w:textAlignment w:val="bottom"/>
              <w:rPr>
                <w:rStyle w:val="18"/>
                <w:rFonts w:ascii="宋体" w:hAnsi="宋体"/>
                <w:szCs w:val="21"/>
              </w:rPr>
            </w:pPr>
          </w:p>
        </w:tc>
        <w:tc>
          <w:tcPr>
            <w:tcW w:w="784" w:type="dxa"/>
            <w:tcBorders>
              <w:top w:val="single" w:color="000000" w:sz="4" w:space="0"/>
              <w:left w:val="single" w:color="000000" w:sz="6" w:space="0"/>
              <w:bottom w:val="single" w:color="000000" w:sz="4" w:space="0"/>
              <w:right w:val="single" w:color="000000" w:sz="6" w:space="0"/>
            </w:tcBorders>
          </w:tcPr>
          <w:p>
            <w:pPr>
              <w:spacing w:line="360" w:lineRule="auto"/>
              <w:ind w:right="-5"/>
              <w:jc w:val="center"/>
              <w:textAlignment w:val="bottom"/>
              <w:rPr>
                <w:rStyle w:val="18"/>
                <w:rFonts w:ascii="宋体" w:hAnsi="宋体"/>
                <w:szCs w:val="21"/>
              </w:rPr>
            </w:pPr>
          </w:p>
        </w:tc>
        <w:tc>
          <w:tcPr>
            <w:tcW w:w="898" w:type="dxa"/>
            <w:tcBorders>
              <w:top w:val="single" w:color="000000" w:sz="4" w:space="0"/>
              <w:left w:val="single" w:color="000000" w:sz="6" w:space="0"/>
              <w:bottom w:val="single" w:color="000000" w:sz="4" w:space="0"/>
              <w:right w:val="single" w:color="000000" w:sz="6" w:space="0"/>
            </w:tcBorders>
          </w:tcPr>
          <w:p>
            <w:pPr>
              <w:spacing w:line="360" w:lineRule="auto"/>
              <w:ind w:right="-5"/>
              <w:jc w:val="center"/>
              <w:textAlignment w:val="bottom"/>
              <w:rPr>
                <w:rStyle w:val="18"/>
                <w:rFonts w:ascii="宋体" w:hAnsi="宋体"/>
                <w:szCs w:val="21"/>
              </w:rPr>
            </w:pPr>
          </w:p>
        </w:tc>
        <w:tc>
          <w:tcPr>
            <w:tcW w:w="898" w:type="dxa"/>
            <w:tcBorders>
              <w:top w:val="single" w:color="000000" w:sz="4" w:space="0"/>
              <w:left w:val="single" w:color="000000" w:sz="6" w:space="0"/>
              <w:bottom w:val="single" w:color="000000" w:sz="4" w:space="0"/>
              <w:right w:val="single" w:color="000000" w:sz="6" w:space="0"/>
            </w:tcBorders>
          </w:tcPr>
          <w:p>
            <w:pPr>
              <w:spacing w:line="360" w:lineRule="auto"/>
              <w:ind w:right="-5"/>
              <w:jc w:val="center"/>
              <w:textAlignment w:val="bottom"/>
              <w:rPr>
                <w:rStyle w:val="18"/>
                <w:rFonts w:ascii="宋体" w:hAnsi="宋体"/>
                <w:szCs w:val="21"/>
              </w:rPr>
            </w:pPr>
          </w:p>
        </w:tc>
        <w:tc>
          <w:tcPr>
            <w:tcW w:w="806" w:type="dxa"/>
            <w:tcBorders>
              <w:top w:val="single" w:color="000000" w:sz="4" w:space="0"/>
              <w:left w:val="single" w:color="000000" w:sz="6" w:space="0"/>
              <w:bottom w:val="single" w:color="000000" w:sz="4" w:space="0"/>
              <w:right w:val="single" w:color="auto" w:sz="4" w:space="0"/>
            </w:tcBorders>
          </w:tcPr>
          <w:p>
            <w:pPr>
              <w:spacing w:line="360" w:lineRule="auto"/>
              <w:ind w:right="-5"/>
              <w:jc w:val="center"/>
              <w:textAlignment w:val="bottom"/>
              <w:rPr>
                <w:rStyle w:val="18"/>
                <w:rFonts w:ascii="宋体" w:hAnsi="宋体"/>
                <w:szCs w:val="21"/>
              </w:rPr>
            </w:pPr>
          </w:p>
        </w:tc>
        <w:tc>
          <w:tcPr>
            <w:tcW w:w="1397" w:type="dxa"/>
            <w:tcBorders>
              <w:top w:val="single" w:color="000000" w:sz="4" w:space="0"/>
              <w:left w:val="single" w:color="auto" w:sz="4" w:space="0"/>
              <w:bottom w:val="single" w:color="000000" w:sz="4" w:space="0"/>
              <w:right w:val="single" w:color="000000" w:sz="4" w:space="0"/>
            </w:tcBorders>
          </w:tcPr>
          <w:p>
            <w:pPr>
              <w:spacing w:line="360" w:lineRule="auto"/>
              <w:ind w:right="-5"/>
              <w:jc w:val="center"/>
              <w:textAlignment w:val="bottom"/>
              <w:rPr>
                <w:rStyle w:val="18"/>
                <w:rFonts w:ascii="宋体" w:hAnsi="宋体"/>
                <w:szCs w:val="21"/>
              </w:rPr>
            </w:pPr>
          </w:p>
        </w:tc>
      </w:tr>
      <w:tr>
        <w:tblPrEx>
          <w:tblCellMar>
            <w:top w:w="0" w:type="dxa"/>
            <w:left w:w="0" w:type="dxa"/>
            <w:bottom w:w="0" w:type="dxa"/>
            <w:right w:w="0" w:type="dxa"/>
          </w:tblCellMar>
        </w:tblPrEx>
        <w:trPr>
          <w:cantSplit/>
          <w:trHeight w:val="655" w:hRule="atLeast"/>
        </w:trPr>
        <w:tc>
          <w:tcPr>
            <w:tcW w:w="735" w:type="dxa"/>
            <w:tcBorders>
              <w:top w:val="single" w:color="000000" w:sz="4" w:space="0"/>
              <w:left w:val="single" w:color="000000" w:sz="4" w:space="0"/>
              <w:bottom w:val="single" w:color="000000" w:sz="4" w:space="0"/>
              <w:right w:val="single" w:color="000000" w:sz="6" w:space="0"/>
            </w:tcBorders>
          </w:tcPr>
          <w:p>
            <w:pPr>
              <w:spacing w:line="360" w:lineRule="auto"/>
              <w:ind w:right="-5"/>
              <w:jc w:val="center"/>
              <w:textAlignment w:val="bottom"/>
              <w:rPr>
                <w:rStyle w:val="18"/>
                <w:rFonts w:ascii="宋体" w:hAnsi="宋体"/>
                <w:szCs w:val="21"/>
              </w:rPr>
            </w:pPr>
            <w:r>
              <w:rPr>
                <w:rStyle w:val="18"/>
                <w:rFonts w:hint="eastAsia" w:ascii="宋体" w:hAnsi="宋体"/>
                <w:szCs w:val="21"/>
              </w:rPr>
              <w:t>2</w:t>
            </w:r>
          </w:p>
        </w:tc>
        <w:tc>
          <w:tcPr>
            <w:tcW w:w="1680" w:type="dxa"/>
            <w:tcBorders>
              <w:top w:val="single" w:color="000000" w:sz="4" w:space="0"/>
              <w:left w:val="single" w:color="000000" w:sz="6" w:space="0"/>
              <w:bottom w:val="single" w:color="000000" w:sz="4" w:space="0"/>
              <w:right w:val="single" w:color="000000" w:sz="4" w:space="0"/>
            </w:tcBorders>
          </w:tcPr>
          <w:p>
            <w:pPr>
              <w:spacing w:line="360" w:lineRule="auto"/>
              <w:ind w:right="-5"/>
              <w:jc w:val="center"/>
              <w:textAlignment w:val="bottom"/>
              <w:rPr>
                <w:rStyle w:val="18"/>
                <w:rFonts w:ascii="宋体" w:hAnsi="宋体"/>
                <w:szCs w:val="21"/>
              </w:rPr>
            </w:pPr>
          </w:p>
        </w:tc>
        <w:tc>
          <w:tcPr>
            <w:tcW w:w="1470" w:type="dxa"/>
            <w:tcBorders>
              <w:top w:val="single" w:color="000000" w:sz="4" w:space="0"/>
              <w:left w:val="single" w:color="000000" w:sz="4" w:space="0"/>
              <w:bottom w:val="single" w:color="000000" w:sz="4" w:space="0"/>
              <w:right w:val="single" w:color="000000" w:sz="6" w:space="0"/>
            </w:tcBorders>
          </w:tcPr>
          <w:p>
            <w:pPr>
              <w:spacing w:line="360" w:lineRule="auto"/>
              <w:ind w:right="-5"/>
              <w:jc w:val="center"/>
              <w:textAlignment w:val="bottom"/>
              <w:rPr>
                <w:rStyle w:val="18"/>
                <w:rFonts w:ascii="宋体" w:hAnsi="宋体"/>
                <w:szCs w:val="21"/>
              </w:rPr>
            </w:pPr>
          </w:p>
        </w:tc>
        <w:tc>
          <w:tcPr>
            <w:tcW w:w="728" w:type="dxa"/>
            <w:tcBorders>
              <w:top w:val="single" w:color="000000" w:sz="4" w:space="0"/>
              <w:left w:val="single" w:color="000000" w:sz="6" w:space="0"/>
              <w:bottom w:val="single" w:color="000000" w:sz="4" w:space="0"/>
              <w:right w:val="single" w:color="000000" w:sz="6" w:space="0"/>
            </w:tcBorders>
          </w:tcPr>
          <w:p>
            <w:pPr>
              <w:spacing w:line="360" w:lineRule="auto"/>
              <w:ind w:right="-5"/>
              <w:jc w:val="center"/>
              <w:textAlignment w:val="bottom"/>
              <w:rPr>
                <w:rStyle w:val="18"/>
                <w:rFonts w:ascii="宋体" w:hAnsi="宋体"/>
                <w:szCs w:val="21"/>
              </w:rPr>
            </w:pPr>
          </w:p>
        </w:tc>
        <w:tc>
          <w:tcPr>
            <w:tcW w:w="784" w:type="dxa"/>
            <w:tcBorders>
              <w:top w:val="single" w:color="000000" w:sz="4" w:space="0"/>
              <w:left w:val="single" w:color="000000" w:sz="6" w:space="0"/>
              <w:bottom w:val="single" w:color="000000" w:sz="4" w:space="0"/>
              <w:right w:val="single" w:color="000000" w:sz="6" w:space="0"/>
            </w:tcBorders>
          </w:tcPr>
          <w:p>
            <w:pPr>
              <w:spacing w:line="360" w:lineRule="auto"/>
              <w:ind w:right="-5"/>
              <w:jc w:val="center"/>
              <w:textAlignment w:val="bottom"/>
              <w:rPr>
                <w:rStyle w:val="18"/>
                <w:rFonts w:ascii="宋体" w:hAnsi="宋体"/>
                <w:szCs w:val="21"/>
              </w:rPr>
            </w:pPr>
          </w:p>
        </w:tc>
        <w:tc>
          <w:tcPr>
            <w:tcW w:w="898" w:type="dxa"/>
            <w:tcBorders>
              <w:top w:val="single" w:color="000000" w:sz="4" w:space="0"/>
              <w:left w:val="single" w:color="000000" w:sz="6" w:space="0"/>
              <w:bottom w:val="single" w:color="000000" w:sz="4" w:space="0"/>
              <w:right w:val="single" w:color="000000" w:sz="6" w:space="0"/>
            </w:tcBorders>
          </w:tcPr>
          <w:p>
            <w:pPr>
              <w:spacing w:line="360" w:lineRule="auto"/>
              <w:ind w:right="-5"/>
              <w:jc w:val="center"/>
              <w:textAlignment w:val="bottom"/>
              <w:rPr>
                <w:rStyle w:val="18"/>
                <w:rFonts w:ascii="宋体" w:hAnsi="宋体"/>
                <w:szCs w:val="21"/>
              </w:rPr>
            </w:pPr>
          </w:p>
        </w:tc>
        <w:tc>
          <w:tcPr>
            <w:tcW w:w="898" w:type="dxa"/>
            <w:tcBorders>
              <w:top w:val="single" w:color="000000" w:sz="4" w:space="0"/>
              <w:left w:val="single" w:color="000000" w:sz="6" w:space="0"/>
              <w:bottom w:val="single" w:color="000000" w:sz="4" w:space="0"/>
              <w:right w:val="single" w:color="000000" w:sz="6" w:space="0"/>
            </w:tcBorders>
          </w:tcPr>
          <w:p>
            <w:pPr>
              <w:spacing w:line="360" w:lineRule="auto"/>
              <w:ind w:right="-5"/>
              <w:jc w:val="center"/>
              <w:textAlignment w:val="bottom"/>
              <w:rPr>
                <w:rStyle w:val="18"/>
                <w:rFonts w:ascii="宋体" w:hAnsi="宋体"/>
                <w:szCs w:val="21"/>
              </w:rPr>
            </w:pPr>
          </w:p>
        </w:tc>
        <w:tc>
          <w:tcPr>
            <w:tcW w:w="806" w:type="dxa"/>
            <w:tcBorders>
              <w:top w:val="single" w:color="000000" w:sz="4" w:space="0"/>
              <w:left w:val="single" w:color="000000" w:sz="6" w:space="0"/>
              <w:bottom w:val="single" w:color="000000" w:sz="4" w:space="0"/>
              <w:right w:val="single" w:color="auto" w:sz="4" w:space="0"/>
            </w:tcBorders>
          </w:tcPr>
          <w:p>
            <w:pPr>
              <w:spacing w:line="360" w:lineRule="auto"/>
              <w:ind w:right="-5"/>
              <w:jc w:val="center"/>
              <w:textAlignment w:val="bottom"/>
              <w:rPr>
                <w:rStyle w:val="18"/>
                <w:rFonts w:ascii="宋体" w:hAnsi="宋体"/>
                <w:szCs w:val="21"/>
              </w:rPr>
            </w:pPr>
          </w:p>
        </w:tc>
        <w:tc>
          <w:tcPr>
            <w:tcW w:w="1397" w:type="dxa"/>
            <w:tcBorders>
              <w:top w:val="single" w:color="000000" w:sz="4" w:space="0"/>
              <w:left w:val="single" w:color="auto" w:sz="4" w:space="0"/>
              <w:bottom w:val="single" w:color="000000" w:sz="4" w:space="0"/>
              <w:right w:val="single" w:color="000000" w:sz="4" w:space="0"/>
            </w:tcBorders>
          </w:tcPr>
          <w:p>
            <w:pPr>
              <w:spacing w:line="360" w:lineRule="auto"/>
              <w:ind w:right="-5"/>
              <w:jc w:val="center"/>
              <w:textAlignment w:val="bottom"/>
              <w:rPr>
                <w:rStyle w:val="18"/>
                <w:rFonts w:ascii="宋体" w:hAnsi="宋体"/>
                <w:szCs w:val="21"/>
              </w:rPr>
            </w:pPr>
          </w:p>
        </w:tc>
      </w:tr>
      <w:tr>
        <w:tblPrEx>
          <w:tblCellMar>
            <w:top w:w="0" w:type="dxa"/>
            <w:left w:w="0" w:type="dxa"/>
            <w:bottom w:w="0" w:type="dxa"/>
            <w:right w:w="0" w:type="dxa"/>
          </w:tblCellMar>
        </w:tblPrEx>
        <w:trPr>
          <w:cantSplit/>
          <w:trHeight w:val="655" w:hRule="atLeast"/>
        </w:trPr>
        <w:tc>
          <w:tcPr>
            <w:tcW w:w="735" w:type="dxa"/>
            <w:tcBorders>
              <w:top w:val="single" w:color="000000" w:sz="4" w:space="0"/>
              <w:left w:val="single" w:color="000000" w:sz="4" w:space="0"/>
              <w:bottom w:val="single" w:color="000000" w:sz="4" w:space="0"/>
              <w:right w:val="single" w:color="000000" w:sz="6" w:space="0"/>
            </w:tcBorders>
          </w:tcPr>
          <w:p>
            <w:pPr>
              <w:spacing w:line="360" w:lineRule="auto"/>
              <w:ind w:right="-5"/>
              <w:jc w:val="center"/>
              <w:textAlignment w:val="bottom"/>
              <w:rPr>
                <w:rStyle w:val="18"/>
                <w:rFonts w:ascii="宋体" w:hAnsi="宋体"/>
                <w:szCs w:val="21"/>
              </w:rPr>
            </w:pPr>
            <w:r>
              <w:rPr>
                <w:rStyle w:val="18"/>
                <w:rFonts w:hint="eastAsia" w:ascii="宋体" w:hAnsi="宋体"/>
                <w:szCs w:val="21"/>
              </w:rPr>
              <w:t>3</w:t>
            </w:r>
          </w:p>
        </w:tc>
        <w:tc>
          <w:tcPr>
            <w:tcW w:w="1680" w:type="dxa"/>
            <w:tcBorders>
              <w:top w:val="single" w:color="000000" w:sz="4" w:space="0"/>
              <w:left w:val="single" w:color="000000" w:sz="6" w:space="0"/>
              <w:bottom w:val="single" w:color="000000" w:sz="4" w:space="0"/>
              <w:right w:val="single" w:color="000000" w:sz="4" w:space="0"/>
            </w:tcBorders>
          </w:tcPr>
          <w:p>
            <w:pPr>
              <w:spacing w:line="360" w:lineRule="auto"/>
              <w:ind w:right="-5"/>
              <w:jc w:val="center"/>
              <w:textAlignment w:val="bottom"/>
              <w:rPr>
                <w:rStyle w:val="18"/>
                <w:rFonts w:ascii="宋体" w:hAnsi="宋体"/>
                <w:szCs w:val="21"/>
              </w:rPr>
            </w:pPr>
          </w:p>
        </w:tc>
        <w:tc>
          <w:tcPr>
            <w:tcW w:w="1470" w:type="dxa"/>
            <w:tcBorders>
              <w:top w:val="single" w:color="000000" w:sz="4" w:space="0"/>
              <w:left w:val="single" w:color="000000" w:sz="4" w:space="0"/>
              <w:bottom w:val="single" w:color="000000" w:sz="4" w:space="0"/>
              <w:right w:val="single" w:color="000000" w:sz="6" w:space="0"/>
            </w:tcBorders>
          </w:tcPr>
          <w:p>
            <w:pPr>
              <w:spacing w:line="360" w:lineRule="auto"/>
              <w:ind w:right="-5"/>
              <w:jc w:val="center"/>
              <w:textAlignment w:val="bottom"/>
              <w:rPr>
                <w:rStyle w:val="18"/>
                <w:rFonts w:ascii="宋体" w:hAnsi="宋体"/>
                <w:szCs w:val="21"/>
              </w:rPr>
            </w:pPr>
          </w:p>
        </w:tc>
        <w:tc>
          <w:tcPr>
            <w:tcW w:w="728" w:type="dxa"/>
            <w:tcBorders>
              <w:top w:val="single" w:color="000000" w:sz="4" w:space="0"/>
              <w:left w:val="single" w:color="000000" w:sz="6" w:space="0"/>
              <w:bottom w:val="single" w:color="000000" w:sz="4" w:space="0"/>
              <w:right w:val="single" w:color="000000" w:sz="6" w:space="0"/>
            </w:tcBorders>
          </w:tcPr>
          <w:p>
            <w:pPr>
              <w:spacing w:line="360" w:lineRule="auto"/>
              <w:ind w:right="-5"/>
              <w:jc w:val="center"/>
              <w:textAlignment w:val="bottom"/>
              <w:rPr>
                <w:rStyle w:val="18"/>
                <w:rFonts w:ascii="宋体" w:hAnsi="宋体"/>
                <w:szCs w:val="21"/>
              </w:rPr>
            </w:pPr>
          </w:p>
        </w:tc>
        <w:tc>
          <w:tcPr>
            <w:tcW w:w="784" w:type="dxa"/>
            <w:tcBorders>
              <w:top w:val="single" w:color="000000" w:sz="4" w:space="0"/>
              <w:left w:val="single" w:color="000000" w:sz="6" w:space="0"/>
              <w:bottom w:val="single" w:color="000000" w:sz="4" w:space="0"/>
              <w:right w:val="single" w:color="000000" w:sz="6" w:space="0"/>
            </w:tcBorders>
          </w:tcPr>
          <w:p>
            <w:pPr>
              <w:spacing w:line="360" w:lineRule="auto"/>
              <w:ind w:right="-5"/>
              <w:jc w:val="center"/>
              <w:textAlignment w:val="bottom"/>
              <w:rPr>
                <w:rStyle w:val="18"/>
                <w:rFonts w:ascii="宋体" w:hAnsi="宋体"/>
                <w:szCs w:val="21"/>
              </w:rPr>
            </w:pPr>
          </w:p>
        </w:tc>
        <w:tc>
          <w:tcPr>
            <w:tcW w:w="898" w:type="dxa"/>
            <w:tcBorders>
              <w:top w:val="single" w:color="000000" w:sz="4" w:space="0"/>
              <w:left w:val="single" w:color="000000" w:sz="6" w:space="0"/>
              <w:bottom w:val="single" w:color="000000" w:sz="4" w:space="0"/>
              <w:right w:val="single" w:color="000000" w:sz="6" w:space="0"/>
            </w:tcBorders>
          </w:tcPr>
          <w:p>
            <w:pPr>
              <w:spacing w:line="360" w:lineRule="auto"/>
              <w:ind w:right="-5"/>
              <w:jc w:val="center"/>
              <w:textAlignment w:val="bottom"/>
              <w:rPr>
                <w:rStyle w:val="18"/>
                <w:rFonts w:ascii="宋体" w:hAnsi="宋体"/>
                <w:szCs w:val="21"/>
              </w:rPr>
            </w:pPr>
          </w:p>
        </w:tc>
        <w:tc>
          <w:tcPr>
            <w:tcW w:w="898" w:type="dxa"/>
            <w:tcBorders>
              <w:top w:val="single" w:color="000000" w:sz="4" w:space="0"/>
              <w:left w:val="single" w:color="000000" w:sz="6" w:space="0"/>
              <w:bottom w:val="single" w:color="000000" w:sz="4" w:space="0"/>
              <w:right w:val="single" w:color="000000" w:sz="6" w:space="0"/>
            </w:tcBorders>
          </w:tcPr>
          <w:p>
            <w:pPr>
              <w:spacing w:line="360" w:lineRule="auto"/>
              <w:ind w:right="-5"/>
              <w:jc w:val="center"/>
              <w:textAlignment w:val="bottom"/>
              <w:rPr>
                <w:rStyle w:val="18"/>
                <w:rFonts w:ascii="宋体" w:hAnsi="宋体"/>
                <w:szCs w:val="21"/>
              </w:rPr>
            </w:pPr>
          </w:p>
        </w:tc>
        <w:tc>
          <w:tcPr>
            <w:tcW w:w="806" w:type="dxa"/>
            <w:tcBorders>
              <w:top w:val="single" w:color="000000" w:sz="4" w:space="0"/>
              <w:left w:val="single" w:color="000000" w:sz="6" w:space="0"/>
              <w:bottom w:val="single" w:color="000000" w:sz="4" w:space="0"/>
              <w:right w:val="single" w:color="auto" w:sz="4" w:space="0"/>
            </w:tcBorders>
          </w:tcPr>
          <w:p>
            <w:pPr>
              <w:spacing w:line="360" w:lineRule="auto"/>
              <w:ind w:right="-5"/>
              <w:jc w:val="center"/>
              <w:textAlignment w:val="bottom"/>
              <w:rPr>
                <w:rStyle w:val="18"/>
                <w:rFonts w:ascii="宋体" w:hAnsi="宋体"/>
                <w:szCs w:val="21"/>
              </w:rPr>
            </w:pPr>
          </w:p>
        </w:tc>
        <w:tc>
          <w:tcPr>
            <w:tcW w:w="1397" w:type="dxa"/>
            <w:tcBorders>
              <w:top w:val="single" w:color="000000" w:sz="4" w:space="0"/>
              <w:left w:val="single" w:color="auto" w:sz="4" w:space="0"/>
              <w:bottom w:val="single" w:color="000000" w:sz="4" w:space="0"/>
              <w:right w:val="single" w:color="000000" w:sz="4" w:space="0"/>
            </w:tcBorders>
          </w:tcPr>
          <w:p>
            <w:pPr>
              <w:spacing w:line="360" w:lineRule="auto"/>
              <w:ind w:right="-5"/>
              <w:jc w:val="center"/>
              <w:textAlignment w:val="bottom"/>
              <w:rPr>
                <w:rStyle w:val="18"/>
                <w:rFonts w:ascii="宋体" w:hAnsi="宋体"/>
                <w:szCs w:val="21"/>
              </w:rPr>
            </w:pPr>
          </w:p>
        </w:tc>
      </w:tr>
      <w:tr>
        <w:tblPrEx>
          <w:tblCellMar>
            <w:top w:w="0" w:type="dxa"/>
            <w:left w:w="0" w:type="dxa"/>
            <w:bottom w:w="0" w:type="dxa"/>
            <w:right w:w="0" w:type="dxa"/>
          </w:tblCellMar>
        </w:tblPrEx>
        <w:trPr>
          <w:cantSplit/>
          <w:trHeight w:val="655" w:hRule="atLeast"/>
        </w:trPr>
        <w:tc>
          <w:tcPr>
            <w:tcW w:w="735" w:type="dxa"/>
            <w:tcBorders>
              <w:top w:val="single" w:color="000000" w:sz="4" w:space="0"/>
              <w:left w:val="single" w:color="000000" w:sz="4" w:space="0"/>
              <w:bottom w:val="single" w:color="000000" w:sz="4" w:space="0"/>
              <w:right w:val="single" w:color="000000" w:sz="6" w:space="0"/>
            </w:tcBorders>
          </w:tcPr>
          <w:p>
            <w:pPr>
              <w:spacing w:line="360" w:lineRule="auto"/>
              <w:ind w:right="-5"/>
              <w:jc w:val="center"/>
              <w:textAlignment w:val="bottom"/>
              <w:rPr>
                <w:rStyle w:val="18"/>
                <w:rFonts w:ascii="宋体" w:hAnsi="宋体"/>
                <w:szCs w:val="21"/>
              </w:rPr>
            </w:pPr>
            <w:r>
              <w:rPr>
                <w:rStyle w:val="18"/>
                <w:rFonts w:hint="eastAsia" w:ascii="宋体" w:hAnsi="宋体"/>
                <w:szCs w:val="21"/>
              </w:rPr>
              <w:t>4</w:t>
            </w:r>
          </w:p>
        </w:tc>
        <w:tc>
          <w:tcPr>
            <w:tcW w:w="1680" w:type="dxa"/>
            <w:tcBorders>
              <w:top w:val="single" w:color="000000" w:sz="4" w:space="0"/>
              <w:left w:val="single" w:color="000000" w:sz="6" w:space="0"/>
              <w:bottom w:val="single" w:color="000000" w:sz="4" w:space="0"/>
              <w:right w:val="single" w:color="000000" w:sz="4" w:space="0"/>
            </w:tcBorders>
          </w:tcPr>
          <w:p>
            <w:pPr>
              <w:spacing w:line="360" w:lineRule="auto"/>
              <w:ind w:right="-5"/>
              <w:jc w:val="center"/>
              <w:textAlignment w:val="bottom"/>
              <w:rPr>
                <w:rStyle w:val="18"/>
                <w:rFonts w:ascii="宋体" w:hAnsi="宋体"/>
                <w:szCs w:val="21"/>
              </w:rPr>
            </w:pPr>
          </w:p>
        </w:tc>
        <w:tc>
          <w:tcPr>
            <w:tcW w:w="1470" w:type="dxa"/>
            <w:tcBorders>
              <w:top w:val="single" w:color="000000" w:sz="4" w:space="0"/>
              <w:left w:val="single" w:color="000000" w:sz="4" w:space="0"/>
              <w:bottom w:val="single" w:color="000000" w:sz="4" w:space="0"/>
              <w:right w:val="single" w:color="000000" w:sz="6" w:space="0"/>
            </w:tcBorders>
          </w:tcPr>
          <w:p>
            <w:pPr>
              <w:spacing w:line="360" w:lineRule="auto"/>
              <w:ind w:right="-5"/>
              <w:jc w:val="center"/>
              <w:textAlignment w:val="bottom"/>
              <w:rPr>
                <w:rStyle w:val="18"/>
                <w:rFonts w:ascii="宋体" w:hAnsi="宋体"/>
                <w:szCs w:val="21"/>
              </w:rPr>
            </w:pPr>
          </w:p>
        </w:tc>
        <w:tc>
          <w:tcPr>
            <w:tcW w:w="728" w:type="dxa"/>
            <w:tcBorders>
              <w:top w:val="single" w:color="000000" w:sz="4" w:space="0"/>
              <w:left w:val="single" w:color="000000" w:sz="6" w:space="0"/>
              <w:bottom w:val="single" w:color="000000" w:sz="4" w:space="0"/>
              <w:right w:val="single" w:color="000000" w:sz="6" w:space="0"/>
            </w:tcBorders>
          </w:tcPr>
          <w:p>
            <w:pPr>
              <w:spacing w:line="360" w:lineRule="auto"/>
              <w:ind w:right="-5"/>
              <w:jc w:val="center"/>
              <w:textAlignment w:val="bottom"/>
              <w:rPr>
                <w:rStyle w:val="18"/>
                <w:rFonts w:ascii="宋体" w:hAnsi="宋体"/>
                <w:szCs w:val="21"/>
              </w:rPr>
            </w:pPr>
          </w:p>
        </w:tc>
        <w:tc>
          <w:tcPr>
            <w:tcW w:w="784" w:type="dxa"/>
            <w:tcBorders>
              <w:top w:val="single" w:color="000000" w:sz="4" w:space="0"/>
              <w:left w:val="single" w:color="000000" w:sz="6" w:space="0"/>
              <w:bottom w:val="single" w:color="000000" w:sz="4" w:space="0"/>
              <w:right w:val="single" w:color="000000" w:sz="6" w:space="0"/>
            </w:tcBorders>
          </w:tcPr>
          <w:p>
            <w:pPr>
              <w:spacing w:line="360" w:lineRule="auto"/>
              <w:ind w:right="-5"/>
              <w:jc w:val="center"/>
              <w:textAlignment w:val="bottom"/>
              <w:rPr>
                <w:rStyle w:val="18"/>
                <w:rFonts w:ascii="宋体" w:hAnsi="宋体"/>
                <w:szCs w:val="21"/>
              </w:rPr>
            </w:pPr>
          </w:p>
        </w:tc>
        <w:tc>
          <w:tcPr>
            <w:tcW w:w="898" w:type="dxa"/>
            <w:tcBorders>
              <w:top w:val="single" w:color="000000" w:sz="4" w:space="0"/>
              <w:left w:val="single" w:color="000000" w:sz="6" w:space="0"/>
              <w:bottom w:val="single" w:color="000000" w:sz="4" w:space="0"/>
              <w:right w:val="single" w:color="000000" w:sz="6" w:space="0"/>
            </w:tcBorders>
          </w:tcPr>
          <w:p>
            <w:pPr>
              <w:spacing w:line="360" w:lineRule="auto"/>
              <w:ind w:right="-5"/>
              <w:jc w:val="center"/>
              <w:textAlignment w:val="bottom"/>
              <w:rPr>
                <w:rStyle w:val="18"/>
                <w:rFonts w:ascii="宋体" w:hAnsi="宋体"/>
                <w:szCs w:val="21"/>
              </w:rPr>
            </w:pPr>
          </w:p>
        </w:tc>
        <w:tc>
          <w:tcPr>
            <w:tcW w:w="898" w:type="dxa"/>
            <w:tcBorders>
              <w:top w:val="single" w:color="000000" w:sz="4" w:space="0"/>
              <w:left w:val="single" w:color="000000" w:sz="6" w:space="0"/>
              <w:bottom w:val="single" w:color="000000" w:sz="4" w:space="0"/>
              <w:right w:val="single" w:color="000000" w:sz="6" w:space="0"/>
            </w:tcBorders>
          </w:tcPr>
          <w:p>
            <w:pPr>
              <w:spacing w:line="360" w:lineRule="auto"/>
              <w:ind w:right="-5"/>
              <w:jc w:val="center"/>
              <w:textAlignment w:val="bottom"/>
              <w:rPr>
                <w:rStyle w:val="18"/>
                <w:rFonts w:ascii="宋体" w:hAnsi="宋体"/>
                <w:szCs w:val="21"/>
              </w:rPr>
            </w:pPr>
          </w:p>
        </w:tc>
        <w:tc>
          <w:tcPr>
            <w:tcW w:w="806" w:type="dxa"/>
            <w:tcBorders>
              <w:top w:val="single" w:color="000000" w:sz="4" w:space="0"/>
              <w:left w:val="single" w:color="000000" w:sz="6" w:space="0"/>
              <w:bottom w:val="single" w:color="000000" w:sz="4" w:space="0"/>
              <w:right w:val="single" w:color="auto" w:sz="4" w:space="0"/>
            </w:tcBorders>
          </w:tcPr>
          <w:p>
            <w:pPr>
              <w:spacing w:line="360" w:lineRule="auto"/>
              <w:ind w:right="-5"/>
              <w:jc w:val="center"/>
              <w:textAlignment w:val="bottom"/>
              <w:rPr>
                <w:rStyle w:val="18"/>
                <w:rFonts w:ascii="宋体" w:hAnsi="宋体"/>
                <w:szCs w:val="21"/>
              </w:rPr>
            </w:pPr>
          </w:p>
        </w:tc>
        <w:tc>
          <w:tcPr>
            <w:tcW w:w="1397" w:type="dxa"/>
            <w:tcBorders>
              <w:top w:val="single" w:color="000000" w:sz="4" w:space="0"/>
              <w:left w:val="single" w:color="auto" w:sz="4" w:space="0"/>
              <w:bottom w:val="single" w:color="000000" w:sz="4" w:space="0"/>
              <w:right w:val="single" w:color="000000" w:sz="4" w:space="0"/>
            </w:tcBorders>
          </w:tcPr>
          <w:p>
            <w:pPr>
              <w:spacing w:line="360" w:lineRule="auto"/>
              <w:ind w:right="-5"/>
              <w:jc w:val="center"/>
              <w:textAlignment w:val="bottom"/>
              <w:rPr>
                <w:rStyle w:val="18"/>
                <w:rFonts w:ascii="宋体" w:hAnsi="宋体"/>
                <w:szCs w:val="21"/>
              </w:rPr>
            </w:pPr>
          </w:p>
        </w:tc>
      </w:tr>
      <w:tr>
        <w:tblPrEx>
          <w:tblCellMar>
            <w:top w:w="0" w:type="dxa"/>
            <w:left w:w="0" w:type="dxa"/>
            <w:bottom w:w="0" w:type="dxa"/>
            <w:right w:w="0" w:type="dxa"/>
          </w:tblCellMar>
        </w:tblPrEx>
        <w:trPr>
          <w:cantSplit/>
          <w:trHeight w:val="655" w:hRule="atLeast"/>
        </w:trPr>
        <w:tc>
          <w:tcPr>
            <w:tcW w:w="735" w:type="dxa"/>
            <w:tcBorders>
              <w:top w:val="single" w:color="000000" w:sz="4" w:space="0"/>
              <w:left w:val="single" w:color="000000" w:sz="4" w:space="0"/>
              <w:bottom w:val="single" w:color="000000" w:sz="4" w:space="0"/>
              <w:right w:val="single" w:color="000000" w:sz="6" w:space="0"/>
            </w:tcBorders>
          </w:tcPr>
          <w:p>
            <w:pPr>
              <w:spacing w:line="360" w:lineRule="auto"/>
              <w:ind w:right="-5"/>
              <w:jc w:val="center"/>
              <w:textAlignment w:val="bottom"/>
              <w:rPr>
                <w:rStyle w:val="18"/>
                <w:rFonts w:ascii="宋体" w:hAnsi="宋体"/>
                <w:szCs w:val="21"/>
              </w:rPr>
            </w:pPr>
            <w:r>
              <w:rPr>
                <w:rStyle w:val="18"/>
                <w:rFonts w:hint="eastAsia" w:ascii="宋体" w:hAnsi="宋体"/>
                <w:szCs w:val="21"/>
              </w:rPr>
              <w:t>....</w:t>
            </w:r>
          </w:p>
        </w:tc>
        <w:tc>
          <w:tcPr>
            <w:tcW w:w="1680" w:type="dxa"/>
            <w:tcBorders>
              <w:top w:val="single" w:color="000000" w:sz="4" w:space="0"/>
              <w:left w:val="single" w:color="000000" w:sz="6" w:space="0"/>
              <w:bottom w:val="single" w:color="000000" w:sz="4" w:space="0"/>
              <w:right w:val="single" w:color="000000" w:sz="4" w:space="0"/>
            </w:tcBorders>
          </w:tcPr>
          <w:p>
            <w:pPr>
              <w:spacing w:line="360" w:lineRule="auto"/>
              <w:ind w:right="-5"/>
              <w:jc w:val="center"/>
              <w:textAlignment w:val="bottom"/>
              <w:rPr>
                <w:rStyle w:val="18"/>
                <w:rFonts w:ascii="宋体" w:hAnsi="宋体"/>
                <w:szCs w:val="21"/>
              </w:rPr>
            </w:pPr>
          </w:p>
        </w:tc>
        <w:tc>
          <w:tcPr>
            <w:tcW w:w="1470" w:type="dxa"/>
            <w:tcBorders>
              <w:top w:val="single" w:color="000000" w:sz="4" w:space="0"/>
              <w:left w:val="single" w:color="000000" w:sz="4" w:space="0"/>
              <w:bottom w:val="single" w:color="000000" w:sz="4" w:space="0"/>
              <w:right w:val="single" w:color="000000" w:sz="6" w:space="0"/>
            </w:tcBorders>
          </w:tcPr>
          <w:p>
            <w:pPr>
              <w:spacing w:line="360" w:lineRule="auto"/>
              <w:ind w:right="-5"/>
              <w:jc w:val="center"/>
              <w:textAlignment w:val="bottom"/>
              <w:rPr>
                <w:rStyle w:val="18"/>
                <w:rFonts w:ascii="宋体" w:hAnsi="宋体"/>
                <w:szCs w:val="21"/>
              </w:rPr>
            </w:pPr>
          </w:p>
        </w:tc>
        <w:tc>
          <w:tcPr>
            <w:tcW w:w="728" w:type="dxa"/>
            <w:tcBorders>
              <w:top w:val="single" w:color="000000" w:sz="4" w:space="0"/>
              <w:left w:val="single" w:color="000000" w:sz="6" w:space="0"/>
              <w:bottom w:val="single" w:color="000000" w:sz="4" w:space="0"/>
              <w:right w:val="single" w:color="000000" w:sz="6" w:space="0"/>
            </w:tcBorders>
          </w:tcPr>
          <w:p>
            <w:pPr>
              <w:spacing w:line="360" w:lineRule="auto"/>
              <w:ind w:right="-5"/>
              <w:jc w:val="center"/>
              <w:textAlignment w:val="bottom"/>
              <w:rPr>
                <w:rStyle w:val="18"/>
                <w:rFonts w:ascii="宋体" w:hAnsi="宋体"/>
                <w:szCs w:val="21"/>
              </w:rPr>
            </w:pPr>
          </w:p>
        </w:tc>
        <w:tc>
          <w:tcPr>
            <w:tcW w:w="784" w:type="dxa"/>
            <w:tcBorders>
              <w:top w:val="single" w:color="000000" w:sz="4" w:space="0"/>
              <w:left w:val="single" w:color="000000" w:sz="6" w:space="0"/>
              <w:bottom w:val="single" w:color="000000" w:sz="4" w:space="0"/>
              <w:right w:val="single" w:color="000000" w:sz="6" w:space="0"/>
            </w:tcBorders>
          </w:tcPr>
          <w:p>
            <w:pPr>
              <w:spacing w:line="360" w:lineRule="auto"/>
              <w:ind w:right="-5"/>
              <w:jc w:val="center"/>
              <w:textAlignment w:val="bottom"/>
              <w:rPr>
                <w:rStyle w:val="18"/>
                <w:rFonts w:ascii="宋体" w:hAnsi="宋体"/>
                <w:szCs w:val="21"/>
              </w:rPr>
            </w:pPr>
          </w:p>
        </w:tc>
        <w:tc>
          <w:tcPr>
            <w:tcW w:w="898" w:type="dxa"/>
            <w:tcBorders>
              <w:top w:val="single" w:color="000000" w:sz="4" w:space="0"/>
              <w:left w:val="single" w:color="000000" w:sz="6" w:space="0"/>
              <w:bottom w:val="single" w:color="000000" w:sz="4" w:space="0"/>
              <w:right w:val="single" w:color="000000" w:sz="6" w:space="0"/>
            </w:tcBorders>
          </w:tcPr>
          <w:p>
            <w:pPr>
              <w:spacing w:line="360" w:lineRule="auto"/>
              <w:ind w:right="-5"/>
              <w:jc w:val="center"/>
              <w:textAlignment w:val="bottom"/>
              <w:rPr>
                <w:rStyle w:val="18"/>
                <w:rFonts w:ascii="宋体" w:hAnsi="宋体"/>
                <w:szCs w:val="21"/>
              </w:rPr>
            </w:pPr>
          </w:p>
        </w:tc>
        <w:tc>
          <w:tcPr>
            <w:tcW w:w="898" w:type="dxa"/>
            <w:tcBorders>
              <w:top w:val="single" w:color="000000" w:sz="4" w:space="0"/>
              <w:left w:val="single" w:color="000000" w:sz="6" w:space="0"/>
              <w:bottom w:val="single" w:color="000000" w:sz="4" w:space="0"/>
              <w:right w:val="single" w:color="000000" w:sz="6" w:space="0"/>
            </w:tcBorders>
          </w:tcPr>
          <w:p>
            <w:pPr>
              <w:spacing w:line="360" w:lineRule="auto"/>
              <w:ind w:right="-5"/>
              <w:jc w:val="center"/>
              <w:textAlignment w:val="bottom"/>
              <w:rPr>
                <w:rStyle w:val="18"/>
                <w:rFonts w:ascii="宋体" w:hAnsi="宋体"/>
                <w:szCs w:val="21"/>
              </w:rPr>
            </w:pPr>
          </w:p>
        </w:tc>
        <w:tc>
          <w:tcPr>
            <w:tcW w:w="806" w:type="dxa"/>
            <w:tcBorders>
              <w:top w:val="single" w:color="000000" w:sz="4" w:space="0"/>
              <w:left w:val="single" w:color="000000" w:sz="6" w:space="0"/>
              <w:bottom w:val="single" w:color="000000" w:sz="4" w:space="0"/>
              <w:right w:val="single" w:color="auto" w:sz="4" w:space="0"/>
            </w:tcBorders>
          </w:tcPr>
          <w:p>
            <w:pPr>
              <w:spacing w:line="360" w:lineRule="auto"/>
              <w:ind w:right="-5"/>
              <w:jc w:val="center"/>
              <w:textAlignment w:val="bottom"/>
              <w:rPr>
                <w:rStyle w:val="18"/>
                <w:rFonts w:ascii="宋体" w:hAnsi="宋体"/>
                <w:szCs w:val="21"/>
              </w:rPr>
            </w:pPr>
          </w:p>
        </w:tc>
        <w:tc>
          <w:tcPr>
            <w:tcW w:w="1397" w:type="dxa"/>
            <w:tcBorders>
              <w:top w:val="single" w:color="000000" w:sz="4" w:space="0"/>
              <w:left w:val="single" w:color="auto" w:sz="4" w:space="0"/>
              <w:bottom w:val="single" w:color="000000" w:sz="4" w:space="0"/>
              <w:right w:val="single" w:color="000000" w:sz="4" w:space="0"/>
            </w:tcBorders>
          </w:tcPr>
          <w:p>
            <w:pPr>
              <w:spacing w:line="360" w:lineRule="auto"/>
              <w:ind w:right="-5"/>
              <w:jc w:val="center"/>
              <w:textAlignment w:val="bottom"/>
              <w:rPr>
                <w:rStyle w:val="18"/>
                <w:rFonts w:ascii="宋体" w:hAnsi="宋体"/>
                <w:szCs w:val="21"/>
              </w:rPr>
            </w:pPr>
          </w:p>
        </w:tc>
      </w:tr>
      <w:tr>
        <w:tblPrEx>
          <w:tblCellMar>
            <w:top w:w="0" w:type="dxa"/>
            <w:left w:w="0" w:type="dxa"/>
            <w:bottom w:w="0" w:type="dxa"/>
            <w:right w:w="0" w:type="dxa"/>
          </w:tblCellMar>
        </w:tblPrEx>
        <w:trPr>
          <w:cantSplit/>
          <w:trHeight w:val="655" w:hRule="atLeast"/>
        </w:trPr>
        <w:tc>
          <w:tcPr>
            <w:tcW w:w="735" w:type="dxa"/>
            <w:tcBorders>
              <w:top w:val="single" w:color="000000" w:sz="4" w:space="0"/>
              <w:left w:val="single" w:color="000000" w:sz="4" w:space="0"/>
              <w:bottom w:val="single" w:color="000000" w:sz="4" w:space="0"/>
              <w:right w:val="single" w:color="000000" w:sz="6" w:space="0"/>
            </w:tcBorders>
          </w:tcPr>
          <w:p>
            <w:pPr>
              <w:spacing w:line="360" w:lineRule="auto"/>
              <w:ind w:right="-5"/>
              <w:jc w:val="center"/>
              <w:textAlignment w:val="bottom"/>
              <w:rPr>
                <w:rStyle w:val="18"/>
                <w:rFonts w:ascii="宋体" w:hAnsi="宋体"/>
                <w:szCs w:val="21"/>
              </w:rPr>
            </w:pPr>
          </w:p>
        </w:tc>
        <w:tc>
          <w:tcPr>
            <w:tcW w:w="1680" w:type="dxa"/>
            <w:tcBorders>
              <w:top w:val="single" w:color="000000" w:sz="4" w:space="0"/>
              <w:left w:val="single" w:color="000000" w:sz="6" w:space="0"/>
              <w:bottom w:val="single" w:color="000000" w:sz="4" w:space="0"/>
              <w:right w:val="single" w:color="000000" w:sz="4" w:space="0"/>
            </w:tcBorders>
            <w:vAlign w:val="center"/>
          </w:tcPr>
          <w:p>
            <w:pPr>
              <w:spacing w:line="360" w:lineRule="auto"/>
              <w:ind w:right="-5"/>
              <w:jc w:val="center"/>
              <w:textAlignment w:val="bottom"/>
              <w:rPr>
                <w:rStyle w:val="18"/>
                <w:rFonts w:ascii="宋体" w:hAnsi="宋体"/>
                <w:szCs w:val="21"/>
              </w:rPr>
            </w:pPr>
            <w:r>
              <w:rPr>
                <w:rStyle w:val="18"/>
                <w:rFonts w:hint="eastAsia" w:ascii="宋体" w:hAnsi="宋体"/>
                <w:szCs w:val="21"/>
              </w:rPr>
              <w:t>暂列金</w:t>
            </w:r>
          </w:p>
        </w:tc>
        <w:tc>
          <w:tcPr>
            <w:tcW w:w="1470" w:type="dxa"/>
            <w:tcBorders>
              <w:top w:val="single" w:color="000000" w:sz="4" w:space="0"/>
              <w:left w:val="single" w:color="000000" w:sz="4" w:space="0"/>
              <w:bottom w:val="single" w:color="000000" w:sz="4" w:space="0"/>
              <w:right w:val="single" w:color="000000" w:sz="6" w:space="0"/>
            </w:tcBorders>
            <w:vAlign w:val="center"/>
          </w:tcPr>
          <w:p>
            <w:pPr>
              <w:spacing w:line="360" w:lineRule="auto"/>
              <w:ind w:right="-5"/>
              <w:jc w:val="center"/>
              <w:textAlignment w:val="bottom"/>
              <w:rPr>
                <w:rStyle w:val="18"/>
                <w:rFonts w:ascii="宋体" w:hAnsi="宋体"/>
                <w:szCs w:val="21"/>
              </w:rPr>
            </w:pPr>
            <w:r>
              <w:rPr>
                <w:rStyle w:val="18"/>
                <w:rFonts w:hint="eastAsia" w:ascii="宋体" w:hAnsi="宋体"/>
                <w:sz w:val="20"/>
                <w:szCs w:val="20"/>
              </w:rPr>
              <w:t>为不可竞争费，投标人不得下浮</w:t>
            </w:r>
          </w:p>
        </w:tc>
        <w:tc>
          <w:tcPr>
            <w:tcW w:w="728" w:type="dxa"/>
            <w:tcBorders>
              <w:top w:val="single" w:color="000000" w:sz="4" w:space="0"/>
              <w:left w:val="single" w:color="000000" w:sz="6" w:space="0"/>
              <w:bottom w:val="single" w:color="000000" w:sz="4" w:space="0"/>
              <w:right w:val="single" w:color="000000" w:sz="6" w:space="0"/>
            </w:tcBorders>
            <w:vAlign w:val="center"/>
          </w:tcPr>
          <w:p>
            <w:pPr>
              <w:spacing w:line="360" w:lineRule="auto"/>
              <w:ind w:right="-5"/>
              <w:jc w:val="center"/>
              <w:textAlignment w:val="bottom"/>
              <w:rPr>
                <w:rStyle w:val="18"/>
                <w:rFonts w:ascii="宋体" w:hAnsi="宋体"/>
                <w:szCs w:val="21"/>
              </w:rPr>
            </w:pPr>
            <w:r>
              <w:rPr>
                <w:rStyle w:val="18"/>
                <w:rFonts w:hint="eastAsia" w:ascii="宋体" w:hAnsi="宋体"/>
                <w:szCs w:val="21"/>
              </w:rPr>
              <w:t>项</w:t>
            </w:r>
          </w:p>
        </w:tc>
        <w:tc>
          <w:tcPr>
            <w:tcW w:w="784" w:type="dxa"/>
            <w:tcBorders>
              <w:top w:val="single" w:color="000000" w:sz="4" w:space="0"/>
              <w:left w:val="single" w:color="000000" w:sz="6" w:space="0"/>
              <w:bottom w:val="single" w:color="000000" w:sz="4" w:space="0"/>
              <w:right w:val="single" w:color="000000" w:sz="6" w:space="0"/>
            </w:tcBorders>
            <w:vAlign w:val="center"/>
          </w:tcPr>
          <w:p>
            <w:pPr>
              <w:spacing w:line="360" w:lineRule="auto"/>
              <w:ind w:right="-5"/>
              <w:jc w:val="center"/>
              <w:textAlignment w:val="bottom"/>
              <w:rPr>
                <w:rStyle w:val="18"/>
                <w:rFonts w:ascii="宋体" w:hAnsi="宋体"/>
                <w:szCs w:val="21"/>
              </w:rPr>
            </w:pPr>
            <w:r>
              <w:rPr>
                <w:rStyle w:val="18"/>
                <w:rFonts w:hint="eastAsia" w:ascii="宋体" w:hAnsi="宋体"/>
                <w:szCs w:val="21"/>
              </w:rPr>
              <w:t>1</w:t>
            </w:r>
          </w:p>
        </w:tc>
        <w:tc>
          <w:tcPr>
            <w:tcW w:w="898" w:type="dxa"/>
            <w:tcBorders>
              <w:top w:val="single" w:color="000000" w:sz="4" w:space="0"/>
              <w:left w:val="single" w:color="000000" w:sz="6" w:space="0"/>
              <w:bottom w:val="single" w:color="000000" w:sz="4" w:space="0"/>
              <w:right w:val="single" w:color="000000" w:sz="6" w:space="0"/>
            </w:tcBorders>
            <w:vAlign w:val="center"/>
          </w:tcPr>
          <w:p>
            <w:pPr>
              <w:spacing w:line="360" w:lineRule="auto"/>
              <w:ind w:right="-5"/>
              <w:jc w:val="center"/>
              <w:textAlignment w:val="bottom"/>
              <w:rPr>
                <w:rStyle w:val="18"/>
                <w:rFonts w:ascii="宋体" w:hAnsi="宋体"/>
                <w:szCs w:val="21"/>
              </w:rPr>
            </w:pPr>
            <w:r>
              <w:rPr>
                <w:rStyle w:val="18"/>
                <w:rFonts w:hint="eastAsia" w:ascii="宋体" w:hAnsi="宋体"/>
                <w:szCs w:val="21"/>
              </w:rPr>
              <w:t>300000</w:t>
            </w:r>
          </w:p>
        </w:tc>
        <w:tc>
          <w:tcPr>
            <w:tcW w:w="898" w:type="dxa"/>
            <w:tcBorders>
              <w:top w:val="single" w:color="000000" w:sz="4" w:space="0"/>
              <w:left w:val="single" w:color="000000" w:sz="6" w:space="0"/>
              <w:bottom w:val="single" w:color="000000" w:sz="4" w:space="0"/>
              <w:right w:val="single" w:color="000000" w:sz="6" w:space="0"/>
            </w:tcBorders>
            <w:vAlign w:val="center"/>
          </w:tcPr>
          <w:p>
            <w:pPr>
              <w:spacing w:line="360" w:lineRule="auto"/>
              <w:ind w:right="-5"/>
              <w:jc w:val="center"/>
              <w:textAlignment w:val="bottom"/>
              <w:rPr>
                <w:rStyle w:val="18"/>
                <w:rFonts w:ascii="宋体" w:hAnsi="宋体"/>
                <w:szCs w:val="21"/>
              </w:rPr>
            </w:pPr>
            <w:r>
              <w:rPr>
                <w:rStyle w:val="18"/>
                <w:rFonts w:hint="eastAsia" w:ascii="宋体" w:hAnsi="宋体"/>
                <w:szCs w:val="21"/>
              </w:rPr>
              <w:t>300000</w:t>
            </w:r>
          </w:p>
        </w:tc>
        <w:tc>
          <w:tcPr>
            <w:tcW w:w="806" w:type="dxa"/>
            <w:tcBorders>
              <w:top w:val="single" w:color="000000" w:sz="4" w:space="0"/>
              <w:left w:val="single" w:color="000000" w:sz="6" w:space="0"/>
              <w:bottom w:val="single" w:color="000000" w:sz="4" w:space="0"/>
              <w:right w:val="single" w:color="auto" w:sz="4" w:space="0"/>
            </w:tcBorders>
            <w:vAlign w:val="center"/>
          </w:tcPr>
          <w:p>
            <w:pPr>
              <w:spacing w:line="360" w:lineRule="auto"/>
              <w:ind w:right="-5"/>
              <w:jc w:val="center"/>
              <w:textAlignment w:val="bottom"/>
              <w:rPr>
                <w:rStyle w:val="18"/>
                <w:rFonts w:ascii="宋体" w:hAnsi="宋体"/>
                <w:szCs w:val="21"/>
              </w:rPr>
            </w:pPr>
            <w:r>
              <w:rPr>
                <w:rStyle w:val="18"/>
                <w:rFonts w:hint="eastAsia" w:ascii="宋体" w:hAnsi="宋体"/>
                <w:szCs w:val="21"/>
              </w:rPr>
              <w:t>/</w:t>
            </w:r>
          </w:p>
        </w:tc>
        <w:tc>
          <w:tcPr>
            <w:tcW w:w="1397" w:type="dxa"/>
            <w:tcBorders>
              <w:top w:val="single" w:color="000000" w:sz="4" w:space="0"/>
              <w:left w:val="single" w:color="auto" w:sz="4" w:space="0"/>
              <w:bottom w:val="single" w:color="000000" w:sz="4" w:space="0"/>
              <w:right w:val="single" w:color="000000" w:sz="4" w:space="0"/>
            </w:tcBorders>
            <w:vAlign w:val="center"/>
          </w:tcPr>
          <w:p>
            <w:pPr>
              <w:spacing w:line="360" w:lineRule="auto"/>
              <w:ind w:right="-5"/>
              <w:jc w:val="center"/>
              <w:textAlignment w:val="bottom"/>
              <w:rPr>
                <w:rStyle w:val="18"/>
                <w:rFonts w:ascii="宋体" w:hAnsi="宋体"/>
                <w:szCs w:val="21"/>
              </w:rPr>
            </w:pPr>
            <w:r>
              <w:rPr>
                <w:rStyle w:val="18"/>
                <w:rFonts w:hint="eastAsia" w:ascii="宋体" w:hAnsi="宋体"/>
                <w:szCs w:val="21"/>
              </w:rPr>
              <w:t>/</w:t>
            </w:r>
          </w:p>
        </w:tc>
      </w:tr>
      <w:tr>
        <w:tblPrEx>
          <w:tblCellMar>
            <w:top w:w="0" w:type="dxa"/>
            <w:left w:w="0" w:type="dxa"/>
            <w:bottom w:w="0" w:type="dxa"/>
            <w:right w:w="0" w:type="dxa"/>
          </w:tblCellMar>
        </w:tblPrEx>
        <w:trPr>
          <w:cantSplit/>
          <w:trHeight w:val="655" w:hRule="atLeast"/>
        </w:trPr>
        <w:tc>
          <w:tcPr>
            <w:tcW w:w="6295" w:type="dxa"/>
            <w:gridSpan w:val="6"/>
            <w:tcBorders>
              <w:top w:val="single" w:color="000000" w:sz="4" w:space="0"/>
              <w:left w:val="single" w:color="000000" w:sz="4" w:space="0"/>
              <w:bottom w:val="single" w:color="000000" w:sz="4" w:space="0"/>
              <w:right w:val="single" w:color="000000" w:sz="6" w:space="0"/>
            </w:tcBorders>
          </w:tcPr>
          <w:p>
            <w:pPr>
              <w:spacing w:line="360" w:lineRule="auto"/>
              <w:ind w:right="-5"/>
              <w:jc w:val="center"/>
              <w:textAlignment w:val="bottom"/>
              <w:rPr>
                <w:rStyle w:val="18"/>
                <w:rFonts w:ascii="宋体" w:hAnsi="宋体"/>
                <w:szCs w:val="21"/>
              </w:rPr>
            </w:pPr>
            <w:r>
              <w:rPr>
                <w:rStyle w:val="18"/>
                <w:rFonts w:ascii="宋体" w:hAnsi="宋体"/>
                <w:szCs w:val="21"/>
              </w:rPr>
              <w:t>投标报价报价汇总</w:t>
            </w:r>
          </w:p>
        </w:tc>
        <w:tc>
          <w:tcPr>
            <w:tcW w:w="3101" w:type="dxa"/>
            <w:gridSpan w:val="3"/>
            <w:tcBorders>
              <w:top w:val="single" w:color="000000" w:sz="4" w:space="0"/>
              <w:left w:val="single" w:color="000000" w:sz="6" w:space="0"/>
              <w:bottom w:val="single" w:color="000000" w:sz="4" w:space="0"/>
              <w:right w:val="single" w:color="000000" w:sz="4" w:space="0"/>
            </w:tcBorders>
          </w:tcPr>
          <w:p>
            <w:pPr>
              <w:spacing w:line="360" w:lineRule="auto"/>
              <w:ind w:right="-5"/>
              <w:jc w:val="center"/>
              <w:textAlignment w:val="bottom"/>
              <w:rPr>
                <w:rStyle w:val="18"/>
                <w:rFonts w:ascii="宋体" w:hAnsi="宋体"/>
                <w:szCs w:val="21"/>
              </w:rPr>
            </w:pPr>
          </w:p>
        </w:tc>
      </w:tr>
    </w:tbl>
    <w:p>
      <w:pPr>
        <w:spacing w:line="360" w:lineRule="auto"/>
        <w:jc w:val="right"/>
        <w:rPr>
          <w:rStyle w:val="18"/>
          <w:rFonts w:ascii="宋体" w:hAnsi="宋体"/>
          <w:sz w:val="24"/>
        </w:rPr>
      </w:pPr>
    </w:p>
    <w:p>
      <w:pPr>
        <w:numPr>
          <w:ilvl w:val="0"/>
          <w:numId w:val="6"/>
        </w:numPr>
        <w:spacing w:line="400" w:lineRule="exact"/>
        <w:rPr>
          <w:rFonts w:ascii="宋体" w:hAnsi="宋体" w:cs="宋体"/>
          <w:sz w:val="24"/>
        </w:rPr>
      </w:pPr>
      <w:r>
        <w:rPr>
          <w:rFonts w:hint="eastAsia" w:ascii="宋体" w:hAnsi="宋体" w:cs="宋体"/>
          <w:sz w:val="24"/>
        </w:rPr>
        <w:t xml:space="preserve"> 投标报价为全费用综合单价,含采购、运输、装卸、不符合招标人要求的等免费更换、包装、检测、缺陷维修、材料、机械、劳务、质保期内免费更换、制作安装、调试、培训、管理、利润、税金、招标代理费等以及合同履行过程中包含的所有风险、责任、政策性文件规定以及不可竞争费等所需的全部费用，投标预算书中若有漏项、缺项、少算部分，视同分摊至其余综合单价中，结算时不予增加。（确保运行正常）。</w:t>
      </w:r>
    </w:p>
    <w:p>
      <w:pPr>
        <w:pStyle w:val="2"/>
      </w:pPr>
    </w:p>
    <w:p>
      <w:pPr>
        <w:pStyle w:val="30"/>
        <w:tabs>
          <w:tab w:val="left" w:pos="5665"/>
          <w:tab w:val="right" w:pos="8360"/>
        </w:tabs>
        <w:spacing w:line="300" w:lineRule="exact"/>
        <w:ind w:right="40" w:firstLine="1560" w:firstLineChars="650"/>
        <w:jc w:val="right"/>
        <w:rPr>
          <w:rStyle w:val="18"/>
          <w:rFonts w:hAnsi="宋体"/>
          <w:sz w:val="24"/>
          <w:u w:val="single"/>
        </w:rPr>
      </w:pPr>
      <w:r>
        <w:rPr>
          <w:rStyle w:val="18"/>
          <w:rFonts w:hAnsi="宋体"/>
          <w:sz w:val="24"/>
        </w:rPr>
        <w:t>投标人(公章)：</w:t>
      </w:r>
      <w:r>
        <w:rPr>
          <w:rStyle w:val="18"/>
          <w:rFonts w:hAnsi="宋体"/>
          <w:sz w:val="24"/>
          <w:u w:val="single"/>
        </w:rPr>
        <w:t xml:space="preserve">                                  </w:t>
      </w:r>
    </w:p>
    <w:p>
      <w:pPr>
        <w:pStyle w:val="30"/>
        <w:tabs>
          <w:tab w:val="left" w:pos="5665"/>
          <w:tab w:val="right" w:pos="8360"/>
        </w:tabs>
        <w:spacing w:line="300" w:lineRule="exact"/>
        <w:ind w:right="40" w:firstLine="1560" w:firstLineChars="650"/>
        <w:jc w:val="right"/>
        <w:rPr>
          <w:rStyle w:val="18"/>
          <w:rFonts w:hAnsi="宋体"/>
          <w:sz w:val="24"/>
          <w:u w:val="single"/>
        </w:rPr>
      </w:pPr>
    </w:p>
    <w:p>
      <w:pPr>
        <w:pStyle w:val="30"/>
        <w:tabs>
          <w:tab w:val="left" w:pos="5665"/>
          <w:tab w:val="right" w:pos="8360"/>
        </w:tabs>
        <w:spacing w:line="300" w:lineRule="exact"/>
        <w:ind w:right="40" w:firstLine="1560" w:firstLineChars="650"/>
        <w:jc w:val="right"/>
        <w:rPr>
          <w:rStyle w:val="18"/>
          <w:rFonts w:hAnsi="宋体"/>
          <w:sz w:val="24"/>
          <w:u w:val="single"/>
        </w:rPr>
      </w:pPr>
      <w:r>
        <w:rPr>
          <w:rStyle w:val="18"/>
          <w:rFonts w:hAnsi="宋体"/>
          <w:sz w:val="24"/>
        </w:rPr>
        <w:t>法人代表或授权委托人（签字或印章）：</w:t>
      </w:r>
      <w:r>
        <w:rPr>
          <w:rStyle w:val="18"/>
          <w:rFonts w:hAnsi="宋体"/>
          <w:sz w:val="24"/>
          <w:u w:val="single"/>
        </w:rPr>
        <w:t xml:space="preserve">             </w:t>
      </w:r>
    </w:p>
    <w:p>
      <w:pPr>
        <w:pStyle w:val="30"/>
        <w:tabs>
          <w:tab w:val="left" w:pos="5665"/>
          <w:tab w:val="right" w:pos="8360"/>
        </w:tabs>
        <w:spacing w:line="300" w:lineRule="exact"/>
        <w:ind w:right="40" w:firstLine="1575" w:firstLineChars="750"/>
        <w:jc w:val="right"/>
        <w:rPr>
          <w:rStyle w:val="18"/>
          <w:rFonts w:hAnsi="宋体"/>
          <w:sz w:val="21"/>
          <w:szCs w:val="21"/>
          <w:u w:val="single"/>
        </w:rPr>
      </w:pPr>
      <w:r>
        <w:rPr>
          <w:rStyle w:val="18"/>
          <w:rFonts w:hAnsi="宋体"/>
          <w:sz w:val="21"/>
          <w:szCs w:val="21"/>
        </w:rPr>
        <w:t>日 期：</w:t>
      </w:r>
      <w:r>
        <w:rPr>
          <w:rStyle w:val="18"/>
          <w:rFonts w:hAnsi="宋体"/>
          <w:sz w:val="21"/>
          <w:szCs w:val="21"/>
          <w:u w:val="single"/>
        </w:rPr>
        <w:t xml:space="preserve">                                                </w:t>
      </w:r>
    </w:p>
    <w:p>
      <w:pPr>
        <w:pStyle w:val="22"/>
        <w:rPr>
          <w:rStyle w:val="18"/>
          <w:rFonts w:ascii="宋体" w:hAnsi="宋体"/>
        </w:rPr>
      </w:pPr>
      <w:r>
        <w:rPr>
          <w:b w:val="0"/>
          <w:sz w:val="20"/>
        </w:rPr>
        <w:br w:type="page"/>
      </w:r>
      <w:r>
        <w:rPr>
          <w:rStyle w:val="18"/>
          <w:rFonts w:ascii="宋体" w:hAnsi="宋体"/>
        </w:rPr>
        <w:t>3.商务及技术条款偏离表</w:t>
      </w:r>
    </w:p>
    <w:p>
      <w:pPr>
        <w:pStyle w:val="30"/>
        <w:spacing w:line="360" w:lineRule="auto"/>
        <w:jc w:val="center"/>
        <w:rPr>
          <w:rStyle w:val="18"/>
          <w:rFonts w:hAnsi="宋体"/>
          <w:sz w:val="32"/>
          <w:szCs w:val="32"/>
        </w:rPr>
      </w:pPr>
      <w:r>
        <w:rPr>
          <w:rStyle w:val="18"/>
          <w:rFonts w:hAnsi="宋体"/>
          <w:sz w:val="32"/>
          <w:szCs w:val="32"/>
        </w:rPr>
        <w:t>商务及技术条款偏离表</w:t>
      </w:r>
    </w:p>
    <w:p>
      <w:pPr>
        <w:spacing w:line="360" w:lineRule="auto"/>
        <w:jc w:val="center"/>
        <w:rPr>
          <w:rStyle w:val="18"/>
          <w:rFonts w:ascii="宋体" w:hAnsi="宋体"/>
        </w:rPr>
      </w:pPr>
    </w:p>
    <w:p>
      <w:pPr>
        <w:spacing w:line="360" w:lineRule="auto"/>
        <w:ind w:right="-365" w:firstLine="119" w:firstLineChars="57"/>
        <w:rPr>
          <w:rStyle w:val="18"/>
          <w:rFonts w:ascii="宋体" w:hAnsi="宋体"/>
          <w:szCs w:val="21"/>
        </w:rPr>
      </w:pPr>
      <w:r>
        <w:rPr>
          <w:rStyle w:val="18"/>
          <w:rFonts w:ascii="宋体" w:hAnsi="宋体"/>
          <w:szCs w:val="21"/>
        </w:rPr>
        <w:t>招标文件编号：                                         标段号（如有时）：</w:t>
      </w:r>
    </w:p>
    <w:tbl>
      <w:tblPr>
        <w:tblStyle w:val="12"/>
        <w:tblW w:w="8276" w:type="dxa"/>
        <w:tblInd w:w="1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6"/>
        <w:gridCol w:w="1444"/>
        <w:gridCol w:w="2240"/>
        <w:gridCol w:w="2400"/>
        <w:gridCol w:w="12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95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8"/>
                <w:rFonts w:ascii="宋体" w:hAnsi="宋体"/>
                <w:szCs w:val="21"/>
              </w:rPr>
            </w:pPr>
            <w:r>
              <w:rPr>
                <w:rStyle w:val="18"/>
                <w:rFonts w:ascii="宋体" w:hAnsi="宋体"/>
                <w:szCs w:val="21"/>
              </w:rPr>
              <w:t>序号</w:t>
            </w:r>
          </w:p>
        </w:tc>
        <w:tc>
          <w:tcPr>
            <w:tcW w:w="1444" w:type="dxa"/>
            <w:tcBorders>
              <w:top w:val="single" w:color="000000" w:sz="4" w:space="0"/>
              <w:left w:val="single" w:color="000000" w:sz="4" w:space="0"/>
              <w:bottom w:val="single" w:color="000000" w:sz="4" w:space="0"/>
              <w:right w:val="single" w:color="000000" w:sz="4" w:space="0"/>
            </w:tcBorders>
            <w:vAlign w:val="bottom"/>
          </w:tcPr>
          <w:p>
            <w:pPr>
              <w:spacing w:line="360" w:lineRule="auto"/>
              <w:jc w:val="center"/>
              <w:rPr>
                <w:rStyle w:val="18"/>
                <w:rFonts w:ascii="宋体" w:hAnsi="宋体"/>
                <w:szCs w:val="21"/>
              </w:rPr>
            </w:pPr>
            <w:r>
              <w:rPr>
                <w:rStyle w:val="18"/>
                <w:rFonts w:ascii="宋体" w:hAnsi="宋体"/>
                <w:szCs w:val="21"/>
              </w:rPr>
              <w:t>招标文件</w:t>
            </w:r>
          </w:p>
          <w:p>
            <w:pPr>
              <w:spacing w:line="360" w:lineRule="auto"/>
              <w:jc w:val="center"/>
              <w:rPr>
                <w:rStyle w:val="18"/>
                <w:rFonts w:ascii="宋体" w:hAnsi="宋体"/>
                <w:szCs w:val="21"/>
              </w:rPr>
            </w:pPr>
            <w:r>
              <w:rPr>
                <w:rStyle w:val="18"/>
                <w:rFonts w:ascii="宋体" w:hAnsi="宋体"/>
                <w:szCs w:val="21"/>
              </w:rPr>
              <w:t>条目号</w:t>
            </w:r>
          </w:p>
        </w:tc>
        <w:tc>
          <w:tcPr>
            <w:tcW w:w="2240" w:type="dxa"/>
            <w:tcBorders>
              <w:top w:val="single" w:color="000000" w:sz="4" w:space="0"/>
              <w:left w:val="single" w:color="000000" w:sz="4" w:space="0"/>
              <w:bottom w:val="single" w:color="000000" w:sz="4" w:space="0"/>
              <w:right w:val="single" w:color="000000" w:sz="4" w:space="0"/>
            </w:tcBorders>
            <w:vAlign w:val="bottom"/>
          </w:tcPr>
          <w:p>
            <w:pPr>
              <w:spacing w:line="360" w:lineRule="auto"/>
              <w:jc w:val="center"/>
              <w:rPr>
                <w:rStyle w:val="18"/>
                <w:rFonts w:ascii="宋体" w:hAnsi="宋体"/>
                <w:szCs w:val="21"/>
              </w:rPr>
            </w:pPr>
            <w:r>
              <w:rPr>
                <w:rStyle w:val="18"/>
                <w:rFonts w:ascii="宋体" w:hAnsi="宋体"/>
                <w:szCs w:val="21"/>
              </w:rPr>
              <w:t>招标文件的</w:t>
            </w:r>
          </w:p>
          <w:p>
            <w:pPr>
              <w:spacing w:line="360" w:lineRule="auto"/>
              <w:jc w:val="center"/>
              <w:rPr>
                <w:rStyle w:val="18"/>
                <w:rFonts w:ascii="宋体" w:hAnsi="宋体"/>
                <w:szCs w:val="21"/>
              </w:rPr>
            </w:pPr>
            <w:r>
              <w:rPr>
                <w:rStyle w:val="18"/>
                <w:rFonts w:ascii="宋体" w:hAnsi="宋体"/>
                <w:szCs w:val="21"/>
              </w:rPr>
              <w:t>商务、技术条款</w:t>
            </w:r>
          </w:p>
        </w:tc>
        <w:tc>
          <w:tcPr>
            <w:tcW w:w="2400" w:type="dxa"/>
            <w:tcBorders>
              <w:top w:val="single" w:color="000000" w:sz="4" w:space="0"/>
              <w:left w:val="single" w:color="000000" w:sz="4" w:space="0"/>
              <w:bottom w:val="single" w:color="000000" w:sz="4" w:space="0"/>
              <w:right w:val="single" w:color="000000" w:sz="4" w:space="0"/>
            </w:tcBorders>
            <w:vAlign w:val="bottom"/>
          </w:tcPr>
          <w:p>
            <w:pPr>
              <w:spacing w:line="360" w:lineRule="auto"/>
              <w:jc w:val="center"/>
              <w:rPr>
                <w:rStyle w:val="18"/>
                <w:rFonts w:ascii="宋体" w:hAnsi="宋体"/>
                <w:szCs w:val="21"/>
              </w:rPr>
            </w:pPr>
            <w:r>
              <w:rPr>
                <w:rStyle w:val="18"/>
                <w:rFonts w:ascii="宋体" w:hAnsi="宋体"/>
                <w:szCs w:val="21"/>
              </w:rPr>
              <w:t>投标文件的</w:t>
            </w:r>
          </w:p>
          <w:p>
            <w:pPr>
              <w:spacing w:line="360" w:lineRule="auto"/>
              <w:jc w:val="center"/>
              <w:rPr>
                <w:rStyle w:val="18"/>
                <w:rFonts w:ascii="宋体" w:hAnsi="宋体"/>
                <w:szCs w:val="21"/>
              </w:rPr>
            </w:pPr>
            <w:r>
              <w:rPr>
                <w:rStyle w:val="18"/>
                <w:rFonts w:ascii="宋体" w:hAnsi="宋体"/>
                <w:szCs w:val="21"/>
              </w:rPr>
              <w:t>商务、技术条款</w:t>
            </w:r>
          </w:p>
        </w:tc>
        <w:tc>
          <w:tcPr>
            <w:tcW w:w="123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8"/>
                <w:rFonts w:ascii="宋体" w:hAnsi="宋体"/>
                <w:szCs w:val="21"/>
              </w:rPr>
            </w:pPr>
            <w:r>
              <w:rPr>
                <w:rStyle w:val="18"/>
                <w:rFonts w:ascii="宋体" w:hAnsi="宋体"/>
                <w:szCs w:val="21"/>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956" w:type="dxa"/>
            <w:tcBorders>
              <w:top w:val="single" w:color="000000" w:sz="4" w:space="0"/>
              <w:left w:val="single" w:color="000000" w:sz="4" w:space="0"/>
              <w:bottom w:val="single" w:color="000000" w:sz="4" w:space="0"/>
              <w:right w:val="single" w:color="000000" w:sz="4" w:space="0"/>
            </w:tcBorders>
          </w:tcPr>
          <w:p>
            <w:pPr>
              <w:spacing w:line="360" w:lineRule="auto"/>
              <w:rPr>
                <w:rStyle w:val="18"/>
                <w:rFonts w:ascii="宋体" w:hAnsi="宋体"/>
                <w:szCs w:val="21"/>
              </w:rPr>
            </w:pPr>
          </w:p>
        </w:tc>
        <w:tc>
          <w:tcPr>
            <w:tcW w:w="1444" w:type="dxa"/>
            <w:tcBorders>
              <w:top w:val="single" w:color="000000" w:sz="4" w:space="0"/>
              <w:left w:val="single" w:color="000000" w:sz="4" w:space="0"/>
              <w:bottom w:val="single" w:color="000000" w:sz="4" w:space="0"/>
              <w:right w:val="single" w:color="000000" w:sz="4" w:space="0"/>
            </w:tcBorders>
          </w:tcPr>
          <w:p>
            <w:pPr>
              <w:spacing w:line="360" w:lineRule="auto"/>
              <w:rPr>
                <w:rStyle w:val="18"/>
                <w:rFonts w:ascii="宋体" w:hAnsi="宋体"/>
                <w:szCs w:val="21"/>
              </w:rPr>
            </w:pPr>
          </w:p>
        </w:tc>
        <w:tc>
          <w:tcPr>
            <w:tcW w:w="2240" w:type="dxa"/>
            <w:tcBorders>
              <w:top w:val="single" w:color="000000" w:sz="4" w:space="0"/>
              <w:left w:val="single" w:color="000000" w:sz="4" w:space="0"/>
              <w:bottom w:val="single" w:color="000000" w:sz="4" w:space="0"/>
              <w:right w:val="single" w:color="000000" w:sz="4" w:space="0"/>
            </w:tcBorders>
          </w:tcPr>
          <w:p>
            <w:pPr>
              <w:spacing w:line="360" w:lineRule="auto"/>
              <w:rPr>
                <w:rStyle w:val="18"/>
                <w:rFonts w:ascii="宋体" w:hAnsi="宋体"/>
                <w:szCs w:val="21"/>
              </w:rPr>
            </w:pPr>
          </w:p>
        </w:tc>
        <w:tc>
          <w:tcPr>
            <w:tcW w:w="2400" w:type="dxa"/>
            <w:tcBorders>
              <w:top w:val="single" w:color="000000" w:sz="4" w:space="0"/>
              <w:left w:val="single" w:color="000000" w:sz="4" w:space="0"/>
              <w:bottom w:val="single" w:color="000000" w:sz="4" w:space="0"/>
              <w:right w:val="single" w:color="000000" w:sz="4" w:space="0"/>
            </w:tcBorders>
          </w:tcPr>
          <w:p>
            <w:pPr>
              <w:spacing w:line="360" w:lineRule="auto"/>
              <w:rPr>
                <w:rStyle w:val="18"/>
                <w:rFonts w:ascii="宋体" w:hAnsi="宋体"/>
                <w:szCs w:val="21"/>
              </w:rPr>
            </w:pPr>
          </w:p>
        </w:tc>
        <w:tc>
          <w:tcPr>
            <w:tcW w:w="1236" w:type="dxa"/>
            <w:tcBorders>
              <w:top w:val="single" w:color="000000" w:sz="4" w:space="0"/>
              <w:left w:val="single" w:color="000000" w:sz="4" w:space="0"/>
              <w:bottom w:val="single" w:color="000000" w:sz="4" w:space="0"/>
              <w:right w:val="single" w:color="000000" w:sz="4" w:space="0"/>
            </w:tcBorders>
          </w:tcPr>
          <w:p>
            <w:pPr>
              <w:spacing w:line="360" w:lineRule="auto"/>
              <w:rPr>
                <w:rStyle w:val="18"/>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956" w:type="dxa"/>
            <w:tcBorders>
              <w:top w:val="single" w:color="000000" w:sz="4" w:space="0"/>
              <w:left w:val="single" w:color="000000" w:sz="4" w:space="0"/>
              <w:bottom w:val="single" w:color="000000" w:sz="4" w:space="0"/>
              <w:right w:val="single" w:color="000000" w:sz="4" w:space="0"/>
            </w:tcBorders>
          </w:tcPr>
          <w:p>
            <w:pPr>
              <w:spacing w:line="360" w:lineRule="auto"/>
              <w:rPr>
                <w:rStyle w:val="18"/>
                <w:rFonts w:ascii="宋体" w:hAnsi="宋体"/>
                <w:szCs w:val="21"/>
              </w:rPr>
            </w:pPr>
          </w:p>
        </w:tc>
        <w:tc>
          <w:tcPr>
            <w:tcW w:w="1444" w:type="dxa"/>
            <w:tcBorders>
              <w:top w:val="single" w:color="000000" w:sz="4" w:space="0"/>
              <w:left w:val="single" w:color="000000" w:sz="4" w:space="0"/>
              <w:bottom w:val="single" w:color="000000" w:sz="4" w:space="0"/>
              <w:right w:val="single" w:color="000000" w:sz="4" w:space="0"/>
            </w:tcBorders>
          </w:tcPr>
          <w:p>
            <w:pPr>
              <w:spacing w:line="360" w:lineRule="auto"/>
              <w:rPr>
                <w:rStyle w:val="18"/>
                <w:rFonts w:ascii="宋体" w:hAnsi="宋体"/>
                <w:szCs w:val="21"/>
              </w:rPr>
            </w:pPr>
          </w:p>
        </w:tc>
        <w:tc>
          <w:tcPr>
            <w:tcW w:w="2240" w:type="dxa"/>
            <w:tcBorders>
              <w:top w:val="single" w:color="000000" w:sz="4" w:space="0"/>
              <w:left w:val="single" w:color="000000" w:sz="4" w:space="0"/>
              <w:bottom w:val="single" w:color="000000" w:sz="4" w:space="0"/>
              <w:right w:val="single" w:color="000000" w:sz="4" w:space="0"/>
            </w:tcBorders>
          </w:tcPr>
          <w:p>
            <w:pPr>
              <w:spacing w:line="360" w:lineRule="auto"/>
              <w:rPr>
                <w:rStyle w:val="18"/>
                <w:rFonts w:ascii="宋体" w:hAnsi="宋体"/>
                <w:szCs w:val="21"/>
              </w:rPr>
            </w:pPr>
          </w:p>
        </w:tc>
        <w:tc>
          <w:tcPr>
            <w:tcW w:w="2400" w:type="dxa"/>
            <w:tcBorders>
              <w:top w:val="single" w:color="000000" w:sz="4" w:space="0"/>
              <w:left w:val="single" w:color="000000" w:sz="4" w:space="0"/>
              <w:bottom w:val="single" w:color="000000" w:sz="4" w:space="0"/>
              <w:right w:val="single" w:color="000000" w:sz="4" w:space="0"/>
            </w:tcBorders>
          </w:tcPr>
          <w:p>
            <w:pPr>
              <w:spacing w:line="360" w:lineRule="auto"/>
              <w:rPr>
                <w:rStyle w:val="18"/>
                <w:rFonts w:ascii="宋体" w:hAnsi="宋体"/>
                <w:szCs w:val="21"/>
              </w:rPr>
            </w:pPr>
          </w:p>
        </w:tc>
        <w:tc>
          <w:tcPr>
            <w:tcW w:w="1236" w:type="dxa"/>
            <w:tcBorders>
              <w:top w:val="single" w:color="000000" w:sz="4" w:space="0"/>
              <w:left w:val="single" w:color="000000" w:sz="4" w:space="0"/>
              <w:bottom w:val="single" w:color="000000" w:sz="4" w:space="0"/>
              <w:right w:val="single" w:color="000000" w:sz="4" w:space="0"/>
            </w:tcBorders>
          </w:tcPr>
          <w:p>
            <w:pPr>
              <w:spacing w:line="360" w:lineRule="auto"/>
              <w:rPr>
                <w:rStyle w:val="18"/>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8" w:hRule="atLeast"/>
        </w:trPr>
        <w:tc>
          <w:tcPr>
            <w:tcW w:w="956" w:type="dxa"/>
            <w:tcBorders>
              <w:top w:val="single" w:color="000000" w:sz="4" w:space="0"/>
              <w:left w:val="single" w:color="000000" w:sz="4" w:space="0"/>
              <w:bottom w:val="single" w:color="000000" w:sz="4" w:space="0"/>
              <w:right w:val="single" w:color="000000" w:sz="4" w:space="0"/>
            </w:tcBorders>
          </w:tcPr>
          <w:p>
            <w:pPr>
              <w:spacing w:line="360" w:lineRule="auto"/>
              <w:rPr>
                <w:rStyle w:val="18"/>
                <w:rFonts w:ascii="宋体" w:hAnsi="宋体"/>
                <w:szCs w:val="21"/>
              </w:rPr>
            </w:pPr>
          </w:p>
        </w:tc>
        <w:tc>
          <w:tcPr>
            <w:tcW w:w="1444" w:type="dxa"/>
            <w:tcBorders>
              <w:top w:val="single" w:color="000000" w:sz="4" w:space="0"/>
              <w:left w:val="single" w:color="000000" w:sz="4" w:space="0"/>
              <w:bottom w:val="single" w:color="000000" w:sz="4" w:space="0"/>
              <w:right w:val="single" w:color="000000" w:sz="4" w:space="0"/>
            </w:tcBorders>
          </w:tcPr>
          <w:p>
            <w:pPr>
              <w:spacing w:line="360" w:lineRule="auto"/>
              <w:rPr>
                <w:rStyle w:val="18"/>
                <w:rFonts w:ascii="宋体" w:hAnsi="宋体"/>
                <w:szCs w:val="21"/>
              </w:rPr>
            </w:pPr>
          </w:p>
        </w:tc>
        <w:tc>
          <w:tcPr>
            <w:tcW w:w="2240" w:type="dxa"/>
            <w:tcBorders>
              <w:top w:val="single" w:color="000000" w:sz="4" w:space="0"/>
              <w:left w:val="single" w:color="000000" w:sz="4" w:space="0"/>
              <w:bottom w:val="single" w:color="000000" w:sz="4" w:space="0"/>
              <w:right w:val="single" w:color="000000" w:sz="4" w:space="0"/>
            </w:tcBorders>
          </w:tcPr>
          <w:p>
            <w:pPr>
              <w:spacing w:line="360" w:lineRule="auto"/>
              <w:rPr>
                <w:rStyle w:val="18"/>
                <w:rFonts w:ascii="宋体" w:hAnsi="宋体"/>
                <w:szCs w:val="21"/>
              </w:rPr>
            </w:pPr>
          </w:p>
        </w:tc>
        <w:tc>
          <w:tcPr>
            <w:tcW w:w="2400" w:type="dxa"/>
            <w:tcBorders>
              <w:top w:val="single" w:color="000000" w:sz="4" w:space="0"/>
              <w:left w:val="single" w:color="000000" w:sz="4" w:space="0"/>
              <w:bottom w:val="single" w:color="000000" w:sz="4" w:space="0"/>
              <w:right w:val="single" w:color="000000" w:sz="4" w:space="0"/>
            </w:tcBorders>
          </w:tcPr>
          <w:p>
            <w:pPr>
              <w:spacing w:line="360" w:lineRule="auto"/>
              <w:rPr>
                <w:rStyle w:val="18"/>
                <w:rFonts w:ascii="宋体" w:hAnsi="宋体"/>
                <w:szCs w:val="21"/>
              </w:rPr>
            </w:pPr>
          </w:p>
        </w:tc>
        <w:tc>
          <w:tcPr>
            <w:tcW w:w="1236" w:type="dxa"/>
            <w:tcBorders>
              <w:top w:val="single" w:color="000000" w:sz="4" w:space="0"/>
              <w:left w:val="single" w:color="000000" w:sz="4" w:space="0"/>
              <w:bottom w:val="single" w:color="000000" w:sz="4" w:space="0"/>
              <w:right w:val="single" w:color="000000" w:sz="4" w:space="0"/>
            </w:tcBorders>
          </w:tcPr>
          <w:p>
            <w:pPr>
              <w:spacing w:line="360" w:lineRule="auto"/>
              <w:rPr>
                <w:rStyle w:val="18"/>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956" w:type="dxa"/>
            <w:tcBorders>
              <w:top w:val="single" w:color="000000" w:sz="4" w:space="0"/>
              <w:left w:val="single" w:color="000000" w:sz="4" w:space="0"/>
              <w:bottom w:val="single" w:color="000000" w:sz="4" w:space="0"/>
              <w:right w:val="single" w:color="000000" w:sz="4" w:space="0"/>
            </w:tcBorders>
          </w:tcPr>
          <w:p>
            <w:pPr>
              <w:spacing w:line="360" w:lineRule="auto"/>
              <w:rPr>
                <w:rStyle w:val="18"/>
                <w:rFonts w:ascii="宋体" w:hAnsi="宋体"/>
                <w:szCs w:val="21"/>
              </w:rPr>
            </w:pPr>
          </w:p>
        </w:tc>
        <w:tc>
          <w:tcPr>
            <w:tcW w:w="1444" w:type="dxa"/>
            <w:tcBorders>
              <w:top w:val="single" w:color="000000" w:sz="4" w:space="0"/>
              <w:left w:val="single" w:color="000000" w:sz="4" w:space="0"/>
              <w:bottom w:val="single" w:color="000000" w:sz="4" w:space="0"/>
              <w:right w:val="single" w:color="000000" w:sz="4" w:space="0"/>
            </w:tcBorders>
          </w:tcPr>
          <w:p>
            <w:pPr>
              <w:spacing w:line="360" w:lineRule="auto"/>
              <w:rPr>
                <w:rStyle w:val="18"/>
                <w:rFonts w:ascii="宋体" w:hAnsi="宋体"/>
                <w:szCs w:val="21"/>
              </w:rPr>
            </w:pPr>
          </w:p>
        </w:tc>
        <w:tc>
          <w:tcPr>
            <w:tcW w:w="2240" w:type="dxa"/>
            <w:tcBorders>
              <w:top w:val="single" w:color="000000" w:sz="4" w:space="0"/>
              <w:left w:val="single" w:color="000000" w:sz="4" w:space="0"/>
              <w:bottom w:val="single" w:color="000000" w:sz="4" w:space="0"/>
              <w:right w:val="single" w:color="000000" w:sz="4" w:space="0"/>
            </w:tcBorders>
          </w:tcPr>
          <w:p>
            <w:pPr>
              <w:spacing w:line="360" w:lineRule="auto"/>
              <w:rPr>
                <w:rStyle w:val="18"/>
                <w:rFonts w:ascii="宋体" w:hAnsi="宋体"/>
                <w:szCs w:val="21"/>
              </w:rPr>
            </w:pPr>
          </w:p>
        </w:tc>
        <w:tc>
          <w:tcPr>
            <w:tcW w:w="2400" w:type="dxa"/>
            <w:tcBorders>
              <w:top w:val="single" w:color="000000" w:sz="4" w:space="0"/>
              <w:left w:val="single" w:color="000000" w:sz="4" w:space="0"/>
              <w:bottom w:val="single" w:color="000000" w:sz="4" w:space="0"/>
              <w:right w:val="single" w:color="000000" w:sz="4" w:space="0"/>
            </w:tcBorders>
          </w:tcPr>
          <w:p>
            <w:pPr>
              <w:spacing w:line="360" w:lineRule="auto"/>
              <w:rPr>
                <w:rStyle w:val="18"/>
                <w:rFonts w:ascii="宋体" w:hAnsi="宋体"/>
                <w:szCs w:val="21"/>
              </w:rPr>
            </w:pPr>
          </w:p>
        </w:tc>
        <w:tc>
          <w:tcPr>
            <w:tcW w:w="1236" w:type="dxa"/>
            <w:tcBorders>
              <w:top w:val="single" w:color="000000" w:sz="4" w:space="0"/>
              <w:left w:val="single" w:color="000000" w:sz="4" w:space="0"/>
              <w:bottom w:val="single" w:color="000000" w:sz="4" w:space="0"/>
              <w:right w:val="single" w:color="000000" w:sz="4" w:space="0"/>
            </w:tcBorders>
          </w:tcPr>
          <w:p>
            <w:pPr>
              <w:spacing w:line="360" w:lineRule="auto"/>
              <w:rPr>
                <w:rStyle w:val="18"/>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956" w:type="dxa"/>
            <w:tcBorders>
              <w:top w:val="single" w:color="000000" w:sz="4" w:space="0"/>
              <w:left w:val="single" w:color="000000" w:sz="4" w:space="0"/>
              <w:bottom w:val="single" w:color="000000" w:sz="4" w:space="0"/>
              <w:right w:val="single" w:color="000000" w:sz="4" w:space="0"/>
            </w:tcBorders>
          </w:tcPr>
          <w:p>
            <w:pPr>
              <w:spacing w:line="360" w:lineRule="auto"/>
              <w:rPr>
                <w:rStyle w:val="18"/>
                <w:rFonts w:ascii="宋体" w:hAnsi="宋体"/>
                <w:szCs w:val="21"/>
              </w:rPr>
            </w:pPr>
          </w:p>
        </w:tc>
        <w:tc>
          <w:tcPr>
            <w:tcW w:w="1444" w:type="dxa"/>
            <w:tcBorders>
              <w:top w:val="single" w:color="000000" w:sz="4" w:space="0"/>
              <w:left w:val="single" w:color="000000" w:sz="4" w:space="0"/>
              <w:bottom w:val="single" w:color="000000" w:sz="4" w:space="0"/>
              <w:right w:val="single" w:color="000000" w:sz="4" w:space="0"/>
            </w:tcBorders>
          </w:tcPr>
          <w:p>
            <w:pPr>
              <w:spacing w:line="360" w:lineRule="auto"/>
              <w:rPr>
                <w:rStyle w:val="18"/>
                <w:rFonts w:ascii="宋体" w:hAnsi="宋体"/>
                <w:szCs w:val="21"/>
              </w:rPr>
            </w:pPr>
          </w:p>
        </w:tc>
        <w:tc>
          <w:tcPr>
            <w:tcW w:w="2240" w:type="dxa"/>
            <w:tcBorders>
              <w:top w:val="single" w:color="000000" w:sz="4" w:space="0"/>
              <w:left w:val="single" w:color="000000" w:sz="4" w:space="0"/>
              <w:bottom w:val="single" w:color="000000" w:sz="4" w:space="0"/>
              <w:right w:val="single" w:color="000000" w:sz="4" w:space="0"/>
            </w:tcBorders>
          </w:tcPr>
          <w:p>
            <w:pPr>
              <w:spacing w:line="360" w:lineRule="auto"/>
              <w:rPr>
                <w:rStyle w:val="18"/>
                <w:rFonts w:ascii="宋体" w:hAnsi="宋体"/>
                <w:szCs w:val="21"/>
              </w:rPr>
            </w:pPr>
          </w:p>
        </w:tc>
        <w:tc>
          <w:tcPr>
            <w:tcW w:w="2400" w:type="dxa"/>
            <w:tcBorders>
              <w:top w:val="single" w:color="000000" w:sz="4" w:space="0"/>
              <w:left w:val="single" w:color="000000" w:sz="4" w:space="0"/>
              <w:bottom w:val="single" w:color="000000" w:sz="4" w:space="0"/>
              <w:right w:val="single" w:color="000000" w:sz="4" w:space="0"/>
            </w:tcBorders>
          </w:tcPr>
          <w:p>
            <w:pPr>
              <w:spacing w:line="360" w:lineRule="auto"/>
              <w:rPr>
                <w:rStyle w:val="18"/>
                <w:rFonts w:ascii="宋体" w:hAnsi="宋体"/>
                <w:szCs w:val="21"/>
              </w:rPr>
            </w:pPr>
          </w:p>
        </w:tc>
        <w:tc>
          <w:tcPr>
            <w:tcW w:w="1236" w:type="dxa"/>
            <w:tcBorders>
              <w:top w:val="single" w:color="000000" w:sz="4" w:space="0"/>
              <w:left w:val="single" w:color="000000" w:sz="4" w:space="0"/>
              <w:bottom w:val="single" w:color="000000" w:sz="4" w:space="0"/>
              <w:right w:val="single" w:color="000000" w:sz="4" w:space="0"/>
            </w:tcBorders>
          </w:tcPr>
          <w:p>
            <w:pPr>
              <w:spacing w:line="360" w:lineRule="auto"/>
              <w:rPr>
                <w:rStyle w:val="18"/>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956" w:type="dxa"/>
            <w:tcBorders>
              <w:top w:val="single" w:color="000000" w:sz="4" w:space="0"/>
              <w:left w:val="single" w:color="000000" w:sz="4" w:space="0"/>
              <w:bottom w:val="single" w:color="000000" w:sz="4" w:space="0"/>
              <w:right w:val="single" w:color="000000" w:sz="4" w:space="0"/>
            </w:tcBorders>
          </w:tcPr>
          <w:p>
            <w:pPr>
              <w:spacing w:line="360" w:lineRule="auto"/>
              <w:rPr>
                <w:rStyle w:val="18"/>
                <w:rFonts w:ascii="宋体" w:hAnsi="宋体"/>
                <w:szCs w:val="21"/>
              </w:rPr>
            </w:pPr>
          </w:p>
        </w:tc>
        <w:tc>
          <w:tcPr>
            <w:tcW w:w="1444" w:type="dxa"/>
            <w:tcBorders>
              <w:top w:val="single" w:color="000000" w:sz="4" w:space="0"/>
              <w:left w:val="single" w:color="000000" w:sz="4" w:space="0"/>
              <w:bottom w:val="single" w:color="000000" w:sz="4" w:space="0"/>
              <w:right w:val="single" w:color="000000" w:sz="4" w:space="0"/>
            </w:tcBorders>
          </w:tcPr>
          <w:p>
            <w:pPr>
              <w:spacing w:line="360" w:lineRule="auto"/>
              <w:rPr>
                <w:rStyle w:val="18"/>
                <w:rFonts w:ascii="宋体" w:hAnsi="宋体"/>
                <w:szCs w:val="21"/>
              </w:rPr>
            </w:pPr>
          </w:p>
        </w:tc>
        <w:tc>
          <w:tcPr>
            <w:tcW w:w="2240" w:type="dxa"/>
            <w:tcBorders>
              <w:top w:val="single" w:color="000000" w:sz="4" w:space="0"/>
              <w:left w:val="single" w:color="000000" w:sz="4" w:space="0"/>
              <w:bottom w:val="single" w:color="000000" w:sz="4" w:space="0"/>
              <w:right w:val="single" w:color="000000" w:sz="4" w:space="0"/>
            </w:tcBorders>
          </w:tcPr>
          <w:p>
            <w:pPr>
              <w:spacing w:line="360" w:lineRule="auto"/>
              <w:rPr>
                <w:rStyle w:val="18"/>
                <w:rFonts w:ascii="宋体" w:hAnsi="宋体"/>
                <w:szCs w:val="21"/>
              </w:rPr>
            </w:pPr>
          </w:p>
        </w:tc>
        <w:tc>
          <w:tcPr>
            <w:tcW w:w="2400" w:type="dxa"/>
            <w:tcBorders>
              <w:top w:val="single" w:color="000000" w:sz="4" w:space="0"/>
              <w:left w:val="single" w:color="000000" w:sz="4" w:space="0"/>
              <w:bottom w:val="single" w:color="000000" w:sz="4" w:space="0"/>
              <w:right w:val="single" w:color="000000" w:sz="4" w:space="0"/>
            </w:tcBorders>
          </w:tcPr>
          <w:p>
            <w:pPr>
              <w:spacing w:line="360" w:lineRule="auto"/>
              <w:rPr>
                <w:rStyle w:val="18"/>
                <w:rFonts w:ascii="宋体" w:hAnsi="宋体"/>
                <w:szCs w:val="21"/>
              </w:rPr>
            </w:pPr>
          </w:p>
        </w:tc>
        <w:tc>
          <w:tcPr>
            <w:tcW w:w="1236" w:type="dxa"/>
            <w:tcBorders>
              <w:top w:val="single" w:color="000000" w:sz="4" w:space="0"/>
              <w:left w:val="single" w:color="000000" w:sz="4" w:space="0"/>
              <w:bottom w:val="single" w:color="000000" w:sz="4" w:space="0"/>
              <w:right w:val="single" w:color="000000" w:sz="4" w:space="0"/>
            </w:tcBorders>
          </w:tcPr>
          <w:p>
            <w:pPr>
              <w:spacing w:line="360" w:lineRule="auto"/>
              <w:rPr>
                <w:rStyle w:val="18"/>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956" w:type="dxa"/>
            <w:tcBorders>
              <w:top w:val="single" w:color="000000" w:sz="4" w:space="0"/>
              <w:left w:val="single" w:color="000000" w:sz="4" w:space="0"/>
              <w:bottom w:val="single" w:color="000000" w:sz="4" w:space="0"/>
              <w:right w:val="single" w:color="000000" w:sz="4" w:space="0"/>
            </w:tcBorders>
          </w:tcPr>
          <w:p>
            <w:pPr>
              <w:spacing w:line="360" w:lineRule="auto"/>
              <w:rPr>
                <w:rStyle w:val="18"/>
                <w:rFonts w:ascii="宋体" w:hAnsi="宋体"/>
                <w:szCs w:val="21"/>
              </w:rPr>
            </w:pPr>
          </w:p>
        </w:tc>
        <w:tc>
          <w:tcPr>
            <w:tcW w:w="1444" w:type="dxa"/>
            <w:tcBorders>
              <w:top w:val="single" w:color="000000" w:sz="4" w:space="0"/>
              <w:left w:val="single" w:color="000000" w:sz="4" w:space="0"/>
              <w:bottom w:val="single" w:color="000000" w:sz="4" w:space="0"/>
              <w:right w:val="single" w:color="000000" w:sz="4" w:space="0"/>
            </w:tcBorders>
          </w:tcPr>
          <w:p>
            <w:pPr>
              <w:spacing w:line="360" w:lineRule="auto"/>
              <w:rPr>
                <w:rStyle w:val="18"/>
                <w:rFonts w:ascii="宋体" w:hAnsi="宋体"/>
                <w:szCs w:val="21"/>
              </w:rPr>
            </w:pPr>
          </w:p>
        </w:tc>
        <w:tc>
          <w:tcPr>
            <w:tcW w:w="2240" w:type="dxa"/>
            <w:tcBorders>
              <w:top w:val="single" w:color="000000" w:sz="4" w:space="0"/>
              <w:left w:val="single" w:color="000000" w:sz="4" w:space="0"/>
              <w:bottom w:val="single" w:color="000000" w:sz="4" w:space="0"/>
              <w:right w:val="single" w:color="000000" w:sz="4" w:space="0"/>
            </w:tcBorders>
          </w:tcPr>
          <w:p>
            <w:pPr>
              <w:spacing w:line="360" w:lineRule="auto"/>
              <w:rPr>
                <w:rStyle w:val="18"/>
                <w:rFonts w:ascii="宋体" w:hAnsi="宋体"/>
                <w:szCs w:val="21"/>
              </w:rPr>
            </w:pPr>
          </w:p>
        </w:tc>
        <w:tc>
          <w:tcPr>
            <w:tcW w:w="2400" w:type="dxa"/>
            <w:tcBorders>
              <w:top w:val="single" w:color="000000" w:sz="4" w:space="0"/>
              <w:left w:val="single" w:color="000000" w:sz="4" w:space="0"/>
              <w:bottom w:val="single" w:color="000000" w:sz="4" w:space="0"/>
              <w:right w:val="single" w:color="000000" w:sz="4" w:space="0"/>
            </w:tcBorders>
          </w:tcPr>
          <w:p>
            <w:pPr>
              <w:spacing w:line="360" w:lineRule="auto"/>
              <w:rPr>
                <w:rStyle w:val="18"/>
                <w:rFonts w:ascii="宋体" w:hAnsi="宋体"/>
                <w:szCs w:val="21"/>
              </w:rPr>
            </w:pPr>
          </w:p>
        </w:tc>
        <w:tc>
          <w:tcPr>
            <w:tcW w:w="1236" w:type="dxa"/>
            <w:tcBorders>
              <w:top w:val="single" w:color="000000" w:sz="4" w:space="0"/>
              <w:left w:val="single" w:color="000000" w:sz="4" w:space="0"/>
              <w:bottom w:val="single" w:color="000000" w:sz="4" w:space="0"/>
              <w:right w:val="single" w:color="000000" w:sz="4" w:space="0"/>
            </w:tcBorders>
          </w:tcPr>
          <w:p>
            <w:pPr>
              <w:spacing w:line="360" w:lineRule="auto"/>
              <w:rPr>
                <w:rStyle w:val="18"/>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rPr>
        <w:tc>
          <w:tcPr>
            <w:tcW w:w="956" w:type="dxa"/>
            <w:tcBorders>
              <w:top w:val="single" w:color="000000" w:sz="4" w:space="0"/>
              <w:left w:val="single" w:color="000000" w:sz="4" w:space="0"/>
              <w:bottom w:val="single" w:color="000000" w:sz="4" w:space="0"/>
              <w:right w:val="single" w:color="000000" w:sz="4" w:space="0"/>
            </w:tcBorders>
          </w:tcPr>
          <w:p>
            <w:pPr>
              <w:spacing w:line="360" w:lineRule="auto"/>
              <w:rPr>
                <w:rStyle w:val="18"/>
                <w:rFonts w:ascii="宋体" w:hAnsi="宋体"/>
                <w:szCs w:val="21"/>
              </w:rPr>
            </w:pPr>
          </w:p>
        </w:tc>
        <w:tc>
          <w:tcPr>
            <w:tcW w:w="1444" w:type="dxa"/>
            <w:tcBorders>
              <w:top w:val="single" w:color="000000" w:sz="4" w:space="0"/>
              <w:left w:val="single" w:color="000000" w:sz="4" w:space="0"/>
              <w:bottom w:val="single" w:color="000000" w:sz="4" w:space="0"/>
              <w:right w:val="single" w:color="000000" w:sz="4" w:space="0"/>
            </w:tcBorders>
          </w:tcPr>
          <w:p>
            <w:pPr>
              <w:spacing w:line="360" w:lineRule="auto"/>
              <w:rPr>
                <w:rStyle w:val="18"/>
                <w:rFonts w:ascii="宋体" w:hAnsi="宋体"/>
                <w:szCs w:val="21"/>
              </w:rPr>
            </w:pPr>
          </w:p>
        </w:tc>
        <w:tc>
          <w:tcPr>
            <w:tcW w:w="2240" w:type="dxa"/>
            <w:tcBorders>
              <w:top w:val="single" w:color="000000" w:sz="4" w:space="0"/>
              <w:left w:val="single" w:color="000000" w:sz="4" w:space="0"/>
              <w:bottom w:val="single" w:color="000000" w:sz="4" w:space="0"/>
              <w:right w:val="single" w:color="000000" w:sz="4" w:space="0"/>
            </w:tcBorders>
          </w:tcPr>
          <w:p>
            <w:pPr>
              <w:spacing w:line="360" w:lineRule="auto"/>
              <w:rPr>
                <w:rStyle w:val="18"/>
                <w:rFonts w:ascii="宋体" w:hAnsi="宋体"/>
                <w:szCs w:val="21"/>
              </w:rPr>
            </w:pPr>
          </w:p>
        </w:tc>
        <w:tc>
          <w:tcPr>
            <w:tcW w:w="2400" w:type="dxa"/>
            <w:tcBorders>
              <w:top w:val="single" w:color="000000" w:sz="4" w:space="0"/>
              <w:left w:val="single" w:color="000000" w:sz="4" w:space="0"/>
              <w:bottom w:val="single" w:color="000000" w:sz="4" w:space="0"/>
              <w:right w:val="single" w:color="000000" w:sz="4" w:space="0"/>
            </w:tcBorders>
          </w:tcPr>
          <w:p>
            <w:pPr>
              <w:spacing w:line="360" w:lineRule="auto"/>
              <w:rPr>
                <w:rStyle w:val="18"/>
                <w:rFonts w:ascii="宋体" w:hAnsi="宋体"/>
                <w:szCs w:val="21"/>
              </w:rPr>
            </w:pPr>
          </w:p>
        </w:tc>
        <w:tc>
          <w:tcPr>
            <w:tcW w:w="1236" w:type="dxa"/>
            <w:tcBorders>
              <w:top w:val="single" w:color="000000" w:sz="4" w:space="0"/>
              <w:left w:val="single" w:color="000000" w:sz="4" w:space="0"/>
              <w:bottom w:val="single" w:color="000000" w:sz="4" w:space="0"/>
              <w:right w:val="single" w:color="000000" w:sz="4" w:space="0"/>
            </w:tcBorders>
          </w:tcPr>
          <w:p>
            <w:pPr>
              <w:spacing w:line="360" w:lineRule="auto"/>
              <w:rPr>
                <w:rStyle w:val="18"/>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956" w:type="dxa"/>
            <w:tcBorders>
              <w:top w:val="single" w:color="000000" w:sz="4" w:space="0"/>
              <w:left w:val="single" w:color="000000" w:sz="4" w:space="0"/>
              <w:bottom w:val="single" w:color="000000" w:sz="4" w:space="0"/>
              <w:right w:val="single" w:color="000000" w:sz="4" w:space="0"/>
            </w:tcBorders>
          </w:tcPr>
          <w:p>
            <w:pPr>
              <w:spacing w:line="360" w:lineRule="auto"/>
              <w:rPr>
                <w:rStyle w:val="18"/>
                <w:rFonts w:ascii="宋体" w:hAnsi="宋体"/>
                <w:szCs w:val="21"/>
              </w:rPr>
            </w:pPr>
          </w:p>
        </w:tc>
        <w:tc>
          <w:tcPr>
            <w:tcW w:w="1444" w:type="dxa"/>
            <w:tcBorders>
              <w:top w:val="single" w:color="000000" w:sz="4" w:space="0"/>
              <w:left w:val="single" w:color="000000" w:sz="4" w:space="0"/>
              <w:bottom w:val="single" w:color="000000" w:sz="4" w:space="0"/>
              <w:right w:val="single" w:color="000000" w:sz="4" w:space="0"/>
            </w:tcBorders>
          </w:tcPr>
          <w:p>
            <w:pPr>
              <w:spacing w:line="360" w:lineRule="auto"/>
              <w:rPr>
                <w:rStyle w:val="18"/>
                <w:rFonts w:ascii="宋体" w:hAnsi="宋体"/>
                <w:szCs w:val="21"/>
              </w:rPr>
            </w:pPr>
          </w:p>
        </w:tc>
        <w:tc>
          <w:tcPr>
            <w:tcW w:w="2240" w:type="dxa"/>
            <w:tcBorders>
              <w:top w:val="single" w:color="000000" w:sz="4" w:space="0"/>
              <w:left w:val="single" w:color="000000" w:sz="4" w:space="0"/>
              <w:bottom w:val="single" w:color="000000" w:sz="4" w:space="0"/>
              <w:right w:val="single" w:color="000000" w:sz="4" w:space="0"/>
            </w:tcBorders>
          </w:tcPr>
          <w:p>
            <w:pPr>
              <w:spacing w:line="360" w:lineRule="auto"/>
              <w:rPr>
                <w:rStyle w:val="18"/>
                <w:rFonts w:ascii="宋体" w:hAnsi="宋体"/>
                <w:szCs w:val="21"/>
              </w:rPr>
            </w:pPr>
          </w:p>
        </w:tc>
        <w:tc>
          <w:tcPr>
            <w:tcW w:w="2400" w:type="dxa"/>
            <w:tcBorders>
              <w:top w:val="single" w:color="000000" w:sz="4" w:space="0"/>
              <w:left w:val="single" w:color="000000" w:sz="4" w:space="0"/>
              <w:bottom w:val="single" w:color="000000" w:sz="4" w:space="0"/>
              <w:right w:val="single" w:color="000000" w:sz="4" w:space="0"/>
            </w:tcBorders>
          </w:tcPr>
          <w:p>
            <w:pPr>
              <w:spacing w:line="360" w:lineRule="auto"/>
              <w:rPr>
                <w:rStyle w:val="18"/>
                <w:rFonts w:ascii="宋体" w:hAnsi="宋体"/>
                <w:szCs w:val="21"/>
              </w:rPr>
            </w:pPr>
          </w:p>
        </w:tc>
        <w:tc>
          <w:tcPr>
            <w:tcW w:w="1236" w:type="dxa"/>
            <w:tcBorders>
              <w:top w:val="single" w:color="000000" w:sz="4" w:space="0"/>
              <w:left w:val="single" w:color="000000" w:sz="4" w:space="0"/>
              <w:bottom w:val="single" w:color="000000" w:sz="4" w:space="0"/>
              <w:right w:val="single" w:color="000000" w:sz="4" w:space="0"/>
            </w:tcBorders>
          </w:tcPr>
          <w:p>
            <w:pPr>
              <w:spacing w:line="360" w:lineRule="auto"/>
              <w:rPr>
                <w:rStyle w:val="18"/>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956" w:type="dxa"/>
            <w:tcBorders>
              <w:top w:val="single" w:color="000000" w:sz="4" w:space="0"/>
              <w:left w:val="single" w:color="000000" w:sz="4" w:space="0"/>
              <w:bottom w:val="single" w:color="000000" w:sz="4" w:space="0"/>
              <w:right w:val="single" w:color="000000" w:sz="4" w:space="0"/>
            </w:tcBorders>
          </w:tcPr>
          <w:p>
            <w:pPr>
              <w:spacing w:line="360" w:lineRule="auto"/>
              <w:rPr>
                <w:rStyle w:val="18"/>
                <w:rFonts w:ascii="宋体" w:hAnsi="宋体"/>
                <w:szCs w:val="21"/>
              </w:rPr>
            </w:pPr>
          </w:p>
        </w:tc>
        <w:tc>
          <w:tcPr>
            <w:tcW w:w="1444" w:type="dxa"/>
            <w:tcBorders>
              <w:top w:val="single" w:color="000000" w:sz="4" w:space="0"/>
              <w:left w:val="single" w:color="000000" w:sz="4" w:space="0"/>
              <w:bottom w:val="single" w:color="000000" w:sz="4" w:space="0"/>
              <w:right w:val="single" w:color="000000" w:sz="4" w:space="0"/>
            </w:tcBorders>
          </w:tcPr>
          <w:p>
            <w:pPr>
              <w:spacing w:line="360" w:lineRule="auto"/>
              <w:rPr>
                <w:rStyle w:val="18"/>
                <w:rFonts w:ascii="宋体" w:hAnsi="宋体"/>
                <w:szCs w:val="21"/>
              </w:rPr>
            </w:pPr>
          </w:p>
        </w:tc>
        <w:tc>
          <w:tcPr>
            <w:tcW w:w="2240" w:type="dxa"/>
            <w:tcBorders>
              <w:top w:val="single" w:color="000000" w:sz="4" w:space="0"/>
              <w:left w:val="single" w:color="000000" w:sz="4" w:space="0"/>
              <w:bottom w:val="single" w:color="000000" w:sz="4" w:space="0"/>
              <w:right w:val="single" w:color="000000" w:sz="4" w:space="0"/>
            </w:tcBorders>
          </w:tcPr>
          <w:p>
            <w:pPr>
              <w:spacing w:line="360" w:lineRule="auto"/>
              <w:rPr>
                <w:rStyle w:val="18"/>
                <w:rFonts w:ascii="宋体" w:hAnsi="宋体"/>
                <w:szCs w:val="21"/>
              </w:rPr>
            </w:pPr>
          </w:p>
        </w:tc>
        <w:tc>
          <w:tcPr>
            <w:tcW w:w="2400" w:type="dxa"/>
            <w:tcBorders>
              <w:top w:val="single" w:color="000000" w:sz="4" w:space="0"/>
              <w:left w:val="single" w:color="000000" w:sz="4" w:space="0"/>
              <w:bottom w:val="single" w:color="000000" w:sz="4" w:space="0"/>
              <w:right w:val="single" w:color="000000" w:sz="4" w:space="0"/>
            </w:tcBorders>
          </w:tcPr>
          <w:p>
            <w:pPr>
              <w:spacing w:line="360" w:lineRule="auto"/>
              <w:rPr>
                <w:rStyle w:val="18"/>
                <w:rFonts w:ascii="宋体" w:hAnsi="宋体"/>
                <w:szCs w:val="21"/>
              </w:rPr>
            </w:pPr>
          </w:p>
        </w:tc>
        <w:tc>
          <w:tcPr>
            <w:tcW w:w="1236" w:type="dxa"/>
            <w:tcBorders>
              <w:top w:val="single" w:color="000000" w:sz="4" w:space="0"/>
              <w:left w:val="single" w:color="000000" w:sz="4" w:space="0"/>
              <w:bottom w:val="single" w:color="000000" w:sz="4" w:space="0"/>
              <w:right w:val="single" w:color="000000" w:sz="4" w:space="0"/>
            </w:tcBorders>
          </w:tcPr>
          <w:p>
            <w:pPr>
              <w:spacing w:line="360" w:lineRule="auto"/>
              <w:rPr>
                <w:rStyle w:val="18"/>
                <w:rFonts w:ascii="宋体" w:hAnsi="宋体"/>
                <w:szCs w:val="21"/>
              </w:rPr>
            </w:pPr>
          </w:p>
        </w:tc>
      </w:tr>
    </w:tbl>
    <w:p>
      <w:pPr>
        <w:spacing w:line="360" w:lineRule="auto"/>
        <w:ind w:left="630" w:leftChars="100" w:hanging="420"/>
        <w:rPr>
          <w:rStyle w:val="18"/>
          <w:rFonts w:ascii="宋体" w:hAnsi="宋体"/>
          <w:szCs w:val="21"/>
        </w:rPr>
      </w:pPr>
      <w:r>
        <w:rPr>
          <w:rStyle w:val="18"/>
          <w:rFonts w:ascii="宋体" w:hAnsi="宋体"/>
          <w:szCs w:val="21"/>
        </w:rPr>
        <w:t>注：投标人必须对招标文件的主要商务技术条款（如交货期、付款方式、履约保证、质保期</w:t>
      </w:r>
      <w:r>
        <w:rPr>
          <w:rStyle w:val="18"/>
          <w:rFonts w:hint="eastAsia" w:ascii="宋体" w:hAnsi="宋体"/>
          <w:szCs w:val="21"/>
        </w:rPr>
        <w:t>、正偏离的技术条款</w:t>
      </w:r>
      <w:r>
        <w:rPr>
          <w:rStyle w:val="18"/>
          <w:rFonts w:ascii="宋体" w:hAnsi="宋体"/>
          <w:szCs w:val="21"/>
        </w:rPr>
        <w:t>）</w:t>
      </w:r>
    </w:p>
    <w:p>
      <w:pPr>
        <w:spacing w:line="360" w:lineRule="auto"/>
        <w:ind w:left="630" w:leftChars="100" w:hanging="420"/>
        <w:rPr>
          <w:rStyle w:val="18"/>
          <w:rFonts w:ascii="宋体" w:hAnsi="宋体"/>
          <w:szCs w:val="21"/>
        </w:rPr>
      </w:pPr>
      <w:r>
        <w:rPr>
          <w:rStyle w:val="18"/>
          <w:rFonts w:ascii="宋体" w:hAnsi="宋体"/>
          <w:szCs w:val="21"/>
        </w:rPr>
        <w:t>逐条填写。</w:t>
      </w:r>
    </w:p>
    <w:p>
      <w:pPr>
        <w:spacing w:line="360" w:lineRule="auto"/>
        <w:rPr>
          <w:rStyle w:val="18"/>
          <w:rFonts w:ascii="宋体" w:hAnsi="宋体"/>
          <w:szCs w:val="21"/>
        </w:rPr>
      </w:pPr>
    </w:p>
    <w:p>
      <w:pPr>
        <w:spacing w:line="360" w:lineRule="auto"/>
        <w:ind w:firstLine="4137" w:firstLineChars="1970"/>
        <w:rPr>
          <w:rStyle w:val="18"/>
          <w:rFonts w:ascii="宋体" w:hAnsi="宋体"/>
          <w:szCs w:val="21"/>
        </w:rPr>
      </w:pPr>
      <w:r>
        <w:rPr>
          <w:rStyle w:val="18"/>
          <w:rFonts w:ascii="宋体" w:hAnsi="宋体"/>
          <w:szCs w:val="21"/>
        </w:rPr>
        <w:t>授权委托人（签字）：</w:t>
      </w:r>
      <w:r>
        <w:rPr>
          <w:rStyle w:val="18"/>
          <w:rFonts w:ascii="宋体" w:hAnsi="宋体"/>
          <w:szCs w:val="21"/>
          <w:u w:val="single"/>
        </w:rPr>
        <w:t xml:space="preserve">                      </w:t>
      </w:r>
    </w:p>
    <w:p>
      <w:pPr>
        <w:pStyle w:val="30"/>
        <w:spacing w:line="360" w:lineRule="auto"/>
        <w:ind w:firstLine="4137" w:firstLineChars="1970"/>
        <w:rPr>
          <w:rStyle w:val="18"/>
          <w:rFonts w:hAnsi="宋体"/>
          <w:sz w:val="21"/>
          <w:szCs w:val="21"/>
        </w:rPr>
      </w:pPr>
      <w:r>
        <w:rPr>
          <w:rStyle w:val="18"/>
          <w:rFonts w:hAnsi="宋体"/>
          <w:sz w:val="21"/>
          <w:szCs w:val="21"/>
        </w:rPr>
        <w:t>日             期：</w:t>
      </w:r>
      <w:r>
        <w:rPr>
          <w:rStyle w:val="18"/>
          <w:rFonts w:hAnsi="宋体"/>
          <w:sz w:val="21"/>
          <w:szCs w:val="21"/>
          <w:u w:val="single"/>
        </w:rPr>
        <w:t xml:space="preserve">                      </w:t>
      </w:r>
    </w:p>
    <w:p>
      <w:pPr>
        <w:pStyle w:val="23"/>
        <w:spacing w:line="360" w:lineRule="auto"/>
        <w:rPr>
          <w:rStyle w:val="18"/>
          <w:rFonts w:ascii="宋体" w:hAnsi="宋体" w:eastAsia="宋体" w:cs="宋体"/>
          <w:sz w:val="24"/>
        </w:rPr>
      </w:pPr>
      <w:r>
        <w:rPr>
          <w:b w:val="0"/>
          <w:sz w:val="20"/>
        </w:rPr>
        <w:br w:type="page"/>
      </w:r>
    </w:p>
    <w:p>
      <w:pPr>
        <w:pStyle w:val="23"/>
        <w:spacing w:line="360" w:lineRule="auto"/>
        <w:outlineLvl w:val="0"/>
        <w:rPr>
          <w:rStyle w:val="18"/>
          <w:rFonts w:ascii="宋体" w:hAnsi="宋体" w:eastAsia="宋体" w:cs="宋体"/>
          <w:sz w:val="36"/>
          <w:szCs w:val="36"/>
        </w:rPr>
      </w:pPr>
      <w:bookmarkStart w:id="44" w:name="_Toc17158"/>
      <w:bookmarkStart w:id="45" w:name="_Toc9161"/>
      <w:bookmarkStart w:id="46" w:name="_Toc18132"/>
      <w:bookmarkStart w:id="47" w:name="_Toc6089"/>
      <w:r>
        <w:rPr>
          <w:rStyle w:val="18"/>
          <w:rFonts w:ascii="宋体" w:hAnsi="宋体" w:eastAsia="宋体" w:cs="宋体"/>
        </w:rPr>
        <w:t>4.授权委托书</w:t>
      </w:r>
      <w:bookmarkEnd w:id="44"/>
      <w:bookmarkEnd w:id="45"/>
      <w:bookmarkEnd w:id="46"/>
      <w:bookmarkEnd w:id="47"/>
    </w:p>
    <w:p>
      <w:pPr>
        <w:jc w:val="center"/>
        <w:rPr>
          <w:rStyle w:val="18"/>
          <w:rFonts w:ascii="宋体" w:hAnsi="宋体"/>
          <w:kern w:val="0"/>
          <w:sz w:val="32"/>
          <w:szCs w:val="32"/>
        </w:rPr>
      </w:pPr>
      <w:r>
        <w:rPr>
          <w:rStyle w:val="18"/>
          <w:rFonts w:ascii="宋体" w:hAnsi="宋体"/>
          <w:kern w:val="0"/>
          <w:sz w:val="32"/>
          <w:szCs w:val="32"/>
        </w:rPr>
        <w:t>授权委托书</w:t>
      </w:r>
    </w:p>
    <w:p>
      <w:pPr>
        <w:jc w:val="center"/>
        <w:rPr>
          <w:rStyle w:val="18"/>
          <w:rFonts w:ascii="宋体" w:hAnsi="宋体"/>
          <w:kern w:val="0"/>
          <w:szCs w:val="21"/>
        </w:rPr>
      </w:pPr>
    </w:p>
    <w:p>
      <w:pPr>
        <w:spacing w:line="360" w:lineRule="auto"/>
        <w:ind w:firstLine="420" w:firstLineChars="200"/>
        <w:jc w:val="left"/>
        <w:rPr>
          <w:rStyle w:val="18"/>
          <w:rFonts w:ascii="宋体" w:hAnsi="宋体"/>
          <w:kern w:val="0"/>
          <w:szCs w:val="21"/>
        </w:rPr>
      </w:pPr>
      <w:r>
        <w:rPr>
          <w:rStyle w:val="18"/>
          <w:rFonts w:ascii="宋体" w:hAnsi="宋体"/>
          <w:kern w:val="0"/>
          <w:szCs w:val="21"/>
        </w:rPr>
        <w:t>本人</w:t>
      </w:r>
      <w:r>
        <w:rPr>
          <w:rStyle w:val="18"/>
          <w:rFonts w:ascii="宋体" w:hAnsi="宋体"/>
          <w:kern w:val="0"/>
          <w:szCs w:val="21"/>
          <w:u w:val="single"/>
        </w:rPr>
        <w:t xml:space="preserve">            </w:t>
      </w:r>
      <w:r>
        <w:rPr>
          <w:rStyle w:val="18"/>
          <w:rFonts w:ascii="宋体" w:hAnsi="宋体"/>
          <w:kern w:val="0"/>
          <w:szCs w:val="21"/>
        </w:rPr>
        <w:t>（姓名）系</w:t>
      </w:r>
      <w:r>
        <w:rPr>
          <w:rStyle w:val="18"/>
          <w:rFonts w:ascii="宋体" w:hAnsi="宋体"/>
          <w:kern w:val="0"/>
          <w:szCs w:val="21"/>
          <w:u w:val="single"/>
        </w:rPr>
        <w:t xml:space="preserve">               </w:t>
      </w:r>
      <w:r>
        <w:rPr>
          <w:rStyle w:val="18"/>
          <w:rFonts w:ascii="宋体" w:hAnsi="宋体"/>
          <w:kern w:val="0"/>
          <w:szCs w:val="21"/>
        </w:rPr>
        <w:t>（投标人名称）的法定代表人，现委托</w:t>
      </w:r>
      <w:r>
        <w:rPr>
          <w:rStyle w:val="18"/>
          <w:rFonts w:ascii="宋体" w:hAnsi="宋体"/>
          <w:kern w:val="0"/>
          <w:szCs w:val="21"/>
          <w:u w:val="single"/>
        </w:rPr>
        <w:t xml:space="preserve">            </w:t>
      </w:r>
      <w:r>
        <w:rPr>
          <w:rStyle w:val="18"/>
          <w:rFonts w:ascii="宋体" w:hAnsi="宋体"/>
          <w:kern w:val="0"/>
          <w:szCs w:val="21"/>
        </w:rPr>
        <w:t>（姓名）为我方代理人。代理人根据授权，以我方名义签署、澄清、说明、补正、递交、撤回、修改</w:t>
      </w:r>
      <w:r>
        <w:rPr>
          <w:rStyle w:val="18"/>
          <w:rFonts w:ascii="宋体" w:hAnsi="宋体"/>
          <w:kern w:val="0"/>
          <w:szCs w:val="21"/>
          <w:u w:val="single"/>
        </w:rPr>
        <w:t xml:space="preserve">             （项目名称及标段）      </w:t>
      </w:r>
      <w:r>
        <w:rPr>
          <w:rStyle w:val="18"/>
          <w:rFonts w:ascii="宋体" w:hAnsi="宋体"/>
          <w:kern w:val="0"/>
          <w:szCs w:val="21"/>
        </w:rPr>
        <w:t>投标文件、签订合同和处理有关事宜，其法律后果由我方承担。</w:t>
      </w:r>
    </w:p>
    <w:p>
      <w:pPr>
        <w:spacing w:line="360" w:lineRule="auto"/>
        <w:ind w:firstLine="420" w:firstLineChars="200"/>
        <w:jc w:val="left"/>
        <w:rPr>
          <w:rStyle w:val="18"/>
          <w:rFonts w:ascii="宋体" w:hAnsi="宋体"/>
          <w:kern w:val="0"/>
          <w:szCs w:val="21"/>
        </w:rPr>
      </w:pPr>
      <w:r>
        <w:rPr>
          <w:rStyle w:val="18"/>
          <w:rFonts w:ascii="宋体" w:hAnsi="宋体"/>
          <w:kern w:val="0"/>
          <w:szCs w:val="21"/>
        </w:rPr>
        <w:t>委托期限：</w:t>
      </w:r>
      <w:r>
        <w:rPr>
          <w:rStyle w:val="18"/>
          <w:rFonts w:ascii="宋体" w:hAnsi="宋体"/>
          <w:kern w:val="0"/>
          <w:szCs w:val="21"/>
          <w:u w:val="single"/>
        </w:rPr>
        <w:t xml:space="preserve">                                                   </w:t>
      </w:r>
      <w:r>
        <w:rPr>
          <w:rStyle w:val="18"/>
          <w:rFonts w:ascii="宋体" w:hAnsi="宋体"/>
          <w:kern w:val="0"/>
          <w:szCs w:val="21"/>
        </w:rPr>
        <w:t xml:space="preserve"> 。</w:t>
      </w:r>
    </w:p>
    <w:p>
      <w:pPr>
        <w:spacing w:line="360" w:lineRule="auto"/>
        <w:ind w:firstLine="420" w:firstLineChars="200"/>
        <w:jc w:val="left"/>
        <w:rPr>
          <w:rStyle w:val="18"/>
          <w:rFonts w:ascii="宋体" w:hAnsi="宋体"/>
          <w:kern w:val="0"/>
          <w:szCs w:val="21"/>
        </w:rPr>
      </w:pPr>
      <w:r>
        <w:rPr>
          <w:rStyle w:val="18"/>
          <w:rFonts w:ascii="宋体" w:hAnsi="宋体"/>
          <w:kern w:val="0"/>
          <w:szCs w:val="21"/>
        </w:rPr>
        <w:t>代理人无转委托权。</w:t>
      </w:r>
    </w:p>
    <w:p>
      <w:pPr>
        <w:spacing w:line="360" w:lineRule="auto"/>
        <w:ind w:firstLine="420" w:firstLineChars="200"/>
        <w:jc w:val="left"/>
        <w:rPr>
          <w:rStyle w:val="18"/>
          <w:rFonts w:ascii="宋体" w:hAnsi="宋体"/>
          <w:kern w:val="0"/>
          <w:szCs w:val="21"/>
        </w:rPr>
      </w:pPr>
    </w:p>
    <w:p>
      <w:pPr>
        <w:spacing w:line="360" w:lineRule="auto"/>
        <w:ind w:firstLine="420" w:firstLineChars="200"/>
        <w:jc w:val="left"/>
        <w:rPr>
          <w:rStyle w:val="18"/>
          <w:rFonts w:ascii="宋体" w:hAnsi="宋体"/>
          <w:kern w:val="0"/>
          <w:szCs w:val="21"/>
        </w:rPr>
      </w:pPr>
      <w:r>
        <w:rPr>
          <w:rStyle w:val="18"/>
          <w:rFonts w:ascii="宋体" w:hAnsi="宋体"/>
          <w:kern w:val="0"/>
          <w:szCs w:val="21"/>
        </w:rPr>
        <w:t>代理人身份证复印件：</w:t>
      </w:r>
    </w:p>
    <w:p>
      <w:pPr>
        <w:spacing w:line="360" w:lineRule="auto"/>
        <w:ind w:firstLine="420" w:firstLineChars="200"/>
        <w:jc w:val="left"/>
        <w:rPr>
          <w:rStyle w:val="18"/>
          <w:rFonts w:ascii="宋体" w:hAnsi="宋体"/>
          <w:kern w:val="0"/>
          <w:szCs w:val="21"/>
        </w:rPr>
      </w:pPr>
      <w:r>
        <w:rPr>
          <w:rStyle w:val="18"/>
          <w:rFonts w:ascii="宋体" w:hAnsi="宋体"/>
        </w:rPr>
        <mc:AlternateContent>
          <mc:Choice Requires="wps">
            <w:drawing>
              <wp:inline distT="0" distB="0" distL="114300" distR="114300">
                <wp:extent cx="3566795" cy="2034540"/>
                <wp:effectExtent l="4445" t="5080" r="10160" b="17780"/>
                <wp:docPr id="1" name="文本框 2"/>
                <wp:cNvGraphicFramePr/>
                <a:graphic xmlns:a="http://schemas.openxmlformats.org/drawingml/2006/main">
                  <a:graphicData uri="http://schemas.microsoft.com/office/word/2010/wordprocessingShape">
                    <wps:wsp>
                      <wps:cNvSpPr txBox="1"/>
                      <wps:spPr>
                        <a:xfrm>
                          <a:off x="0" y="0"/>
                          <a:ext cx="3566795" cy="2034540"/>
                        </a:xfrm>
                        <a:prstGeom prst="rect">
                          <a:avLst/>
                        </a:prstGeom>
                        <a:gradFill rotWithShape="0">
                          <a:gsLst>
                            <a:gs pos="0">
                              <a:srgbClr val="FFFFFF"/>
                            </a:gs>
                            <a:gs pos="100000">
                              <a:srgbClr val="FFFFFF"/>
                            </a:gs>
                          </a:gsLst>
                          <a:lin ang="15240000" scaled="1"/>
                          <a:tileRect/>
                        </a:gradFill>
                        <a:ln w="3175" cap="flat" cmpd="sng">
                          <a:solidFill>
                            <a:srgbClr val="000000"/>
                          </a:solidFill>
                          <a:prstDash val="solid"/>
                          <a:miter/>
                          <a:headEnd type="none" w="med" len="med"/>
                          <a:tailEnd type="none" w="med" len="med"/>
                        </a:ln>
                      </wps:spPr>
                      <wps:txbx>
                        <w:txbxContent>
                          <w:p>
                            <w:pPr>
                              <w:rPr>
                                <w:rStyle w:val="18"/>
                              </w:rPr>
                            </w:pPr>
                          </w:p>
                          <w:p>
                            <w:pPr>
                              <w:rPr>
                                <w:rStyle w:val="18"/>
                              </w:rPr>
                            </w:pPr>
                          </w:p>
                        </w:txbxContent>
                      </wps:txbx>
                      <wps:bodyPr wrap="square" anchor="t" upright="1"/>
                    </wps:wsp>
                  </a:graphicData>
                </a:graphic>
              </wp:inline>
            </w:drawing>
          </mc:Choice>
          <mc:Fallback>
            <w:pict>
              <v:shape id="文本框 2" o:spid="_x0000_s1026" o:spt="202" type="#_x0000_t202" style="height:160.2pt;width:280.85pt;" fillcolor="#FFFFFF" filled="t" stroked="t" coordsize="21600,21600" o:gfxdata="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4&#10;6rk91QAAAAUBAAAPAAAAAAAAAAEAIAAAACIAAABkcnMvZG93bnJldi54bWxQSwECFAAUAAAACACH&#10;TuJAFBEHoWACAADpBAAADgAAAAAAAAABACAAAAAkAQAAZHJzL2Uyb0RvYy54bWxQSwUGAAAAAAYA&#10;BgBZAQAA9gUAAAAA&#10;">
                <v:fill type="gradient" on="t" color2="#FFFFFF" angle="196" focus="100%" focussize="0,0"/>
                <v:stroke weight="0.25pt" color="#000000" joinstyle="miter"/>
                <v:imagedata o:title=""/>
                <o:lock v:ext="edit" aspectratio="f"/>
                <v:textbox>
                  <w:txbxContent>
                    <w:p>
                      <w:pPr>
                        <w:rPr>
                          <w:rStyle w:val="18"/>
                        </w:rPr>
                      </w:pPr>
                    </w:p>
                    <w:p>
                      <w:pPr>
                        <w:rPr>
                          <w:rStyle w:val="18"/>
                        </w:rPr>
                      </w:pPr>
                    </w:p>
                  </w:txbxContent>
                </v:textbox>
                <w10:wrap type="none"/>
                <w10:anchorlock/>
              </v:shape>
            </w:pict>
          </mc:Fallback>
        </mc:AlternateContent>
      </w:r>
    </w:p>
    <w:p>
      <w:pPr>
        <w:spacing w:line="360" w:lineRule="auto"/>
        <w:ind w:firstLine="420" w:firstLineChars="200"/>
        <w:jc w:val="left"/>
        <w:rPr>
          <w:rStyle w:val="18"/>
          <w:rFonts w:ascii="宋体" w:hAnsi="宋体"/>
          <w:kern w:val="0"/>
          <w:szCs w:val="21"/>
        </w:rPr>
      </w:pPr>
    </w:p>
    <w:p>
      <w:pPr>
        <w:spacing w:line="360" w:lineRule="auto"/>
        <w:ind w:firstLine="420" w:firstLineChars="200"/>
        <w:jc w:val="left"/>
        <w:rPr>
          <w:rStyle w:val="18"/>
          <w:rFonts w:ascii="宋体" w:hAnsi="宋体"/>
          <w:kern w:val="0"/>
          <w:szCs w:val="21"/>
        </w:rPr>
      </w:pPr>
      <w:r>
        <w:rPr>
          <w:rStyle w:val="18"/>
          <w:rFonts w:ascii="宋体" w:hAnsi="宋体"/>
          <w:kern w:val="0"/>
          <w:szCs w:val="21"/>
        </w:rPr>
        <w:t>投  标  人：</w:t>
      </w:r>
      <w:r>
        <w:rPr>
          <w:rStyle w:val="18"/>
          <w:rFonts w:ascii="宋体" w:hAnsi="宋体"/>
          <w:kern w:val="0"/>
          <w:szCs w:val="21"/>
          <w:u w:val="single"/>
        </w:rPr>
        <w:t xml:space="preserve">                        </w:t>
      </w:r>
      <w:r>
        <w:rPr>
          <w:rStyle w:val="18"/>
          <w:rFonts w:ascii="宋体" w:hAnsi="宋体"/>
          <w:kern w:val="0"/>
          <w:szCs w:val="21"/>
        </w:rPr>
        <w:t>（盖单位章）</w:t>
      </w:r>
    </w:p>
    <w:p>
      <w:pPr>
        <w:spacing w:line="360" w:lineRule="auto"/>
        <w:ind w:firstLine="420" w:firstLineChars="200"/>
        <w:jc w:val="left"/>
        <w:rPr>
          <w:rStyle w:val="18"/>
          <w:rFonts w:ascii="宋体" w:hAnsi="宋体"/>
          <w:kern w:val="0"/>
          <w:szCs w:val="21"/>
        </w:rPr>
      </w:pPr>
      <w:r>
        <w:rPr>
          <w:rStyle w:val="18"/>
          <w:rFonts w:ascii="宋体" w:hAnsi="宋体"/>
          <w:kern w:val="0"/>
          <w:szCs w:val="21"/>
        </w:rPr>
        <w:t>法定代表人：</w:t>
      </w:r>
      <w:r>
        <w:rPr>
          <w:rStyle w:val="18"/>
          <w:rFonts w:ascii="宋体" w:hAnsi="宋体"/>
          <w:kern w:val="0"/>
          <w:szCs w:val="21"/>
          <w:u w:val="single"/>
        </w:rPr>
        <w:t xml:space="preserve">                            </w:t>
      </w:r>
      <w:r>
        <w:rPr>
          <w:rStyle w:val="18"/>
          <w:rFonts w:ascii="宋体" w:hAnsi="宋体"/>
          <w:kern w:val="0"/>
          <w:szCs w:val="21"/>
        </w:rPr>
        <w:t>（签字）</w:t>
      </w:r>
    </w:p>
    <w:p>
      <w:pPr>
        <w:spacing w:line="360" w:lineRule="auto"/>
        <w:ind w:firstLine="420" w:firstLineChars="200"/>
        <w:jc w:val="left"/>
        <w:rPr>
          <w:rStyle w:val="18"/>
          <w:rFonts w:ascii="宋体" w:hAnsi="宋体"/>
          <w:kern w:val="0"/>
          <w:szCs w:val="21"/>
          <w:u w:val="single"/>
        </w:rPr>
      </w:pPr>
      <w:r>
        <w:rPr>
          <w:rStyle w:val="18"/>
          <w:rFonts w:ascii="宋体" w:hAnsi="宋体"/>
          <w:kern w:val="0"/>
          <w:szCs w:val="21"/>
        </w:rPr>
        <w:t>身份证号码：</w:t>
      </w:r>
      <w:r>
        <w:rPr>
          <w:rStyle w:val="18"/>
          <w:rFonts w:ascii="宋体" w:hAnsi="宋体"/>
          <w:kern w:val="0"/>
          <w:szCs w:val="21"/>
          <w:u w:val="single"/>
        </w:rPr>
        <w:t xml:space="preserve">                                   </w:t>
      </w:r>
    </w:p>
    <w:p>
      <w:pPr>
        <w:spacing w:line="360" w:lineRule="auto"/>
        <w:ind w:firstLine="420" w:firstLineChars="200"/>
        <w:jc w:val="left"/>
        <w:rPr>
          <w:rStyle w:val="18"/>
          <w:rFonts w:ascii="宋体" w:hAnsi="宋体"/>
          <w:kern w:val="0"/>
          <w:szCs w:val="21"/>
        </w:rPr>
      </w:pPr>
      <w:r>
        <w:rPr>
          <w:rStyle w:val="18"/>
          <w:rFonts w:ascii="宋体" w:hAnsi="宋体"/>
          <w:kern w:val="0"/>
          <w:szCs w:val="21"/>
        </w:rPr>
        <w:t>委托代理人：</w:t>
      </w:r>
      <w:r>
        <w:rPr>
          <w:rStyle w:val="18"/>
          <w:rFonts w:ascii="宋体" w:hAnsi="宋体"/>
          <w:kern w:val="0"/>
          <w:szCs w:val="21"/>
          <w:u w:val="single"/>
        </w:rPr>
        <w:t xml:space="preserve">                             </w:t>
      </w:r>
      <w:r>
        <w:rPr>
          <w:rStyle w:val="18"/>
          <w:rFonts w:ascii="宋体" w:hAnsi="宋体"/>
          <w:kern w:val="0"/>
          <w:szCs w:val="21"/>
        </w:rPr>
        <w:t>（签字）</w:t>
      </w:r>
    </w:p>
    <w:p>
      <w:pPr>
        <w:spacing w:line="360" w:lineRule="auto"/>
        <w:ind w:firstLine="420" w:firstLineChars="200"/>
        <w:jc w:val="left"/>
        <w:rPr>
          <w:rStyle w:val="18"/>
          <w:rFonts w:ascii="宋体" w:hAnsi="宋体"/>
          <w:kern w:val="0"/>
          <w:szCs w:val="21"/>
          <w:u w:val="single"/>
        </w:rPr>
      </w:pPr>
      <w:r>
        <w:rPr>
          <w:rStyle w:val="18"/>
          <w:rFonts w:ascii="宋体" w:hAnsi="宋体"/>
          <w:kern w:val="0"/>
          <w:szCs w:val="21"/>
        </w:rPr>
        <w:t>身份证号码：</w:t>
      </w:r>
      <w:r>
        <w:rPr>
          <w:rStyle w:val="18"/>
          <w:rFonts w:ascii="宋体" w:hAnsi="宋体"/>
          <w:kern w:val="0"/>
          <w:szCs w:val="21"/>
          <w:u w:val="single"/>
        </w:rPr>
        <w:t xml:space="preserve">                                   </w:t>
      </w:r>
    </w:p>
    <w:p>
      <w:pPr>
        <w:spacing w:line="360" w:lineRule="auto"/>
        <w:ind w:firstLine="420" w:firstLineChars="200"/>
        <w:jc w:val="left"/>
        <w:rPr>
          <w:rStyle w:val="18"/>
          <w:rFonts w:ascii="宋体" w:hAnsi="宋体"/>
          <w:kern w:val="0"/>
          <w:szCs w:val="21"/>
        </w:rPr>
      </w:pPr>
    </w:p>
    <w:p>
      <w:pPr>
        <w:spacing w:line="360" w:lineRule="auto"/>
        <w:ind w:firstLine="3255" w:firstLineChars="1550"/>
        <w:jc w:val="left"/>
        <w:rPr>
          <w:rStyle w:val="18"/>
          <w:rFonts w:ascii="宋体" w:hAnsi="宋体"/>
          <w:kern w:val="0"/>
          <w:szCs w:val="21"/>
        </w:rPr>
      </w:pPr>
      <w:r>
        <w:rPr>
          <w:rStyle w:val="18"/>
          <w:rFonts w:ascii="宋体" w:hAnsi="宋体"/>
          <w:kern w:val="0"/>
          <w:szCs w:val="21"/>
          <w:u w:val="single"/>
        </w:rPr>
        <w:t xml:space="preserve">        </w:t>
      </w:r>
      <w:r>
        <w:rPr>
          <w:rStyle w:val="18"/>
          <w:rFonts w:ascii="宋体" w:hAnsi="宋体"/>
          <w:kern w:val="0"/>
          <w:szCs w:val="21"/>
        </w:rPr>
        <w:t>年</w:t>
      </w:r>
      <w:r>
        <w:rPr>
          <w:rStyle w:val="18"/>
          <w:rFonts w:ascii="宋体" w:hAnsi="宋体"/>
          <w:kern w:val="0"/>
          <w:szCs w:val="21"/>
          <w:u w:val="single"/>
        </w:rPr>
        <w:t xml:space="preserve">        </w:t>
      </w:r>
      <w:r>
        <w:rPr>
          <w:rStyle w:val="18"/>
          <w:rFonts w:ascii="宋体" w:hAnsi="宋体"/>
          <w:kern w:val="0"/>
          <w:szCs w:val="21"/>
        </w:rPr>
        <w:t>月</w:t>
      </w:r>
      <w:r>
        <w:rPr>
          <w:rStyle w:val="18"/>
          <w:rFonts w:ascii="宋体" w:hAnsi="宋体"/>
          <w:kern w:val="0"/>
          <w:szCs w:val="21"/>
          <w:u w:val="single"/>
        </w:rPr>
        <w:t xml:space="preserve">        </w:t>
      </w:r>
      <w:r>
        <w:rPr>
          <w:rStyle w:val="18"/>
          <w:rFonts w:ascii="宋体" w:hAnsi="宋体"/>
          <w:kern w:val="0"/>
          <w:szCs w:val="21"/>
        </w:rPr>
        <w:t>日</w:t>
      </w:r>
    </w:p>
    <w:p>
      <w:pPr>
        <w:pStyle w:val="30"/>
        <w:spacing w:line="360" w:lineRule="auto"/>
        <w:jc w:val="left"/>
        <w:rPr>
          <w:rStyle w:val="18"/>
          <w:rFonts w:hAnsi="宋体"/>
          <w:sz w:val="24"/>
        </w:rPr>
      </w:pPr>
    </w:p>
    <w:p>
      <w:pPr>
        <w:spacing w:line="360" w:lineRule="auto"/>
        <w:rPr>
          <w:rStyle w:val="18"/>
          <w:rFonts w:ascii="宋体" w:hAnsi="宋体"/>
          <w:sz w:val="24"/>
        </w:rPr>
      </w:pPr>
      <w:r>
        <w:rPr>
          <w:sz w:val="20"/>
        </w:rPr>
        <w:br w:type="page"/>
      </w:r>
    </w:p>
    <w:p>
      <w:pPr>
        <w:spacing w:line="360" w:lineRule="auto"/>
        <w:outlineLvl w:val="0"/>
        <w:rPr>
          <w:rStyle w:val="18"/>
          <w:rFonts w:ascii="宋体" w:hAnsi="宋体"/>
          <w:b/>
          <w:bCs/>
          <w:kern w:val="0"/>
          <w:sz w:val="32"/>
          <w:szCs w:val="32"/>
        </w:rPr>
      </w:pPr>
      <w:bookmarkStart w:id="48" w:name="_Toc24605"/>
      <w:bookmarkStart w:id="49" w:name="_Toc9673"/>
      <w:bookmarkStart w:id="50" w:name="_Toc12360"/>
      <w:bookmarkStart w:id="51" w:name="_Toc25500"/>
      <w:r>
        <w:rPr>
          <w:rStyle w:val="18"/>
          <w:rFonts w:ascii="宋体" w:hAnsi="宋体"/>
          <w:b/>
          <w:bCs/>
          <w:kern w:val="0"/>
          <w:sz w:val="32"/>
          <w:szCs w:val="32"/>
        </w:rPr>
        <w:t>5.法定代表人身份证明</w:t>
      </w:r>
      <w:bookmarkEnd w:id="48"/>
      <w:bookmarkEnd w:id="49"/>
      <w:bookmarkEnd w:id="50"/>
      <w:bookmarkEnd w:id="51"/>
    </w:p>
    <w:p>
      <w:pPr>
        <w:spacing w:line="360" w:lineRule="auto"/>
        <w:ind w:firstLine="480" w:firstLineChars="200"/>
        <w:jc w:val="left"/>
        <w:rPr>
          <w:rStyle w:val="18"/>
          <w:rFonts w:ascii="宋体" w:hAnsi="宋体"/>
          <w:kern w:val="0"/>
          <w:sz w:val="24"/>
        </w:rPr>
      </w:pPr>
    </w:p>
    <w:p>
      <w:pPr>
        <w:spacing w:line="360" w:lineRule="auto"/>
        <w:ind w:firstLine="480" w:firstLineChars="200"/>
        <w:jc w:val="left"/>
        <w:rPr>
          <w:rStyle w:val="18"/>
          <w:rFonts w:ascii="宋体" w:hAnsi="宋体"/>
          <w:kern w:val="0"/>
          <w:sz w:val="24"/>
        </w:rPr>
      </w:pPr>
    </w:p>
    <w:p>
      <w:pPr>
        <w:spacing w:line="360" w:lineRule="auto"/>
        <w:jc w:val="center"/>
        <w:rPr>
          <w:rStyle w:val="18"/>
          <w:rFonts w:ascii="宋体" w:hAnsi="宋体"/>
          <w:kern w:val="0"/>
          <w:sz w:val="32"/>
          <w:szCs w:val="32"/>
        </w:rPr>
      </w:pPr>
      <w:r>
        <w:rPr>
          <w:rStyle w:val="18"/>
          <w:rFonts w:ascii="宋体" w:hAnsi="宋体"/>
          <w:kern w:val="0"/>
          <w:sz w:val="32"/>
          <w:szCs w:val="32"/>
        </w:rPr>
        <w:t>法定代表人身份证明</w:t>
      </w:r>
    </w:p>
    <w:p>
      <w:pPr>
        <w:spacing w:line="360" w:lineRule="auto"/>
        <w:ind w:firstLine="480" w:firstLineChars="200"/>
        <w:jc w:val="left"/>
        <w:rPr>
          <w:rStyle w:val="18"/>
          <w:rFonts w:ascii="宋体" w:hAnsi="宋体"/>
          <w:kern w:val="0"/>
          <w:sz w:val="24"/>
        </w:rPr>
      </w:pPr>
    </w:p>
    <w:p>
      <w:pPr>
        <w:spacing w:line="360" w:lineRule="auto"/>
        <w:ind w:firstLine="420" w:firstLineChars="200"/>
        <w:jc w:val="left"/>
        <w:rPr>
          <w:rStyle w:val="18"/>
          <w:rFonts w:ascii="宋体" w:hAnsi="宋体"/>
          <w:kern w:val="0"/>
          <w:szCs w:val="21"/>
        </w:rPr>
      </w:pPr>
      <w:r>
        <w:rPr>
          <w:rStyle w:val="18"/>
          <w:rFonts w:ascii="宋体" w:hAnsi="宋体"/>
          <w:kern w:val="0"/>
          <w:szCs w:val="21"/>
        </w:rPr>
        <w:t>投 标 人：</w:t>
      </w:r>
      <w:r>
        <w:rPr>
          <w:rStyle w:val="18"/>
          <w:rFonts w:ascii="宋体" w:hAnsi="宋体"/>
          <w:kern w:val="0"/>
          <w:szCs w:val="21"/>
          <w:u w:val="single"/>
        </w:rPr>
        <w:t xml:space="preserve">                                                       </w:t>
      </w:r>
      <w:r>
        <w:rPr>
          <w:rStyle w:val="18"/>
          <w:rFonts w:ascii="宋体" w:hAnsi="宋体"/>
          <w:kern w:val="0"/>
          <w:szCs w:val="21"/>
        </w:rPr>
        <w:t xml:space="preserve"> </w:t>
      </w:r>
    </w:p>
    <w:p>
      <w:pPr>
        <w:spacing w:line="360" w:lineRule="auto"/>
        <w:ind w:firstLine="420" w:firstLineChars="200"/>
        <w:jc w:val="left"/>
        <w:rPr>
          <w:rStyle w:val="18"/>
          <w:rFonts w:ascii="宋体" w:hAnsi="宋体"/>
          <w:kern w:val="0"/>
          <w:szCs w:val="21"/>
        </w:rPr>
      </w:pPr>
      <w:r>
        <w:rPr>
          <w:rStyle w:val="18"/>
          <w:rFonts w:ascii="宋体" w:hAnsi="宋体"/>
          <w:kern w:val="0"/>
          <w:szCs w:val="21"/>
        </w:rPr>
        <w:t>单位性质：</w:t>
      </w:r>
      <w:r>
        <w:rPr>
          <w:rStyle w:val="18"/>
          <w:rFonts w:ascii="宋体" w:hAnsi="宋体"/>
          <w:kern w:val="0"/>
          <w:szCs w:val="21"/>
          <w:u w:val="single"/>
        </w:rPr>
        <w:t xml:space="preserve">                                                       </w:t>
      </w:r>
      <w:r>
        <w:rPr>
          <w:rStyle w:val="18"/>
          <w:rFonts w:ascii="宋体" w:hAnsi="宋体"/>
          <w:kern w:val="0"/>
          <w:szCs w:val="21"/>
        </w:rPr>
        <w:t xml:space="preserve"> </w:t>
      </w:r>
    </w:p>
    <w:p>
      <w:pPr>
        <w:spacing w:line="360" w:lineRule="auto"/>
        <w:ind w:firstLine="420" w:firstLineChars="200"/>
        <w:jc w:val="left"/>
        <w:rPr>
          <w:rStyle w:val="18"/>
          <w:rFonts w:ascii="宋体" w:hAnsi="宋体"/>
          <w:kern w:val="0"/>
          <w:szCs w:val="21"/>
        </w:rPr>
      </w:pPr>
      <w:r>
        <w:rPr>
          <w:rStyle w:val="18"/>
          <w:rFonts w:ascii="宋体" w:hAnsi="宋体"/>
          <w:kern w:val="0"/>
          <w:szCs w:val="21"/>
        </w:rPr>
        <w:t>地    址：</w:t>
      </w:r>
      <w:r>
        <w:rPr>
          <w:rStyle w:val="18"/>
          <w:rFonts w:ascii="宋体" w:hAnsi="宋体"/>
          <w:kern w:val="0"/>
          <w:szCs w:val="21"/>
          <w:u w:val="single"/>
        </w:rPr>
        <w:t xml:space="preserve">                                                       </w:t>
      </w:r>
      <w:r>
        <w:rPr>
          <w:rStyle w:val="18"/>
          <w:rFonts w:ascii="宋体" w:hAnsi="宋体"/>
          <w:kern w:val="0"/>
          <w:szCs w:val="21"/>
        </w:rPr>
        <w:t xml:space="preserve"> </w:t>
      </w:r>
    </w:p>
    <w:p>
      <w:pPr>
        <w:spacing w:line="360" w:lineRule="auto"/>
        <w:ind w:firstLine="420" w:firstLineChars="200"/>
        <w:jc w:val="left"/>
        <w:rPr>
          <w:rStyle w:val="18"/>
          <w:rFonts w:ascii="宋体" w:hAnsi="宋体"/>
          <w:kern w:val="0"/>
          <w:szCs w:val="21"/>
        </w:rPr>
      </w:pPr>
      <w:r>
        <w:rPr>
          <w:rStyle w:val="18"/>
          <w:rFonts w:ascii="宋体" w:hAnsi="宋体"/>
          <w:kern w:val="0"/>
          <w:szCs w:val="21"/>
        </w:rPr>
        <w:t>成立时间：</w:t>
      </w:r>
      <w:r>
        <w:rPr>
          <w:rStyle w:val="18"/>
          <w:rFonts w:ascii="宋体" w:hAnsi="宋体"/>
          <w:kern w:val="0"/>
          <w:szCs w:val="21"/>
          <w:u w:val="single"/>
        </w:rPr>
        <w:t xml:space="preserve">                 </w:t>
      </w:r>
      <w:r>
        <w:rPr>
          <w:rStyle w:val="18"/>
          <w:rFonts w:ascii="宋体" w:hAnsi="宋体"/>
          <w:kern w:val="0"/>
          <w:szCs w:val="21"/>
        </w:rPr>
        <w:t>年</w:t>
      </w:r>
      <w:r>
        <w:rPr>
          <w:rStyle w:val="18"/>
          <w:rFonts w:ascii="宋体" w:hAnsi="宋体"/>
          <w:kern w:val="0"/>
          <w:szCs w:val="21"/>
          <w:u w:val="single"/>
        </w:rPr>
        <w:t xml:space="preserve">              </w:t>
      </w:r>
      <w:r>
        <w:rPr>
          <w:rStyle w:val="18"/>
          <w:rFonts w:ascii="宋体" w:hAnsi="宋体"/>
          <w:kern w:val="0"/>
          <w:szCs w:val="21"/>
        </w:rPr>
        <w:t>月</w:t>
      </w:r>
      <w:r>
        <w:rPr>
          <w:rStyle w:val="18"/>
          <w:rFonts w:ascii="宋体" w:hAnsi="宋体"/>
          <w:kern w:val="0"/>
          <w:szCs w:val="21"/>
          <w:u w:val="single"/>
        </w:rPr>
        <w:t xml:space="preserve">              </w:t>
      </w:r>
      <w:r>
        <w:rPr>
          <w:rStyle w:val="18"/>
          <w:rFonts w:ascii="宋体" w:hAnsi="宋体"/>
          <w:kern w:val="0"/>
          <w:szCs w:val="21"/>
        </w:rPr>
        <w:t>日</w:t>
      </w:r>
    </w:p>
    <w:p>
      <w:pPr>
        <w:spacing w:line="360" w:lineRule="auto"/>
        <w:ind w:firstLine="420" w:firstLineChars="200"/>
        <w:jc w:val="left"/>
        <w:rPr>
          <w:rStyle w:val="18"/>
          <w:rFonts w:ascii="宋体" w:hAnsi="宋体"/>
          <w:kern w:val="0"/>
          <w:szCs w:val="21"/>
        </w:rPr>
      </w:pPr>
      <w:r>
        <w:rPr>
          <w:rStyle w:val="18"/>
          <w:rFonts w:ascii="宋体" w:hAnsi="宋体"/>
          <w:kern w:val="0"/>
          <w:szCs w:val="21"/>
        </w:rPr>
        <w:t>经营期限：</w:t>
      </w:r>
      <w:r>
        <w:rPr>
          <w:rStyle w:val="18"/>
          <w:rFonts w:ascii="宋体" w:hAnsi="宋体"/>
          <w:kern w:val="0"/>
          <w:szCs w:val="21"/>
          <w:u w:val="single"/>
        </w:rPr>
        <w:t xml:space="preserve">                                                        </w:t>
      </w:r>
    </w:p>
    <w:p>
      <w:pPr>
        <w:spacing w:line="360" w:lineRule="auto"/>
        <w:ind w:firstLine="420" w:firstLineChars="200"/>
        <w:jc w:val="left"/>
        <w:rPr>
          <w:rStyle w:val="18"/>
          <w:rFonts w:ascii="宋体" w:hAnsi="宋体"/>
          <w:kern w:val="0"/>
          <w:szCs w:val="21"/>
        </w:rPr>
      </w:pPr>
      <w:r>
        <w:rPr>
          <w:rStyle w:val="18"/>
          <w:rFonts w:ascii="宋体" w:hAnsi="宋体"/>
          <w:kern w:val="0"/>
          <w:szCs w:val="21"/>
        </w:rPr>
        <w:t>姓    名：</w:t>
      </w:r>
      <w:r>
        <w:rPr>
          <w:rStyle w:val="18"/>
          <w:rFonts w:ascii="宋体" w:hAnsi="宋体"/>
          <w:kern w:val="0"/>
          <w:szCs w:val="21"/>
          <w:u w:val="single"/>
        </w:rPr>
        <w:t xml:space="preserve">                      </w:t>
      </w:r>
      <w:r>
        <w:rPr>
          <w:rStyle w:val="18"/>
          <w:rFonts w:ascii="宋体" w:hAnsi="宋体"/>
          <w:kern w:val="0"/>
          <w:szCs w:val="21"/>
        </w:rPr>
        <w:t xml:space="preserve">    性        别：</w:t>
      </w:r>
      <w:r>
        <w:rPr>
          <w:rStyle w:val="18"/>
          <w:rFonts w:ascii="宋体" w:hAnsi="宋体"/>
          <w:kern w:val="0"/>
          <w:szCs w:val="21"/>
          <w:u w:val="single"/>
        </w:rPr>
        <w:t xml:space="preserve">                </w:t>
      </w:r>
    </w:p>
    <w:p>
      <w:pPr>
        <w:spacing w:line="360" w:lineRule="auto"/>
        <w:ind w:firstLine="420" w:firstLineChars="200"/>
        <w:jc w:val="left"/>
        <w:rPr>
          <w:rStyle w:val="18"/>
          <w:rFonts w:ascii="宋体" w:hAnsi="宋体"/>
          <w:kern w:val="0"/>
          <w:szCs w:val="21"/>
        </w:rPr>
      </w:pPr>
      <w:r>
        <w:rPr>
          <w:rStyle w:val="18"/>
          <w:rFonts w:ascii="宋体" w:hAnsi="宋体"/>
          <w:kern w:val="0"/>
          <w:szCs w:val="21"/>
        </w:rPr>
        <w:t>年    龄：</w:t>
      </w:r>
      <w:r>
        <w:rPr>
          <w:rStyle w:val="18"/>
          <w:rFonts w:ascii="宋体" w:hAnsi="宋体"/>
          <w:kern w:val="0"/>
          <w:szCs w:val="21"/>
          <w:u w:val="single"/>
        </w:rPr>
        <w:t xml:space="preserve">                      </w:t>
      </w:r>
      <w:r>
        <w:rPr>
          <w:rStyle w:val="18"/>
          <w:rFonts w:ascii="宋体" w:hAnsi="宋体"/>
          <w:kern w:val="0"/>
          <w:szCs w:val="21"/>
        </w:rPr>
        <w:t xml:space="preserve">    职        务：</w:t>
      </w:r>
      <w:r>
        <w:rPr>
          <w:rStyle w:val="18"/>
          <w:rFonts w:ascii="宋体" w:hAnsi="宋体"/>
          <w:kern w:val="0"/>
          <w:szCs w:val="21"/>
          <w:u w:val="single"/>
        </w:rPr>
        <w:t xml:space="preserve">                </w:t>
      </w:r>
    </w:p>
    <w:p>
      <w:pPr>
        <w:spacing w:line="360" w:lineRule="auto"/>
        <w:ind w:firstLine="420" w:firstLineChars="200"/>
        <w:jc w:val="left"/>
        <w:rPr>
          <w:rStyle w:val="18"/>
          <w:rFonts w:ascii="宋体" w:hAnsi="宋体"/>
          <w:kern w:val="0"/>
          <w:szCs w:val="21"/>
        </w:rPr>
      </w:pPr>
      <w:r>
        <w:rPr>
          <w:rStyle w:val="18"/>
          <w:rFonts w:ascii="宋体" w:hAnsi="宋体"/>
          <w:kern w:val="0"/>
          <w:szCs w:val="21"/>
        </w:rPr>
        <w:t>系</w:t>
      </w:r>
      <w:r>
        <w:rPr>
          <w:rStyle w:val="18"/>
          <w:rFonts w:ascii="宋体" w:hAnsi="宋体"/>
          <w:kern w:val="0"/>
          <w:szCs w:val="21"/>
          <w:u w:val="single"/>
        </w:rPr>
        <w:t xml:space="preserve">                                    </w:t>
      </w:r>
      <w:r>
        <w:rPr>
          <w:rStyle w:val="18"/>
          <w:rFonts w:ascii="宋体" w:hAnsi="宋体"/>
          <w:kern w:val="0"/>
          <w:szCs w:val="21"/>
        </w:rPr>
        <w:t>（投标人名称）的法定代表人。</w:t>
      </w:r>
    </w:p>
    <w:p>
      <w:pPr>
        <w:spacing w:line="360" w:lineRule="auto"/>
        <w:ind w:firstLine="840" w:firstLineChars="400"/>
        <w:jc w:val="left"/>
        <w:rPr>
          <w:rStyle w:val="18"/>
          <w:rFonts w:ascii="宋体" w:hAnsi="宋体"/>
          <w:kern w:val="0"/>
          <w:szCs w:val="21"/>
        </w:rPr>
      </w:pPr>
      <w:r>
        <w:rPr>
          <w:rStyle w:val="18"/>
          <w:rFonts w:ascii="宋体" w:hAnsi="宋体"/>
          <w:kern w:val="0"/>
          <w:szCs w:val="21"/>
        </w:rPr>
        <w:t>特此证明。</w:t>
      </w:r>
    </w:p>
    <w:p>
      <w:pPr>
        <w:spacing w:line="360" w:lineRule="auto"/>
        <w:ind w:firstLine="420" w:firstLineChars="200"/>
        <w:jc w:val="left"/>
        <w:rPr>
          <w:rStyle w:val="18"/>
          <w:rFonts w:ascii="宋体" w:hAnsi="宋体"/>
          <w:kern w:val="0"/>
          <w:szCs w:val="21"/>
        </w:rPr>
      </w:pPr>
    </w:p>
    <w:p>
      <w:pPr>
        <w:spacing w:line="360" w:lineRule="auto"/>
        <w:ind w:firstLine="420" w:firstLineChars="200"/>
        <w:jc w:val="left"/>
        <w:rPr>
          <w:rStyle w:val="18"/>
          <w:rFonts w:ascii="宋体" w:hAnsi="宋体"/>
          <w:kern w:val="0"/>
          <w:szCs w:val="21"/>
        </w:rPr>
      </w:pPr>
      <w:r>
        <w:rPr>
          <w:rStyle w:val="18"/>
          <w:rFonts w:ascii="宋体" w:hAnsi="宋体"/>
          <w:kern w:val="0"/>
          <w:szCs w:val="21"/>
        </w:rPr>
        <w:t>附：法定代表人身份证复印件。</w:t>
      </w:r>
    </w:p>
    <w:p>
      <w:pPr>
        <w:spacing w:line="360" w:lineRule="auto"/>
        <w:ind w:firstLine="420" w:firstLineChars="200"/>
        <w:jc w:val="left"/>
        <w:rPr>
          <w:rStyle w:val="18"/>
          <w:rFonts w:ascii="宋体" w:hAnsi="宋体"/>
          <w:kern w:val="0"/>
          <w:szCs w:val="21"/>
        </w:rPr>
      </w:pPr>
    </w:p>
    <w:p>
      <w:pPr>
        <w:spacing w:line="360" w:lineRule="auto"/>
        <w:ind w:firstLine="420" w:firstLineChars="200"/>
        <w:jc w:val="left"/>
        <w:rPr>
          <w:rStyle w:val="18"/>
          <w:rFonts w:ascii="宋体" w:hAnsi="宋体"/>
          <w:kern w:val="0"/>
          <w:szCs w:val="21"/>
        </w:rPr>
      </w:pPr>
    </w:p>
    <w:p>
      <w:pPr>
        <w:spacing w:line="360" w:lineRule="auto"/>
        <w:ind w:firstLine="420" w:firstLineChars="200"/>
        <w:jc w:val="left"/>
        <w:rPr>
          <w:rStyle w:val="18"/>
          <w:rFonts w:ascii="宋体" w:hAnsi="宋体"/>
          <w:kern w:val="0"/>
          <w:szCs w:val="21"/>
        </w:rPr>
      </w:pPr>
    </w:p>
    <w:p>
      <w:pPr>
        <w:spacing w:line="360" w:lineRule="auto"/>
        <w:ind w:firstLine="420" w:firstLineChars="200"/>
        <w:jc w:val="left"/>
        <w:rPr>
          <w:rStyle w:val="18"/>
          <w:rFonts w:ascii="宋体" w:hAnsi="宋体"/>
          <w:kern w:val="0"/>
          <w:szCs w:val="21"/>
        </w:rPr>
      </w:pPr>
    </w:p>
    <w:p>
      <w:pPr>
        <w:spacing w:line="360" w:lineRule="auto"/>
        <w:ind w:firstLine="1995" w:firstLineChars="950"/>
        <w:jc w:val="left"/>
        <w:rPr>
          <w:rStyle w:val="18"/>
          <w:rFonts w:ascii="宋体" w:hAnsi="宋体"/>
          <w:kern w:val="0"/>
          <w:szCs w:val="21"/>
        </w:rPr>
      </w:pPr>
      <w:r>
        <w:rPr>
          <w:rStyle w:val="18"/>
          <w:rFonts w:ascii="宋体" w:hAnsi="宋体"/>
          <w:kern w:val="0"/>
          <w:szCs w:val="21"/>
        </w:rPr>
        <w:t>投标人：</w:t>
      </w:r>
      <w:r>
        <w:rPr>
          <w:rStyle w:val="18"/>
          <w:rFonts w:ascii="宋体" w:hAnsi="宋体"/>
          <w:kern w:val="0"/>
          <w:szCs w:val="21"/>
          <w:u w:val="single"/>
        </w:rPr>
        <w:t xml:space="preserve">                          </w:t>
      </w:r>
      <w:r>
        <w:rPr>
          <w:rStyle w:val="18"/>
          <w:rFonts w:ascii="宋体" w:hAnsi="宋体"/>
          <w:kern w:val="0"/>
          <w:szCs w:val="21"/>
        </w:rPr>
        <w:t>（盖单位章）</w:t>
      </w:r>
    </w:p>
    <w:p>
      <w:pPr>
        <w:spacing w:line="360" w:lineRule="auto"/>
        <w:ind w:firstLine="420" w:firstLineChars="200"/>
        <w:jc w:val="left"/>
        <w:rPr>
          <w:rStyle w:val="18"/>
          <w:rFonts w:ascii="宋体" w:hAnsi="宋体"/>
          <w:kern w:val="0"/>
          <w:szCs w:val="21"/>
        </w:rPr>
      </w:pPr>
      <w:r>
        <w:rPr>
          <w:rStyle w:val="18"/>
          <w:rFonts w:ascii="宋体" w:hAnsi="宋体"/>
          <w:kern w:val="0"/>
          <w:szCs w:val="21"/>
        </w:rPr>
        <w:t xml:space="preserve">                         </w:t>
      </w:r>
      <w:r>
        <w:rPr>
          <w:rStyle w:val="18"/>
          <w:rFonts w:ascii="宋体" w:hAnsi="宋体"/>
          <w:kern w:val="0"/>
          <w:szCs w:val="21"/>
          <w:u w:val="single"/>
        </w:rPr>
        <w:t xml:space="preserve">          </w:t>
      </w:r>
      <w:r>
        <w:rPr>
          <w:rStyle w:val="18"/>
          <w:rFonts w:ascii="宋体" w:hAnsi="宋体"/>
          <w:kern w:val="0"/>
          <w:szCs w:val="21"/>
        </w:rPr>
        <w:t>年</w:t>
      </w:r>
      <w:r>
        <w:rPr>
          <w:rStyle w:val="18"/>
          <w:rFonts w:ascii="宋体" w:hAnsi="宋体"/>
          <w:kern w:val="0"/>
          <w:szCs w:val="21"/>
          <w:u w:val="single"/>
        </w:rPr>
        <w:t xml:space="preserve">        </w:t>
      </w:r>
      <w:r>
        <w:rPr>
          <w:rStyle w:val="18"/>
          <w:rFonts w:ascii="宋体" w:hAnsi="宋体"/>
          <w:kern w:val="0"/>
          <w:szCs w:val="21"/>
        </w:rPr>
        <w:t>月</w:t>
      </w:r>
      <w:r>
        <w:rPr>
          <w:rStyle w:val="18"/>
          <w:rFonts w:ascii="宋体" w:hAnsi="宋体"/>
          <w:kern w:val="0"/>
          <w:szCs w:val="21"/>
          <w:u w:val="single"/>
        </w:rPr>
        <w:t xml:space="preserve">        </w:t>
      </w:r>
      <w:r>
        <w:rPr>
          <w:rStyle w:val="18"/>
          <w:rFonts w:ascii="宋体" w:hAnsi="宋体"/>
          <w:kern w:val="0"/>
          <w:szCs w:val="21"/>
        </w:rPr>
        <w:t xml:space="preserve">日  </w:t>
      </w:r>
    </w:p>
    <w:p>
      <w:pPr>
        <w:spacing w:line="360" w:lineRule="auto"/>
        <w:ind w:firstLine="400" w:firstLineChars="200"/>
        <w:rPr>
          <w:rStyle w:val="18"/>
          <w:rFonts w:ascii="宋体" w:hAnsi="宋体"/>
          <w:kern w:val="0"/>
          <w:szCs w:val="21"/>
        </w:rPr>
      </w:pPr>
      <w:r>
        <w:rPr>
          <w:sz w:val="20"/>
        </w:rPr>
        <w:br w:type="page"/>
      </w:r>
    </w:p>
    <w:p>
      <w:pPr>
        <w:spacing w:line="360" w:lineRule="auto"/>
        <w:ind w:firstLine="420" w:firstLineChars="200"/>
        <w:rPr>
          <w:rStyle w:val="18"/>
          <w:rFonts w:ascii="宋体" w:hAnsi="宋体"/>
          <w:szCs w:val="21"/>
        </w:rPr>
      </w:pPr>
    </w:p>
    <w:p>
      <w:pPr>
        <w:pStyle w:val="31"/>
        <w:outlineLvl w:val="0"/>
        <w:rPr>
          <w:rStyle w:val="18"/>
          <w:rFonts w:ascii="宋体" w:hAnsi="宋体"/>
        </w:rPr>
      </w:pPr>
      <w:bookmarkStart w:id="52" w:name="_Toc25377"/>
      <w:bookmarkStart w:id="53" w:name="_Toc13630"/>
      <w:bookmarkStart w:id="54" w:name="_Toc31534"/>
      <w:bookmarkStart w:id="55" w:name="_Toc19759"/>
      <w:r>
        <w:rPr>
          <w:rStyle w:val="18"/>
          <w:rFonts w:ascii="宋体" w:hAnsi="宋体"/>
        </w:rPr>
        <w:t>6.申请人基本情况</w:t>
      </w:r>
      <w:bookmarkEnd w:id="52"/>
      <w:bookmarkEnd w:id="53"/>
      <w:bookmarkEnd w:id="54"/>
      <w:bookmarkEnd w:id="55"/>
    </w:p>
    <w:p>
      <w:pPr>
        <w:jc w:val="center"/>
        <w:rPr>
          <w:rStyle w:val="18"/>
          <w:rFonts w:ascii="宋体" w:hAnsi="宋体"/>
          <w:sz w:val="28"/>
          <w:szCs w:val="28"/>
        </w:rPr>
      </w:pPr>
      <w:r>
        <w:rPr>
          <w:rStyle w:val="18"/>
          <w:rFonts w:ascii="宋体" w:hAnsi="宋体"/>
          <w:sz w:val="36"/>
          <w:szCs w:val="36"/>
        </w:rPr>
        <w:t>申请人基本情况</w:t>
      </w:r>
    </w:p>
    <w:tbl>
      <w:tblPr>
        <w:tblStyle w:val="12"/>
        <w:tblW w:w="967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39"/>
        <w:gridCol w:w="1126"/>
        <w:gridCol w:w="85"/>
        <w:gridCol w:w="1211"/>
        <w:gridCol w:w="1014"/>
        <w:gridCol w:w="1366"/>
        <w:gridCol w:w="849"/>
        <w:gridCol w:w="517"/>
        <w:gridCol w:w="13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2139"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rPr>
            </w:pPr>
            <w:r>
              <w:rPr>
                <w:rStyle w:val="18"/>
                <w:rFonts w:ascii="宋体" w:hAnsi="宋体"/>
                <w:szCs w:val="21"/>
              </w:rPr>
              <w:t>申请人名称</w:t>
            </w:r>
          </w:p>
        </w:tc>
        <w:tc>
          <w:tcPr>
            <w:tcW w:w="7534" w:type="dxa"/>
            <w:gridSpan w:val="8"/>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2139"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rPr>
            </w:pPr>
            <w:r>
              <w:rPr>
                <w:rStyle w:val="18"/>
                <w:rFonts w:ascii="宋体" w:hAnsi="宋体"/>
                <w:szCs w:val="21"/>
              </w:rPr>
              <w:t>注册地址</w:t>
            </w:r>
          </w:p>
        </w:tc>
        <w:tc>
          <w:tcPr>
            <w:tcW w:w="3436" w:type="dxa"/>
            <w:gridSpan w:val="4"/>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rPr>
            </w:pPr>
          </w:p>
        </w:tc>
        <w:tc>
          <w:tcPr>
            <w:tcW w:w="1366"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rPr>
            </w:pPr>
            <w:r>
              <w:rPr>
                <w:rStyle w:val="18"/>
                <w:rFonts w:ascii="宋体" w:hAnsi="宋体"/>
                <w:szCs w:val="21"/>
              </w:rPr>
              <w:t>邮  编</w:t>
            </w:r>
          </w:p>
        </w:tc>
        <w:tc>
          <w:tcPr>
            <w:tcW w:w="2732"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2139"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rPr>
            </w:pPr>
            <w:r>
              <w:rPr>
                <w:rStyle w:val="18"/>
                <w:rFonts w:ascii="宋体" w:hAnsi="宋体"/>
                <w:szCs w:val="21"/>
              </w:rPr>
              <w:t>联系方式</w:t>
            </w:r>
          </w:p>
        </w:tc>
        <w:tc>
          <w:tcPr>
            <w:tcW w:w="1211"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rPr>
            </w:pPr>
            <w:r>
              <w:rPr>
                <w:rStyle w:val="18"/>
                <w:rFonts w:ascii="宋体" w:hAnsi="宋体"/>
                <w:szCs w:val="21"/>
              </w:rPr>
              <w:t>联系人</w:t>
            </w:r>
          </w:p>
        </w:tc>
        <w:tc>
          <w:tcPr>
            <w:tcW w:w="2225"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rPr>
            </w:pPr>
          </w:p>
        </w:tc>
        <w:tc>
          <w:tcPr>
            <w:tcW w:w="1366"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rPr>
            </w:pPr>
            <w:r>
              <w:rPr>
                <w:rStyle w:val="18"/>
                <w:rFonts w:ascii="宋体" w:hAnsi="宋体"/>
                <w:szCs w:val="21"/>
              </w:rPr>
              <w:t>电  话</w:t>
            </w:r>
          </w:p>
        </w:tc>
        <w:tc>
          <w:tcPr>
            <w:tcW w:w="2732"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 w:hRule="atLeast"/>
        </w:trPr>
        <w:tc>
          <w:tcPr>
            <w:tcW w:w="213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rPr>
            </w:pPr>
          </w:p>
        </w:tc>
        <w:tc>
          <w:tcPr>
            <w:tcW w:w="1211"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rPr>
            </w:pPr>
            <w:r>
              <w:rPr>
                <w:rStyle w:val="18"/>
                <w:rFonts w:ascii="宋体" w:hAnsi="宋体"/>
                <w:szCs w:val="21"/>
              </w:rPr>
              <w:t>传  真</w:t>
            </w:r>
          </w:p>
        </w:tc>
        <w:tc>
          <w:tcPr>
            <w:tcW w:w="2225"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rPr>
            </w:pPr>
          </w:p>
        </w:tc>
        <w:tc>
          <w:tcPr>
            <w:tcW w:w="1366"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rPr>
            </w:pPr>
            <w:r>
              <w:rPr>
                <w:rStyle w:val="18"/>
                <w:rFonts w:ascii="宋体" w:hAnsi="宋体"/>
                <w:szCs w:val="21"/>
              </w:rPr>
              <w:t>网  址</w:t>
            </w:r>
          </w:p>
        </w:tc>
        <w:tc>
          <w:tcPr>
            <w:tcW w:w="2732"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2139"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rPr>
            </w:pPr>
            <w:r>
              <w:rPr>
                <w:rStyle w:val="18"/>
                <w:rFonts w:ascii="宋体" w:hAnsi="宋体"/>
                <w:szCs w:val="21"/>
              </w:rPr>
              <w:t>组织结构</w:t>
            </w:r>
          </w:p>
        </w:tc>
        <w:tc>
          <w:tcPr>
            <w:tcW w:w="7534" w:type="dxa"/>
            <w:gridSpan w:val="8"/>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2139"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rPr>
            </w:pPr>
            <w:r>
              <w:rPr>
                <w:rStyle w:val="18"/>
                <w:rFonts w:ascii="宋体" w:hAnsi="宋体"/>
                <w:szCs w:val="21"/>
              </w:rPr>
              <w:t>法定代表人</w:t>
            </w:r>
          </w:p>
        </w:tc>
        <w:tc>
          <w:tcPr>
            <w:tcW w:w="1126"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rPr>
            </w:pPr>
            <w:r>
              <w:rPr>
                <w:rStyle w:val="18"/>
                <w:rFonts w:ascii="宋体" w:hAnsi="宋体"/>
                <w:szCs w:val="21"/>
              </w:rPr>
              <w:t>姓  名</w:t>
            </w:r>
          </w:p>
        </w:tc>
        <w:tc>
          <w:tcPr>
            <w:tcW w:w="1296"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rPr>
            </w:pPr>
          </w:p>
        </w:tc>
        <w:tc>
          <w:tcPr>
            <w:tcW w:w="1014"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rPr>
            </w:pPr>
            <w:r>
              <w:rPr>
                <w:rStyle w:val="18"/>
                <w:rFonts w:ascii="宋体" w:hAnsi="宋体"/>
                <w:szCs w:val="21"/>
              </w:rPr>
              <w:t>职  称</w:t>
            </w:r>
          </w:p>
        </w:tc>
        <w:tc>
          <w:tcPr>
            <w:tcW w:w="1366"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rPr>
            </w:pPr>
          </w:p>
        </w:tc>
        <w:tc>
          <w:tcPr>
            <w:tcW w:w="1366"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rPr>
            </w:pPr>
            <w:r>
              <w:rPr>
                <w:rStyle w:val="18"/>
                <w:rFonts w:ascii="宋体" w:hAnsi="宋体"/>
                <w:szCs w:val="21"/>
              </w:rPr>
              <w:t>电  话</w:t>
            </w:r>
          </w:p>
        </w:tc>
        <w:tc>
          <w:tcPr>
            <w:tcW w:w="1366" w:type="dxa"/>
            <w:tcBorders>
              <w:top w:val="single" w:color="000000" w:sz="4" w:space="0"/>
              <w:left w:val="single" w:color="000000" w:sz="4" w:space="0"/>
              <w:bottom w:val="single" w:color="000000" w:sz="4" w:space="0"/>
              <w:right w:val="single" w:color="000000" w:sz="4" w:space="0"/>
            </w:tcBorders>
            <w:vAlign w:val="center"/>
          </w:tcPr>
          <w:p>
            <w:pPr>
              <w:jc w:val="left"/>
              <w:rPr>
                <w:rStyle w:val="18"/>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2139"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rPr>
            </w:pPr>
            <w:r>
              <w:rPr>
                <w:rStyle w:val="18"/>
                <w:rFonts w:ascii="宋体" w:hAnsi="宋体"/>
                <w:szCs w:val="21"/>
              </w:rPr>
              <w:t>技术负责人</w:t>
            </w:r>
          </w:p>
        </w:tc>
        <w:tc>
          <w:tcPr>
            <w:tcW w:w="1126"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rPr>
            </w:pPr>
            <w:r>
              <w:rPr>
                <w:rStyle w:val="18"/>
                <w:rFonts w:ascii="宋体" w:hAnsi="宋体"/>
                <w:szCs w:val="21"/>
              </w:rPr>
              <w:t>姓  名</w:t>
            </w:r>
          </w:p>
        </w:tc>
        <w:tc>
          <w:tcPr>
            <w:tcW w:w="1296"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rPr>
            </w:pPr>
          </w:p>
        </w:tc>
        <w:tc>
          <w:tcPr>
            <w:tcW w:w="1014"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rPr>
            </w:pPr>
            <w:r>
              <w:rPr>
                <w:rStyle w:val="18"/>
                <w:rFonts w:ascii="宋体" w:hAnsi="宋体"/>
                <w:szCs w:val="21"/>
              </w:rPr>
              <w:t>职  称</w:t>
            </w:r>
          </w:p>
        </w:tc>
        <w:tc>
          <w:tcPr>
            <w:tcW w:w="1366"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rPr>
            </w:pPr>
          </w:p>
        </w:tc>
        <w:tc>
          <w:tcPr>
            <w:tcW w:w="1366"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rPr>
            </w:pPr>
            <w:r>
              <w:rPr>
                <w:rStyle w:val="18"/>
                <w:rFonts w:ascii="宋体" w:hAnsi="宋体"/>
                <w:szCs w:val="21"/>
              </w:rPr>
              <w:t>电  话</w:t>
            </w:r>
          </w:p>
        </w:tc>
        <w:tc>
          <w:tcPr>
            <w:tcW w:w="1366" w:type="dxa"/>
            <w:tcBorders>
              <w:top w:val="single" w:color="000000" w:sz="4" w:space="0"/>
              <w:left w:val="single" w:color="000000" w:sz="4" w:space="0"/>
              <w:bottom w:val="single" w:color="000000" w:sz="4" w:space="0"/>
              <w:right w:val="single" w:color="000000" w:sz="4" w:space="0"/>
            </w:tcBorders>
            <w:vAlign w:val="center"/>
          </w:tcPr>
          <w:p>
            <w:pPr>
              <w:jc w:val="left"/>
              <w:rPr>
                <w:rStyle w:val="18"/>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2139"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rPr>
            </w:pPr>
            <w:r>
              <w:rPr>
                <w:rStyle w:val="18"/>
                <w:rFonts w:ascii="宋体" w:hAnsi="宋体"/>
                <w:szCs w:val="21"/>
              </w:rPr>
              <w:t>成立时间</w:t>
            </w:r>
          </w:p>
        </w:tc>
        <w:tc>
          <w:tcPr>
            <w:tcW w:w="2422"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rPr>
            </w:pPr>
          </w:p>
        </w:tc>
        <w:tc>
          <w:tcPr>
            <w:tcW w:w="5112" w:type="dxa"/>
            <w:gridSpan w:val="5"/>
            <w:tcBorders>
              <w:top w:val="single" w:color="000000" w:sz="4" w:space="0"/>
              <w:left w:val="single" w:color="000000" w:sz="4" w:space="0"/>
              <w:bottom w:val="single" w:color="000000" w:sz="4" w:space="0"/>
              <w:right w:val="single" w:color="000000" w:sz="4" w:space="0"/>
            </w:tcBorders>
            <w:vAlign w:val="center"/>
          </w:tcPr>
          <w:p>
            <w:pPr>
              <w:rPr>
                <w:rStyle w:val="18"/>
                <w:rFonts w:ascii="宋体" w:hAnsi="宋体"/>
                <w:szCs w:val="21"/>
              </w:rPr>
            </w:pPr>
            <w:r>
              <w:rPr>
                <w:rStyle w:val="18"/>
                <w:rFonts w:ascii="宋体" w:hAnsi="宋体"/>
                <w:szCs w:val="21"/>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2139"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rPr>
            </w:pPr>
            <w:r>
              <w:rPr>
                <w:rStyle w:val="18"/>
                <w:rFonts w:ascii="宋体" w:hAnsi="宋体"/>
                <w:szCs w:val="21"/>
              </w:rPr>
              <w:t>企业资质等级</w:t>
            </w:r>
          </w:p>
        </w:tc>
        <w:tc>
          <w:tcPr>
            <w:tcW w:w="2422"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rPr>
            </w:pPr>
          </w:p>
        </w:tc>
        <w:tc>
          <w:tcPr>
            <w:tcW w:w="1014" w:type="dxa"/>
            <w:vMerge w:val="restart"/>
            <w:tcBorders>
              <w:top w:val="single" w:color="000000" w:sz="4" w:space="0"/>
              <w:left w:val="single" w:color="000000" w:sz="4" w:space="0"/>
              <w:bottom w:val="single" w:color="000000" w:sz="4" w:space="0"/>
              <w:right w:val="single" w:color="000000" w:sz="4" w:space="0"/>
            </w:tcBorders>
            <w:textDirection w:val="tbRlV"/>
            <w:vAlign w:val="center"/>
          </w:tcPr>
          <w:p>
            <w:pPr>
              <w:ind w:left="113" w:right="113"/>
              <w:jc w:val="center"/>
              <w:rPr>
                <w:rStyle w:val="18"/>
                <w:rFonts w:ascii="宋体" w:hAnsi="宋体"/>
                <w:szCs w:val="21"/>
              </w:rPr>
            </w:pPr>
            <w:r>
              <w:rPr>
                <w:rStyle w:val="18"/>
                <w:rFonts w:ascii="宋体" w:hAnsi="宋体"/>
                <w:szCs w:val="21"/>
              </w:rPr>
              <w:t>其 中</w:t>
            </w:r>
          </w:p>
        </w:tc>
        <w:tc>
          <w:tcPr>
            <w:tcW w:w="2215"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rPr>
            </w:pPr>
            <w:r>
              <w:rPr>
                <w:rStyle w:val="18"/>
                <w:rFonts w:ascii="宋体" w:hAnsi="宋体"/>
                <w:szCs w:val="21"/>
              </w:rPr>
              <w:t>项目负责人</w:t>
            </w:r>
          </w:p>
        </w:tc>
        <w:tc>
          <w:tcPr>
            <w:tcW w:w="1883" w:type="dxa"/>
            <w:gridSpan w:val="2"/>
            <w:tcBorders>
              <w:top w:val="single" w:color="000000" w:sz="4" w:space="0"/>
              <w:left w:val="single" w:color="000000" w:sz="4" w:space="0"/>
              <w:bottom w:val="single" w:color="000000" w:sz="4" w:space="0"/>
              <w:right w:val="single" w:color="000000" w:sz="4" w:space="0"/>
            </w:tcBorders>
            <w:vAlign w:val="center"/>
          </w:tcPr>
          <w:p>
            <w:pPr>
              <w:jc w:val="left"/>
              <w:rPr>
                <w:rStyle w:val="18"/>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2139"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rPr>
            </w:pPr>
            <w:r>
              <w:rPr>
                <w:rStyle w:val="18"/>
                <w:rFonts w:ascii="宋体" w:hAnsi="宋体"/>
                <w:szCs w:val="21"/>
              </w:rPr>
              <w:t>营业执照号</w:t>
            </w:r>
          </w:p>
        </w:tc>
        <w:tc>
          <w:tcPr>
            <w:tcW w:w="2422"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rPr>
            </w:pPr>
          </w:p>
        </w:tc>
        <w:tc>
          <w:tcPr>
            <w:tcW w:w="10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rPr>
            </w:pPr>
          </w:p>
        </w:tc>
        <w:tc>
          <w:tcPr>
            <w:tcW w:w="2215"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rPr>
            </w:pPr>
            <w:r>
              <w:rPr>
                <w:rStyle w:val="18"/>
                <w:rFonts w:ascii="宋体" w:hAnsi="宋体"/>
                <w:szCs w:val="21"/>
              </w:rPr>
              <w:t>高级职称人员</w:t>
            </w:r>
          </w:p>
        </w:tc>
        <w:tc>
          <w:tcPr>
            <w:tcW w:w="1883" w:type="dxa"/>
            <w:gridSpan w:val="2"/>
            <w:tcBorders>
              <w:top w:val="single" w:color="000000" w:sz="4" w:space="0"/>
              <w:left w:val="single" w:color="000000" w:sz="4" w:space="0"/>
              <w:bottom w:val="single" w:color="000000" w:sz="4" w:space="0"/>
              <w:right w:val="single" w:color="000000" w:sz="4" w:space="0"/>
            </w:tcBorders>
            <w:vAlign w:val="center"/>
          </w:tcPr>
          <w:p>
            <w:pPr>
              <w:jc w:val="left"/>
              <w:rPr>
                <w:rStyle w:val="18"/>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2139"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rPr>
            </w:pPr>
            <w:r>
              <w:rPr>
                <w:rStyle w:val="18"/>
                <w:rFonts w:ascii="宋体" w:hAnsi="宋体"/>
                <w:szCs w:val="21"/>
              </w:rPr>
              <w:t>注册资金</w:t>
            </w:r>
          </w:p>
        </w:tc>
        <w:tc>
          <w:tcPr>
            <w:tcW w:w="2422"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rPr>
            </w:pPr>
          </w:p>
        </w:tc>
        <w:tc>
          <w:tcPr>
            <w:tcW w:w="10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rPr>
            </w:pPr>
          </w:p>
        </w:tc>
        <w:tc>
          <w:tcPr>
            <w:tcW w:w="2215"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rPr>
            </w:pPr>
            <w:r>
              <w:rPr>
                <w:rStyle w:val="18"/>
                <w:rFonts w:ascii="宋体" w:hAnsi="宋体"/>
                <w:szCs w:val="21"/>
              </w:rPr>
              <w:t>中级职称人员</w:t>
            </w:r>
          </w:p>
        </w:tc>
        <w:tc>
          <w:tcPr>
            <w:tcW w:w="1883" w:type="dxa"/>
            <w:gridSpan w:val="2"/>
            <w:tcBorders>
              <w:top w:val="single" w:color="000000" w:sz="4" w:space="0"/>
              <w:left w:val="single" w:color="000000" w:sz="4" w:space="0"/>
              <w:bottom w:val="single" w:color="000000" w:sz="4" w:space="0"/>
              <w:right w:val="single" w:color="000000" w:sz="4" w:space="0"/>
            </w:tcBorders>
            <w:vAlign w:val="center"/>
          </w:tcPr>
          <w:p>
            <w:pPr>
              <w:jc w:val="left"/>
              <w:rPr>
                <w:rStyle w:val="18"/>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2139"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rPr>
            </w:pPr>
            <w:r>
              <w:rPr>
                <w:rStyle w:val="18"/>
                <w:rFonts w:ascii="宋体" w:hAnsi="宋体"/>
                <w:szCs w:val="21"/>
              </w:rPr>
              <w:t>开户银行</w:t>
            </w:r>
          </w:p>
        </w:tc>
        <w:tc>
          <w:tcPr>
            <w:tcW w:w="2422"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rPr>
            </w:pPr>
          </w:p>
        </w:tc>
        <w:tc>
          <w:tcPr>
            <w:tcW w:w="10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rPr>
            </w:pPr>
          </w:p>
        </w:tc>
        <w:tc>
          <w:tcPr>
            <w:tcW w:w="2215"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rPr>
            </w:pPr>
            <w:r>
              <w:rPr>
                <w:rStyle w:val="18"/>
                <w:rFonts w:ascii="宋体" w:hAnsi="宋体"/>
                <w:szCs w:val="21"/>
              </w:rPr>
              <w:t>初级职称人员</w:t>
            </w:r>
          </w:p>
        </w:tc>
        <w:tc>
          <w:tcPr>
            <w:tcW w:w="1883" w:type="dxa"/>
            <w:gridSpan w:val="2"/>
            <w:tcBorders>
              <w:top w:val="single" w:color="000000" w:sz="4" w:space="0"/>
              <w:left w:val="single" w:color="000000" w:sz="4" w:space="0"/>
              <w:bottom w:val="single" w:color="000000" w:sz="4" w:space="0"/>
              <w:right w:val="single" w:color="000000" w:sz="4" w:space="0"/>
            </w:tcBorders>
            <w:vAlign w:val="center"/>
          </w:tcPr>
          <w:p>
            <w:pPr>
              <w:jc w:val="left"/>
              <w:rPr>
                <w:rStyle w:val="18"/>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2139"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rPr>
            </w:pPr>
            <w:r>
              <w:rPr>
                <w:rStyle w:val="18"/>
                <w:rFonts w:ascii="宋体" w:hAnsi="宋体"/>
                <w:szCs w:val="21"/>
              </w:rPr>
              <w:t>账    号</w:t>
            </w:r>
          </w:p>
        </w:tc>
        <w:tc>
          <w:tcPr>
            <w:tcW w:w="2422"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rPr>
            </w:pPr>
          </w:p>
        </w:tc>
        <w:tc>
          <w:tcPr>
            <w:tcW w:w="10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rPr>
            </w:pPr>
          </w:p>
        </w:tc>
        <w:tc>
          <w:tcPr>
            <w:tcW w:w="2215"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rPr>
            </w:pPr>
            <w:r>
              <w:rPr>
                <w:rStyle w:val="18"/>
                <w:rFonts w:ascii="宋体" w:hAnsi="宋体"/>
                <w:szCs w:val="21"/>
              </w:rPr>
              <w:t>技术工人</w:t>
            </w:r>
          </w:p>
        </w:tc>
        <w:tc>
          <w:tcPr>
            <w:tcW w:w="1883" w:type="dxa"/>
            <w:gridSpan w:val="2"/>
            <w:tcBorders>
              <w:top w:val="single" w:color="000000" w:sz="4" w:space="0"/>
              <w:left w:val="single" w:color="000000" w:sz="4" w:space="0"/>
              <w:bottom w:val="single" w:color="000000" w:sz="4" w:space="0"/>
              <w:right w:val="single" w:color="000000" w:sz="4" w:space="0"/>
            </w:tcBorders>
            <w:vAlign w:val="center"/>
          </w:tcPr>
          <w:p>
            <w:pPr>
              <w:jc w:val="left"/>
              <w:rPr>
                <w:rStyle w:val="18"/>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5" w:hRule="atLeast"/>
        </w:trPr>
        <w:tc>
          <w:tcPr>
            <w:tcW w:w="2139"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rPr>
            </w:pPr>
            <w:r>
              <w:rPr>
                <w:rStyle w:val="18"/>
                <w:rFonts w:ascii="宋体" w:hAnsi="宋体"/>
                <w:szCs w:val="21"/>
              </w:rPr>
              <w:t>经营范围</w:t>
            </w:r>
          </w:p>
        </w:tc>
        <w:tc>
          <w:tcPr>
            <w:tcW w:w="7534" w:type="dxa"/>
            <w:gridSpan w:val="8"/>
            <w:tcBorders>
              <w:top w:val="single" w:color="000000" w:sz="4" w:space="0"/>
              <w:left w:val="single" w:color="000000" w:sz="4" w:space="0"/>
              <w:bottom w:val="single" w:color="000000" w:sz="4" w:space="0"/>
              <w:right w:val="single" w:color="000000" w:sz="4" w:space="0"/>
            </w:tcBorders>
            <w:vAlign w:val="center"/>
          </w:tcPr>
          <w:p>
            <w:pPr>
              <w:jc w:val="left"/>
              <w:rPr>
                <w:rStyle w:val="18"/>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7" w:hRule="atLeast"/>
        </w:trPr>
        <w:tc>
          <w:tcPr>
            <w:tcW w:w="2139"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rPr>
            </w:pPr>
            <w:r>
              <w:rPr>
                <w:rStyle w:val="18"/>
                <w:rFonts w:ascii="宋体" w:hAnsi="宋体"/>
                <w:szCs w:val="21"/>
              </w:rPr>
              <w:t>备注</w:t>
            </w:r>
          </w:p>
        </w:tc>
        <w:tc>
          <w:tcPr>
            <w:tcW w:w="7534" w:type="dxa"/>
            <w:gridSpan w:val="8"/>
            <w:tcBorders>
              <w:top w:val="single" w:color="000000" w:sz="4" w:space="0"/>
              <w:left w:val="single" w:color="000000" w:sz="4" w:space="0"/>
              <w:bottom w:val="single" w:color="000000" w:sz="4" w:space="0"/>
              <w:right w:val="single" w:color="000000" w:sz="4" w:space="0"/>
            </w:tcBorders>
            <w:vAlign w:val="center"/>
          </w:tcPr>
          <w:p>
            <w:pPr>
              <w:jc w:val="left"/>
              <w:rPr>
                <w:rStyle w:val="18"/>
                <w:rFonts w:ascii="宋体" w:hAnsi="宋体"/>
                <w:szCs w:val="21"/>
              </w:rPr>
            </w:pPr>
          </w:p>
        </w:tc>
      </w:tr>
    </w:tbl>
    <w:p>
      <w:pPr>
        <w:pStyle w:val="23"/>
        <w:rPr>
          <w:rStyle w:val="18"/>
          <w:rFonts w:ascii="宋体" w:hAnsi="宋体" w:cs="宋体"/>
          <w:color w:val="000000"/>
          <w:sz w:val="24"/>
          <w:szCs w:val="24"/>
        </w:rPr>
      </w:pPr>
      <w:r>
        <w:rPr>
          <w:b w:val="0"/>
          <w:sz w:val="20"/>
        </w:rPr>
        <w:br w:type="page"/>
      </w:r>
      <w:r>
        <w:rPr>
          <w:rStyle w:val="18"/>
          <w:rFonts w:hint="eastAsia" w:ascii="宋体" w:hAnsi="宋体" w:eastAsia="宋体"/>
          <w:color w:val="000000"/>
        </w:rPr>
        <w:t>7</w:t>
      </w:r>
      <w:r>
        <w:rPr>
          <w:rStyle w:val="18"/>
          <w:rFonts w:ascii="宋体" w:hAnsi="宋体" w:eastAsia="宋体"/>
          <w:color w:val="000000"/>
        </w:rPr>
        <w:t>.</w:t>
      </w:r>
      <w:r>
        <w:rPr>
          <w:rStyle w:val="18"/>
          <w:rFonts w:hint="eastAsia" w:ascii="宋体" w:hAnsi="宋体" w:eastAsia="宋体"/>
          <w:color w:val="000000"/>
        </w:rPr>
        <w:t>承诺书</w:t>
      </w:r>
    </w:p>
    <w:p>
      <w:pPr>
        <w:jc w:val="center"/>
        <w:rPr>
          <w:rStyle w:val="18"/>
          <w:rFonts w:ascii="宋体" w:hAnsi="宋体"/>
          <w:sz w:val="36"/>
          <w:szCs w:val="36"/>
        </w:rPr>
      </w:pPr>
      <w:r>
        <w:rPr>
          <w:rStyle w:val="18"/>
          <w:rFonts w:hint="eastAsia" w:ascii="宋体" w:hAnsi="宋体"/>
          <w:sz w:val="36"/>
          <w:szCs w:val="36"/>
        </w:rPr>
        <w:t>盐城市大丰区政府招标采购供应商承诺书</w:t>
      </w:r>
    </w:p>
    <w:p>
      <w:pPr>
        <w:spacing w:line="400" w:lineRule="exact"/>
        <w:ind w:firstLine="600" w:firstLineChars="200"/>
        <w:rPr>
          <w:sz w:val="30"/>
          <w:szCs w:val="30"/>
        </w:rPr>
      </w:pPr>
    </w:p>
    <w:p>
      <w:pPr>
        <w:spacing w:line="340" w:lineRule="exact"/>
        <w:ind w:firstLine="560" w:firstLineChars="200"/>
        <w:rPr>
          <w:rFonts w:ascii="宋体" w:hAnsi="宋体" w:cs="宋体"/>
          <w:sz w:val="28"/>
          <w:szCs w:val="28"/>
          <w:u w:val="single"/>
        </w:rPr>
      </w:pPr>
      <w:r>
        <w:rPr>
          <w:rFonts w:hint="eastAsia" w:ascii="宋体" w:hAnsi="宋体" w:cs="宋体"/>
          <w:sz w:val="28"/>
          <w:szCs w:val="28"/>
        </w:rPr>
        <w:t>为营造公开、公平、公正、诚实守信的政府招标采购交易环境，树立诚信守法的投标人形象，本单位参加政府招标采购项目</w:t>
      </w:r>
      <w:r>
        <w:rPr>
          <w:rFonts w:hint="eastAsia" w:ascii="宋体" w:hAnsi="宋体" w:cs="宋体"/>
          <w:sz w:val="28"/>
          <w:szCs w:val="28"/>
          <w:u w:val="single"/>
        </w:rPr>
        <w:t xml:space="preserve">：                                       </w:t>
      </w:r>
    </w:p>
    <w:p>
      <w:pPr>
        <w:spacing w:line="340" w:lineRule="exact"/>
        <w:rPr>
          <w:rFonts w:ascii="宋体" w:hAnsi="宋体" w:cs="宋体"/>
          <w:sz w:val="28"/>
          <w:szCs w:val="28"/>
        </w:rPr>
      </w:pPr>
      <w:r>
        <w:rPr>
          <w:rFonts w:hint="eastAsia" w:ascii="宋体" w:hAnsi="宋体" w:cs="宋体"/>
          <w:sz w:val="28"/>
          <w:szCs w:val="28"/>
        </w:rPr>
        <w:t>的招标采购活动，本人代表本单位作出以下承诺：</w:t>
      </w:r>
    </w:p>
    <w:p>
      <w:pPr>
        <w:spacing w:line="340" w:lineRule="exact"/>
        <w:ind w:firstLine="560" w:firstLineChars="200"/>
        <w:rPr>
          <w:rFonts w:ascii="宋体" w:hAnsi="宋体" w:cs="宋体"/>
          <w:sz w:val="28"/>
          <w:szCs w:val="28"/>
        </w:rPr>
      </w:pPr>
      <w:r>
        <w:rPr>
          <w:rFonts w:hint="eastAsia" w:ascii="宋体" w:hAnsi="宋体" w:cs="宋体"/>
          <w:sz w:val="28"/>
          <w:szCs w:val="28"/>
        </w:rPr>
        <w:t>（一）本单位对所提交的企（事）业单位基本信息、企（事）业负责人、项目负责人、技术负责人、从业资质和资格、业绩、财务状况、信誉等所有资料，均合法、真实、准确、有效，无任何伪造、修改、虚假成份，并对所提供资料的真实性负责；</w:t>
      </w:r>
    </w:p>
    <w:p>
      <w:pPr>
        <w:spacing w:line="340" w:lineRule="exact"/>
        <w:ind w:firstLine="560" w:firstLineChars="200"/>
        <w:rPr>
          <w:rFonts w:ascii="宋体" w:hAnsi="宋体" w:cs="宋体"/>
          <w:sz w:val="28"/>
          <w:szCs w:val="28"/>
        </w:rPr>
      </w:pPr>
      <w:r>
        <w:rPr>
          <w:rFonts w:hint="eastAsia" w:ascii="宋体" w:hAnsi="宋体" w:cs="宋体"/>
          <w:sz w:val="28"/>
          <w:szCs w:val="28"/>
        </w:rPr>
        <w:t>（二）本单位无涉及政府招标采购活动的违法、违规不良记录，我公司及相关负责人无因存在重大隐患整改不力、发生有重大社会影响生产安全事故或其他严重违法违规行为而被列入失信联合惩戒的不良记录；</w:t>
      </w:r>
    </w:p>
    <w:p>
      <w:pPr>
        <w:spacing w:line="340" w:lineRule="exact"/>
        <w:ind w:firstLine="560" w:firstLineChars="200"/>
        <w:rPr>
          <w:rFonts w:ascii="宋体" w:hAnsi="宋体" w:cs="宋体"/>
          <w:sz w:val="28"/>
          <w:szCs w:val="28"/>
        </w:rPr>
      </w:pPr>
      <w:r>
        <w:rPr>
          <w:rFonts w:hint="eastAsia" w:ascii="宋体" w:hAnsi="宋体" w:cs="宋体"/>
          <w:sz w:val="28"/>
          <w:szCs w:val="28"/>
        </w:rPr>
        <w:t xml:space="preserve">（三）严格依照国家和省、市关于政府招标采购的法律、法规、规章、规范性文件，参加政府招标采购的投标活动；积极履行社会责任，促进廉政建设； </w:t>
      </w:r>
    </w:p>
    <w:p>
      <w:pPr>
        <w:spacing w:line="340" w:lineRule="exact"/>
        <w:rPr>
          <w:rFonts w:ascii="宋体" w:hAnsi="宋体" w:cs="宋体"/>
          <w:sz w:val="28"/>
          <w:szCs w:val="28"/>
        </w:rPr>
      </w:pPr>
      <w:r>
        <w:rPr>
          <w:rFonts w:hint="eastAsia" w:ascii="宋体" w:hAnsi="宋体" w:cs="宋体"/>
          <w:sz w:val="28"/>
          <w:szCs w:val="28"/>
        </w:rPr>
        <w:t>   （四）严格遵守即时信息公示规定，及时维护和更新盐城市政府采购网、公共资源交易平台中与本单位相关的信息；</w:t>
      </w:r>
    </w:p>
    <w:p>
      <w:pPr>
        <w:spacing w:line="340" w:lineRule="exact"/>
        <w:ind w:firstLine="367"/>
        <w:rPr>
          <w:rFonts w:ascii="宋体" w:hAnsi="宋体" w:cs="宋体"/>
          <w:sz w:val="28"/>
          <w:szCs w:val="28"/>
        </w:rPr>
      </w:pPr>
      <w:r>
        <w:rPr>
          <w:rFonts w:hint="eastAsia" w:ascii="宋体" w:hAnsi="宋体" w:cs="宋体"/>
          <w:sz w:val="28"/>
          <w:szCs w:val="28"/>
        </w:rPr>
        <w:t>（五）自我约束、自我管理，守合同、重信用，自觉维护政府招标采购交易的良好秩序，与参与本次政府招标采购活动的其他供应商不存在直接控股或管理关系，不参与围标串标、弄虚作假、骗取中标、干扰评标、违约毁约等行为；</w:t>
      </w:r>
    </w:p>
    <w:p>
      <w:pPr>
        <w:spacing w:line="340" w:lineRule="exact"/>
        <w:ind w:firstLine="367"/>
        <w:rPr>
          <w:rFonts w:ascii="宋体" w:hAnsi="宋体" w:cs="宋体"/>
          <w:sz w:val="28"/>
          <w:szCs w:val="28"/>
        </w:rPr>
      </w:pPr>
      <w:r>
        <w:rPr>
          <w:rFonts w:hint="eastAsia" w:ascii="宋体" w:hAnsi="宋体" w:cs="宋体"/>
          <w:sz w:val="28"/>
          <w:szCs w:val="28"/>
        </w:rPr>
        <w:t>（六）自觉接受政府、行业组织、社会公众、新闻舆论的监督；</w:t>
      </w:r>
    </w:p>
    <w:p>
      <w:pPr>
        <w:spacing w:line="340" w:lineRule="exact"/>
        <w:ind w:firstLine="367"/>
        <w:rPr>
          <w:rFonts w:ascii="宋体" w:hAnsi="宋体" w:cs="宋体"/>
          <w:sz w:val="28"/>
          <w:szCs w:val="28"/>
        </w:rPr>
      </w:pPr>
      <w:r>
        <w:rPr>
          <w:rFonts w:hint="eastAsia" w:ascii="宋体" w:hAnsi="宋体" w:cs="宋体"/>
          <w:sz w:val="28"/>
          <w:szCs w:val="28"/>
        </w:rPr>
        <w:t>（七）本单位自愿接受政府采购监督管理机构和有关行政监督部门的依法检查。如发生违法违规或不良失信行为，自愿接受政府采购监督管理机构和有关行政监督部门依法给予的行政处罚（处理），并依法承担相应责任；</w:t>
      </w:r>
    </w:p>
    <w:p>
      <w:pPr>
        <w:spacing w:line="340" w:lineRule="exact"/>
        <w:ind w:firstLine="367"/>
        <w:rPr>
          <w:rFonts w:ascii="宋体" w:hAnsi="宋体" w:cs="宋体"/>
          <w:sz w:val="28"/>
          <w:szCs w:val="28"/>
        </w:rPr>
      </w:pPr>
      <w:r>
        <w:rPr>
          <w:rFonts w:hint="eastAsia" w:ascii="宋体" w:hAnsi="宋体" w:cs="宋体"/>
          <w:sz w:val="28"/>
          <w:szCs w:val="28"/>
        </w:rPr>
        <w:t>（八）本人已认真阅读了上述承诺，并向本单位员工作了宣传教育。</w:t>
      </w:r>
    </w:p>
    <w:p>
      <w:pPr>
        <w:spacing w:line="340" w:lineRule="exact"/>
        <w:ind w:firstLine="560" w:firstLineChars="200"/>
        <w:rPr>
          <w:rFonts w:ascii="宋体" w:hAnsi="宋体" w:cs="宋体"/>
          <w:sz w:val="28"/>
          <w:szCs w:val="28"/>
        </w:rPr>
      </w:pPr>
    </w:p>
    <w:p>
      <w:pPr>
        <w:spacing w:line="340" w:lineRule="exact"/>
        <w:ind w:firstLine="560" w:firstLineChars="200"/>
        <w:rPr>
          <w:rFonts w:ascii="宋体" w:hAnsi="宋体" w:cs="宋体"/>
          <w:sz w:val="28"/>
          <w:szCs w:val="28"/>
        </w:rPr>
      </w:pPr>
    </w:p>
    <w:p>
      <w:pPr>
        <w:spacing w:line="340" w:lineRule="exact"/>
        <w:ind w:firstLine="560" w:firstLineChars="200"/>
        <w:rPr>
          <w:rFonts w:ascii="宋体" w:hAnsi="宋体" w:cs="宋体"/>
          <w:sz w:val="28"/>
          <w:szCs w:val="28"/>
        </w:rPr>
      </w:pPr>
      <w:r>
        <w:rPr>
          <w:rFonts w:hint="eastAsia" w:ascii="宋体" w:hAnsi="宋体" w:cs="宋体"/>
          <w:sz w:val="28"/>
          <w:szCs w:val="28"/>
        </w:rPr>
        <w:t>法定代表人签名：           单位名称（盖章）：</w:t>
      </w:r>
    </w:p>
    <w:p>
      <w:pPr>
        <w:spacing w:line="340" w:lineRule="exact"/>
        <w:rPr>
          <w:rFonts w:ascii="宋体" w:hAnsi="宋体" w:cs="宋体"/>
          <w:sz w:val="28"/>
          <w:szCs w:val="28"/>
        </w:rPr>
      </w:pPr>
    </w:p>
    <w:p>
      <w:pPr>
        <w:spacing w:line="340" w:lineRule="exact"/>
        <w:ind w:firstLine="5040" w:firstLineChars="1800"/>
        <w:rPr>
          <w:sz w:val="28"/>
          <w:szCs w:val="28"/>
        </w:rPr>
        <w:sectPr>
          <w:pgSz w:w="11906" w:h="16838"/>
          <w:pgMar w:top="1134" w:right="1134" w:bottom="1134" w:left="1620" w:header="851" w:footer="992" w:gutter="0"/>
          <w:cols w:space="425" w:num="1"/>
          <w:docGrid w:type="lines" w:linePitch="312" w:charSpace="0"/>
        </w:sectPr>
      </w:pPr>
      <w:r>
        <w:rPr>
          <w:rFonts w:hint="eastAsia" w:ascii="宋体" w:hAnsi="宋体" w:cs="宋体"/>
          <w:sz w:val="28"/>
          <w:szCs w:val="28"/>
        </w:rPr>
        <w:t>年    月    日</w:t>
      </w:r>
    </w:p>
    <w:p>
      <w:pPr>
        <w:pStyle w:val="30"/>
        <w:spacing w:line="360" w:lineRule="auto"/>
        <w:ind w:firstLine="560" w:firstLineChars="200"/>
        <w:rPr>
          <w:rStyle w:val="18"/>
          <w:rFonts w:hAnsi="宋体"/>
          <w:kern w:val="0"/>
          <w:szCs w:val="21"/>
        </w:rPr>
      </w:pPr>
    </w:p>
    <w:p>
      <w:pPr>
        <w:pStyle w:val="30"/>
        <w:spacing w:line="360" w:lineRule="auto"/>
        <w:ind w:firstLine="420" w:firstLineChars="200"/>
        <w:rPr>
          <w:rStyle w:val="18"/>
          <w:rFonts w:hAnsi="宋体"/>
          <w:sz w:val="21"/>
          <w:szCs w:val="21"/>
        </w:rPr>
      </w:pPr>
    </w:p>
    <w:p>
      <w:pPr>
        <w:pStyle w:val="23"/>
        <w:outlineLvl w:val="0"/>
        <w:rPr>
          <w:rStyle w:val="18"/>
          <w:rFonts w:ascii="宋体" w:hAnsi="宋体" w:eastAsia="宋体" w:cs="宋体"/>
        </w:rPr>
      </w:pPr>
      <w:bookmarkStart w:id="56" w:name="_Toc21319"/>
      <w:bookmarkStart w:id="57" w:name="_Toc23079"/>
      <w:bookmarkStart w:id="58" w:name="_Toc15075"/>
      <w:bookmarkStart w:id="59" w:name="_Toc32633"/>
      <w:r>
        <w:rPr>
          <w:rStyle w:val="18"/>
          <w:rFonts w:hint="eastAsia" w:ascii="宋体" w:hAnsi="宋体" w:eastAsia="宋体" w:cs="宋体"/>
        </w:rPr>
        <w:t>8</w:t>
      </w:r>
      <w:r>
        <w:rPr>
          <w:rStyle w:val="18"/>
          <w:rFonts w:ascii="宋体" w:hAnsi="宋体" w:eastAsia="宋体" w:cs="宋体"/>
        </w:rPr>
        <w:t>.为完成本项目投标人认为所需要的其它资料</w:t>
      </w:r>
      <w:bookmarkEnd w:id="56"/>
      <w:bookmarkEnd w:id="57"/>
      <w:bookmarkEnd w:id="58"/>
      <w:bookmarkEnd w:id="59"/>
    </w:p>
    <w:p>
      <w:pPr>
        <w:pStyle w:val="24"/>
        <w:spacing w:before="0" w:after="0"/>
        <w:ind w:firstLine="118"/>
        <w:jc w:val="center"/>
        <w:rPr>
          <w:rStyle w:val="18"/>
          <w:rFonts w:ascii="宋体" w:hAnsi="宋体" w:eastAsia="宋体"/>
        </w:rPr>
      </w:pPr>
      <w:r>
        <w:rPr>
          <w:rStyle w:val="18"/>
          <w:rFonts w:ascii="宋体" w:hAnsi="宋体" w:eastAsia="宋体"/>
        </w:rPr>
        <w:t xml:space="preserve"> </w:t>
      </w:r>
      <w:r>
        <w:rPr>
          <w:sz w:val="20"/>
        </w:rPr>
        <w:br w:type="page"/>
      </w:r>
    </w:p>
    <w:p>
      <w:pPr>
        <w:pStyle w:val="24"/>
        <w:spacing w:before="0" w:after="0"/>
        <w:ind w:firstLine="118"/>
        <w:jc w:val="center"/>
        <w:outlineLvl w:val="0"/>
        <w:rPr>
          <w:rStyle w:val="18"/>
          <w:rFonts w:ascii="宋体" w:hAnsi="宋体" w:eastAsia="宋体"/>
          <w:szCs w:val="22"/>
        </w:rPr>
      </w:pPr>
      <w:bookmarkStart w:id="60" w:name="_Toc3389"/>
      <w:bookmarkStart w:id="61" w:name="_Toc32469"/>
      <w:bookmarkStart w:id="62" w:name="_Toc28375"/>
      <w:bookmarkStart w:id="63" w:name="_Toc19474"/>
      <w:r>
        <w:rPr>
          <w:rStyle w:val="18"/>
          <w:rFonts w:ascii="宋体" w:hAnsi="宋体" w:eastAsia="宋体"/>
          <w:szCs w:val="22"/>
        </w:rPr>
        <w:t>评分要点索引表</w:t>
      </w:r>
      <w:bookmarkEnd w:id="60"/>
      <w:bookmarkEnd w:id="61"/>
      <w:bookmarkEnd w:id="62"/>
      <w:bookmarkEnd w:id="63"/>
    </w:p>
    <w:tbl>
      <w:tblPr>
        <w:tblStyle w:val="12"/>
        <w:tblW w:w="8947" w:type="dxa"/>
        <w:tblInd w:w="-108"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0" w:type="dxa"/>
          <w:bottom w:w="0" w:type="dxa"/>
          <w:right w:w="0" w:type="dxa"/>
        </w:tblCellMar>
      </w:tblPr>
      <w:tblGrid>
        <w:gridCol w:w="979"/>
        <w:gridCol w:w="2496"/>
        <w:gridCol w:w="796"/>
        <w:gridCol w:w="878"/>
        <w:gridCol w:w="1554"/>
        <w:gridCol w:w="2244"/>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c>
          <w:tcPr>
            <w:tcW w:w="979" w:type="dxa"/>
            <w:tcBorders>
              <w:top w:val="single" w:color="000000" w:sz="4" w:space="0"/>
              <w:left w:val="single" w:color="000000" w:sz="4" w:space="0"/>
              <w:bottom w:val="single" w:color="000000" w:sz="6" w:space="0"/>
              <w:right w:val="single" w:color="000000" w:sz="6" w:space="0"/>
            </w:tcBorders>
            <w:vAlign w:val="center"/>
          </w:tcPr>
          <w:p>
            <w:pPr>
              <w:spacing w:line="360" w:lineRule="auto"/>
              <w:jc w:val="center"/>
              <w:rPr>
                <w:rStyle w:val="18"/>
                <w:rFonts w:ascii="宋体" w:hAnsi="宋体"/>
                <w:szCs w:val="21"/>
              </w:rPr>
            </w:pPr>
            <w:r>
              <w:rPr>
                <w:rStyle w:val="18"/>
                <w:rFonts w:ascii="宋体" w:hAnsi="宋体"/>
                <w:szCs w:val="21"/>
              </w:rPr>
              <w:t>序号</w:t>
            </w:r>
          </w:p>
        </w:tc>
        <w:tc>
          <w:tcPr>
            <w:tcW w:w="2496" w:type="dxa"/>
            <w:tcBorders>
              <w:top w:val="single" w:color="000000" w:sz="4" w:space="0"/>
              <w:left w:val="single" w:color="000000" w:sz="6" w:space="0"/>
              <w:bottom w:val="single" w:color="000000" w:sz="6" w:space="0"/>
              <w:right w:val="single" w:color="000000" w:sz="6" w:space="0"/>
            </w:tcBorders>
            <w:vAlign w:val="center"/>
          </w:tcPr>
          <w:p>
            <w:pPr>
              <w:spacing w:line="360" w:lineRule="auto"/>
              <w:jc w:val="center"/>
              <w:rPr>
                <w:rStyle w:val="18"/>
                <w:rFonts w:ascii="宋体" w:hAnsi="宋体"/>
                <w:szCs w:val="21"/>
              </w:rPr>
            </w:pPr>
            <w:r>
              <w:rPr>
                <w:rStyle w:val="18"/>
                <w:rFonts w:ascii="宋体" w:hAnsi="宋体"/>
                <w:szCs w:val="21"/>
              </w:rPr>
              <w:t>评分指标</w:t>
            </w:r>
          </w:p>
        </w:tc>
        <w:tc>
          <w:tcPr>
            <w:tcW w:w="796" w:type="dxa"/>
            <w:tcBorders>
              <w:top w:val="single" w:color="000000" w:sz="4" w:space="0"/>
              <w:left w:val="single" w:color="000000" w:sz="6" w:space="0"/>
              <w:bottom w:val="single" w:color="000000" w:sz="6" w:space="0"/>
              <w:right w:val="single" w:color="000000" w:sz="6" w:space="0"/>
            </w:tcBorders>
            <w:vAlign w:val="center"/>
          </w:tcPr>
          <w:p>
            <w:pPr>
              <w:spacing w:line="360" w:lineRule="auto"/>
              <w:jc w:val="center"/>
              <w:rPr>
                <w:rStyle w:val="18"/>
                <w:rFonts w:ascii="宋体" w:hAnsi="宋体"/>
                <w:szCs w:val="21"/>
              </w:rPr>
            </w:pPr>
            <w:r>
              <w:rPr>
                <w:rStyle w:val="18"/>
                <w:rFonts w:ascii="宋体" w:hAnsi="宋体"/>
                <w:szCs w:val="21"/>
              </w:rPr>
              <w:t>分值限额</w:t>
            </w:r>
          </w:p>
        </w:tc>
        <w:tc>
          <w:tcPr>
            <w:tcW w:w="878" w:type="dxa"/>
            <w:tcBorders>
              <w:top w:val="single" w:color="000000" w:sz="4" w:space="0"/>
              <w:left w:val="single" w:color="000000" w:sz="6" w:space="0"/>
              <w:bottom w:val="single" w:color="000000" w:sz="6" w:space="0"/>
              <w:right w:val="single" w:color="000000" w:sz="6" w:space="0"/>
            </w:tcBorders>
            <w:vAlign w:val="center"/>
          </w:tcPr>
          <w:p>
            <w:pPr>
              <w:spacing w:line="360" w:lineRule="auto"/>
              <w:jc w:val="center"/>
              <w:rPr>
                <w:rStyle w:val="18"/>
                <w:rFonts w:ascii="宋体" w:hAnsi="宋体"/>
                <w:szCs w:val="21"/>
              </w:rPr>
            </w:pPr>
            <w:r>
              <w:rPr>
                <w:rStyle w:val="18"/>
                <w:rFonts w:ascii="宋体" w:hAnsi="宋体"/>
                <w:szCs w:val="21"/>
              </w:rPr>
              <w:t>自评得分</w:t>
            </w:r>
          </w:p>
        </w:tc>
        <w:tc>
          <w:tcPr>
            <w:tcW w:w="1554" w:type="dxa"/>
            <w:tcBorders>
              <w:top w:val="single" w:color="000000" w:sz="4" w:space="0"/>
              <w:left w:val="single" w:color="000000" w:sz="6" w:space="0"/>
              <w:bottom w:val="single" w:color="000000" w:sz="6" w:space="0"/>
              <w:right w:val="single" w:color="000000" w:sz="6" w:space="0"/>
            </w:tcBorders>
            <w:vAlign w:val="center"/>
          </w:tcPr>
          <w:p>
            <w:pPr>
              <w:spacing w:line="360" w:lineRule="auto"/>
              <w:jc w:val="center"/>
              <w:rPr>
                <w:rStyle w:val="18"/>
                <w:rFonts w:ascii="宋体" w:hAnsi="宋体"/>
                <w:szCs w:val="21"/>
              </w:rPr>
            </w:pPr>
            <w:r>
              <w:rPr>
                <w:rStyle w:val="18"/>
                <w:rFonts w:ascii="宋体" w:hAnsi="宋体"/>
                <w:szCs w:val="21"/>
              </w:rPr>
              <w:t>对应投标文件页码范围</w:t>
            </w:r>
          </w:p>
        </w:tc>
        <w:tc>
          <w:tcPr>
            <w:tcW w:w="2244" w:type="dxa"/>
            <w:tcBorders>
              <w:top w:val="single" w:color="000000" w:sz="4" w:space="0"/>
              <w:left w:val="single" w:color="000000" w:sz="6" w:space="0"/>
              <w:bottom w:val="single" w:color="000000" w:sz="6" w:space="0"/>
              <w:right w:val="single" w:color="000000" w:sz="4" w:space="0"/>
            </w:tcBorders>
            <w:vAlign w:val="center"/>
          </w:tcPr>
          <w:p>
            <w:pPr>
              <w:spacing w:line="360" w:lineRule="auto"/>
              <w:jc w:val="center"/>
              <w:rPr>
                <w:rStyle w:val="18"/>
                <w:rFonts w:ascii="宋体" w:hAnsi="宋体"/>
                <w:szCs w:val="21"/>
              </w:rPr>
            </w:pPr>
            <w:r>
              <w:rPr>
                <w:rStyle w:val="18"/>
                <w:rFonts w:ascii="宋体" w:hAnsi="宋体"/>
                <w:szCs w:val="21"/>
              </w:rPr>
              <w:t>备注</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c>
          <w:tcPr>
            <w:tcW w:w="979" w:type="dxa"/>
            <w:tcBorders>
              <w:top w:val="single" w:color="000000" w:sz="6" w:space="0"/>
              <w:left w:val="single" w:color="000000" w:sz="4" w:space="0"/>
              <w:bottom w:val="single" w:color="000000" w:sz="6" w:space="0"/>
              <w:right w:val="single" w:color="000000" w:sz="6" w:space="0"/>
            </w:tcBorders>
            <w:vAlign w:val="center"/>
          </w:tcPr>
          <w:p>
            <w:pPr>
              <w:spacing w:line="360" w:lineRule="auto"/>
              <w:jc w:val="center"/>
              <w:rPr>
                <w:rStyle w:val="18"/>
                <w:rFonts w:ascii="宋体" w:hAnsi="宋体"/>
                <w:szCs w:val="21"/>
              </w:rPr>
            </w:pPr>
            <w:r>
              <w:rPr>
                <w:rStyle w:val="18"/>
                <w:rFonts w:ascii="宋体" w:hAnsi="宋体"/>
                <w:szCs w:val="21"/>
              </w:rPr>
              <w:t>1</w:t>
            </w:r>
          </w:p>
        </w:tc>
        <w:tc>
          <w:tcPr>
            <w:tcW w:w="249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8"/>
                <w:rFonts w:ascii="宋体" w:hAnsi="宋体"/>
                <w:szCs w:val="21"/>
              </w:rPr>
            </w:pPr>
          </w:p>
        </w:tc>
        <w:tc>
          <w:tcPr>
            <w:tcW w:w="79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8"/>
                <w:rFonts w:ascii="宋体" w:hAnsi="宋体"/>
                <w:szCs w:val="21"/>
              </w:rPr>
            </w:pPr>
          </w:p>
        </w:tc>
        <w:tc>
          <w:tcPr>
            <w:tcW w:w="878"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8"/>
                <w:rFonts w:ascii="宋体" w:hAnsi="宋体"/>
                <w:szCs w:val="21"/>
              </w:rPr>
            </w:pPr>
          </w:p>
        </w:tc>
        <w:tc>
          <w:tcPr>
            <w:tcW w:w="1554"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8"/>
                <w:rFonts w:ascii="宋体" w:hAnsi="宋体"/>
                <w:szCs w:val="21"/>
              </w:rPr>
            </w:pPr>
          </w:p>
        </w:tc>
        <w:tc>
          <w:tcPr>
            <w:tcW w:w="2244" w:type="dxa"/>
            <w:tcBorders>
              <w:top w:val="single" w:color="000000" w:sz="6" w:space="0"/>
              <w:left w:val="single" w:color="000000" w:sz="6" w:space="0"/>
              <w:bottom w:val="single" w:color="000000" w:sz="6" w:space="0"/>
              <w:right w:val="single" w:color="000000" w:sz="4" w:space="0"/>
            </w:tcBorders>
            <w:vAlign w:val="center"/>
          </w:tcPr>
          <w:p>
            <w:pPr>
              <w:spacing w:line="360" w:lineRule="auto"/>
              <w:jc w:val="center"/>
              <w:rPr>
                <w:rStyle w:val="18"/>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c>
          <w:tcPr>
            <w:tcW w:w="979" w:type="dxa"/>
            <w:tcBorders>
              <w:top w:val="single" w:color="000000" w:sz="6" w:space="0"/>
              <w:left w:val="single" w:color="000000" w:sz="4" w:space="0"/>
              <w:bottom w:val="single" w:color="000000" w:sz="6" w:space="0"/>
              <w:right w:val="single" w:color="000000" w:sz="6" w:space="0"/>
            </w:tcBorders>
            <w:vAlign w:val="center"/>
          </w:tcPr>
          <w:p>
            <w:pPr>
              <w:spacing w:line="360" w:lineRule="auto"/>
              <w:jc w:val="center"/>
              <w:rPr>
                <w:rStyle w:val="18"/>
                <w:rFonts w:ascii="宋体" w:hAnsi="宋体"/>
                <w:szCs w:val="21"/>
              </w:rPr>
            </w:pPr>
            <w:r>
              <w:rPr>
                <w:rStyle w:val="18"/>
                <w:rFonts w:ascii="宋体" w:hAnsi="宋体"/>
                <w:szCs w:val="21"/>
              </w:rPr>
              <w:t>2</w:t>
            </w:r>
          </w:p>
        </w:tc>
        <w:tc>
          <w:tcPr>
            <w:tcW w:w="249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8"/>
                <w:rFonts w:ascii="宋体" w:hAnsi="宋体"/>
                <w:szCs w:val="21"/>
              </w:rPr>
            </w:pPr>
          </w:p>
        </w:tc>
        <w:tc>
          <w:tcPr>
            <w:tcW w:w="79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8"/>
                <w:rFonts w:ascii="宋体" w:hAnsi="宋体"/>
                <w:szCs w:val="21"/>
              </w:rPr>
            </w:pPr>
          </w:p>
        </w:tc>
        <w:tc>
          <w:tcPr>
            <w:tcW w:w="878"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8"/>
                <w:rFonts w:ascii="宋体" w:hAnsi="宋体"/>
                <w:szCs w:val="21"/>
              </w:rPr>
            </w:pPr>
          </w:p>
        </w:tc>
        <w:tc>
          <w:tcPr>
            <w:tcW w:w="1554"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8"/>
                <w:rFonts w:ascii="宋体" w:hAnsi="宋体"/>
                <w:szCs w:val="21"/>
              </w:rPr>
            </w:pPr>
          </w:p>
        </w:tc>
        <w:tc>
          <w:tcPr>
            <w:tcW w:w="2244" w:type="dxa"/>
            <w:tcBorders>
              <w:top w:val="single" w:color="000000" w:sz="6" w:space="0"/>
              <w:left w:val="single" w:color="000000" w:sz="6" w:space="0"/>
              <w:bottom w:val="single" w:color="000000" w:sz="6" w:space="0"/>
              <w:right w:val="single" w:color="000000" w:sz="4" w:space="0"/>
            </w:tcBorders>
            <w:vAlign w:val="center"/>
          </w:tcPr>
          <w:p>
            <w:pPr>
              <w:spacing w:line="360" w:lineRule="auto"/>
              <w:jc w:val="center"/>
              <w:rPr>
                <w:rStyle w:val="18"/>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c>
          <w:tcPr>
            <w:tcW w:w="979" w:type="dxa"/>
            <w:tcBorders>
              <w:top w:val="single" w:color="000000" w:sz="6" w:space="0"/>
              <w:left w:val="single" w:color="000000" w:sz="4" w:space="0"/>
              <w:bottom w:val="single" w:color="000000" w:sz="6" w:space="0"/>
              <w:right w:val="single" w:color="000000" w:sz="6" w:space="0"/>
            </w:tcBorders>
            <w:vAlign w:val="center"/>
          </w:tcPr>
          <w:p>
            <w:pPr>
              <w:spacing w:line="360" w:lineRule="auto"/>
              <w:jc w:val="center"/>
              <w:rPr>
                <w:rStyle w:val="18"/>
                <w:rFonts w:ascii="宋体" w:hAnsi="宋体"/>
                <w:szCs w:val="21"/>
              </w:rPr>
            </w:pPr>
            <w:r>
              <w:rPr>
                <w:rStyle w:val="18"/>
                <w:rFonts w:ascii="宋体" w:hAnsi="宋体"/>
                <w:szCs w:val="21"/>
              </w:rPr>
              <w:t>3</w:t>
            </w:r>
          </w:p>
        </w:tc>
        <w:tc>
          <w:tcPr>
            <w:tcW w:w="249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8"/>
                <w:rFonts w:ascii="宋体" w:hAnsi="宋体"/>
                <w:szCs w:val="21"/>
              </w:rPr>
            </w:pPr>
          </w:p>
        </w:tc>
        <w:tc>
          <w:tcPr>
            <w:tcW w:w="79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8"/>
                <w:rFonts w:ascii="宋体" w:hAnsi="宋体"/>
                <w:szCs w:val="21"/>
              </w:rPr>
            </w:pPr>
          </w:p>
        </w:tc>
        <w:tc>
          <w:tcPr>
            <w:tcW w:w="878"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8"/>
                <w:rFonts w:ascii="宋体" w:hAnsi="宋体"/>
                <w:szCs w:val="21"/>
              </w:rPr>
            </w:pPr>
          </w:p>
        </w:tc>
        <w:tc>
          <w:tcPr>
            <w:tcW w:w="1554"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8"/>
                <w:rFonts w:ascii="宋体" w:hAnsi="宋体"/>
                <w:szCs w:val="21"/>
              </w:rPr>
            </w:pPr>
          </w:p>
        </w:tc>
        <w:tc>
          <w:tcPr>
            <w:tcW w:w="2244" w:type="dxa"/>
            <w:tcBorders>
              <w:top w:val="single" w:color="000000" w:sz="6" w:space="0"/>
              <w:left w:val="single" w:color="000000" w:sz="6" w:space="0"/>
              <w:bottom w:val="single" w:color="000000" w:sz="6" w:space="0"/>
              <w:right w:val="single" w:color="000000" w:sz="4" w:space="0"/>
            </w:tcBorders>
            <w:vAlign w:val="center"/>
          </w:tcPr>
          <w:p>
            <w:pPr>
              <w:spacing w:line="360" w:lineRule="auto"/>
              <w:jc w:val="center"/>
              <w:rPr>
                <w:rStyle w:val="18"/>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c>
          <w:tcPr>
            <w:tcW w:w="979" w:type="dxa"/>
            <w:tcBorders>
              <w:top w:val="single" w:color="000000" w:sz="6" w:space="0"/>
              <w:left w:val="single" w:color="000000" w:sz="4" w:space="0"/>
              <w:bottom w:val="single" w:color="000000" w:sz="6" w:space="0"/>
              <w:right w:val="single" w:color="000000" w:sz="6" w:space="0"/>
            </w:tcBorders>
            <w:vAlign w:val="center"/>
          </w:tcPr>
          <w:p>
            <w:pPr>
              <w:spacing w:line="360" w:lineRule="auto"/>
              <w:jc w:val="center"/>
              <w:rPr>
                <w:rStyle w:val="18"/>
                <w:rFonts w:ascii="宋体" w:hAnsi="宋体"/>
                <w:szCs w:val="21"/>
              </w:rPr>
            </w:pPr>
          </w:p>
        </w:tc>
        <w:tc>
          <w:tcPr>
            <w:tcW w:w="249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8"/>
                <w:rFonts w:ascii="宋体" w:hAnsi="宋体"/>
                <w:szCs w:val="21"/>
              </w:rPr>
            </w:pPr>
          </w:p>
        </w:tc>
        <w:tc>
          <w:tcPr>
            <w:tcW w:w="79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8"/>
                <w:rFonts w:ascii="宋体" w:hAnsi="宋体"/>
                <w:szCs w:val="21"/>
              </w:rPr>
            </w:pPr>
          </w:p>
        </w:tc>
        <w:tc>
          <w:tcPr>
            <w:tcW w:w="878"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8"/>
                <w:rFonts w:ascii="宋体" w:hAnsi="宋体"/>
                <w:szCs w:val="21"/>
              </w:rPr>
            </w:pPr>
          </w:p>
        </w:tc>
        <w:tc>
          <w:tcPr>
            <w:tcW w:w="1554"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8"/>
                <w:rFonts w:ascii="宋体" w:hAnsi="宋体"/>
                <w:szCs w:val="21"/>
              </w:rPr>
            </w:pPr>
          </w:p>
        </w:tc>
        <w:tc>
          <w:tcPr>
            <w:tcW w:w="2244" w:type="dxa"/>
            <w:tcBorders>
              <w:top w:val="single" w:color="000000" w:sz="6" w:space="0"/>
              <w:left w:val="single" w:color="000000" w:sz="6" w:space="0"/>
              <w:bottom w:val="single" w:color="000000" w:sz="6" w:space="0"/>
              <w:right w:val="single" w:color="000000" w:sz="4" w:space="0"/>
            </w:tcBorders>
            <w:vAlign w:val="center"/>
          </w:tcPr>
          <w:p>
            <w:pPr>
              <w:spacing w:line="360" w:lineRule="auto"/>
              <w:jc w:val="center"/>
              <w:rPr>
                <w:rStyle w:val="18"/>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c>
          <w:tcPr>
            <w:tcW w:w="979" w:type="dxa"/>
            <w:tcBorders>
              <w:top w:val="single" w:color="000000" w:sz="6" w:space="0"/>
              <w:left w:val="single" w:color="000000" w:sz="4" w:space="0"/>
              <w:bottom w:val="single" w:color="000000" w:sz="6" w:space="0"/>
              <w:right w:val="single" w:color="000000" w:sz="6" w:space="0"/>
            </w:tcBorders>
            <w:vAlign w:val="center"/>
          </w:tcPr>
          <w:p>
            <w:pPr>
              <w:spacing w:line="360" w:lineRule="auto"/>
              <w:jc w:val="center"/>
              <w:rPr>
                <w:rStyle w:val="18"/>
                <w:rFonts w:ascii="宋体" w:hAnsi="宋体"/>
                <w:szCs w:val="21"/>
              </w:rPr>
            </w:pPr>
          </w:p>
        </w:tc>
        <w:tc>
          <w:tcPr>
            <w:tcW w:w="249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8"/>
                <w:rFonts w:ascii="宋体" w:hAnsi="宋体"/>
                <w:szCs w:val="21"/>
              </w:rPr>
            </w:pPr>
          </w:p>
        </w:tc>
        <w:tc>
          <w:tcPr>
            <w:tcW w:w="79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8"/>
                <w:rFonts w:ascii="宋体" w:hAnsi="宋体"/>
                <w:szCs w:val="21"/>
              </w:rPr>
            </w:pPr>
          </w:p>
        </w:tc>
        <w:tc>
          <w:tcPr>
            <w:tcW w:w="878"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8"/>
                <w:rFonts w:ascii="宋体" w:hAnsi="宋体"/>
                <w:szCs w:val="21"/>
              </w:rPr>
            </w:pPr>
          </w:p>
        </w:tc>
        <w:tc>
          <w:tcPr>
            <w:tcW w:w="1554"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8"/>
                <w:rFonts w:ascii="宋体" w:hAnsi="宋体"/>
                <w:szCs w:val="21"/>
              </w:rPr>
            </w:pPr>
          </w:p>
        </w:tc>
        <w:tc>
          <w:tcPr>
            <w:tcW w:w="2244" w:type="dxa"/>
            <w:tcBorders>
              <w:top w:val="single" w:color="000000" w:sz="6" w:space="0"/>
              <w:left w:val="single" w:color="000000" w:sz="6" w:space="0"/>
              <w:bottom w:val="single" w:color="000000" w:sz="6" w:space="0"/>
              <w:right w:val="single" w:color="000000" w:sz="4" w:space="0"/>
            </w:tcBorders>
            <w:vAlign w:val="center"/>
          </w:tcPr>
          <w:p>
            <w:pPr>
              <w:spacing w:line="360" w:lineRule="auto"/>
              <w:jc w:val="center"/>
              <w:rPr>
                <w:rStyle w:val="18"/>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c>
          <w:tcPr>
            <w:tcW w:w="979" w:type="dxa"/>
            <w:tcBorders>
              <w:top w:val="single" w:color="000000" w:sz="6" w:space="0"/>
              <w:left w:val="single" w:color="000000" w:sz="4" w:space="0"/>
              <w:bottom w:val="single" w:color="000000" w:sz="6" w:space="0"/>
              <w:right w:val="single" w:color="000000" w:sz="6" w:space="0"/>
            </w:tcBorders>
            <w:vAlign w:val="center"/>
          </w:tcPr>
          <w:p>
            <w:pPr>
              <w:spacing w:line="360" w:lineRule="auto"/>
              <w:jc w:val="center"/>
              <w:rPr>
                <w:rStyle w:val="18"/>
                <w:rFonts w:ascii="宋体" w:hAnsi="宋体"/>
                <w:szCs w:val="21"/>
              </w:rPr>
            </w:pPr>
          </w:p>
        </w:tc>
        <w:tc>
          <w:tcPr>
            <w:tcW w:w="249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8"/>
                <w:rFonts w:ascii="宋体" w:hAnsi="宋体"/>
                <w:szCs w:val="21"/>
              </w:rPr>
            </w:pPr>
          </w:p>
        </w:tc>
        <w:tc>
          <w:tcPr>
            <w:tcW w:w="79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8"/>
                <w:rFonts w:ascii="宋体" w:hAnsi="宋体"/>
                <w:szCs w:val="21"/>
              </w:rPr>
            </w:pPr>
          </w:p>
        </w:tc>
        <w:tc>
          <w:tcPr>
            <w:tcW w:w="878"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8"/>
                <w:rFonts w:ascii="宋体" w:hAnsi="宋体"/>
                <w:szCs w:val="21"/>
              </w:rPr>
            </w:pPr>
          </w:p>
        </w:tc>
        <w:tc>
          <w:tcPr>
            <w:tcW w:w="1554"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8"/>
                <w:rFonts w:ascii="宋体" w:hAnsi="宋体"/>
                <w:szCs w:val="21"/>
              </w:rPr>
            </w:pPr>
          </w:p>
        </w:tc>
        <w:tc>
          <w:tcPr>
            <w:tcW w:w="2244" w:type="dxa"/>
            <w:tcBorders>
              <w:top w:val="single" w:color="000000" w:sz="6" w:space="0"/>
              <w:left w:val="single" w:color="000000" w:sz="6" w:space="0"/>
              <w:bottom w:val="single" w:color="000000" w:sz="6" w:space="0"/>
              <w:right w:val="single" w:color="000000" w:sz="4" w:space="0"/>
            </w:tcBorders>
            <w:vAlign w:val="center"/>
          </w:tcPr>
          <w:p>
            <w:pPr>
              <w:spacing w:line="360" w:lineRule="auto"/>
              <w:jc w:val="center"/>
              <w:rPr>
                <w:rStyle w:val="18"/>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c>
          <w:tcPr>
            <w:tcW w:w="979" w:type="dxa"/>
            <w:tcBorders>
              <w:top w:val="single" w:color="000000" w:sz="6" w:space="0"/>
              <w:left w:val="single" w:color="000000" w:sz="4" w:space="0"/>
              <w:bottom w:val="single" w:color="000000" w:sz="6" w:space="0"/>
              <w:right w:val="single" w:color="000000" w:sz="6" w:space="0"/>
            </w:tcBorders>
            <w:vAlign w:val="center"/>
          </w:tcPr>
          <w:p>
            <w:pPr>
              <w:spacing w:line="360" w:lineRule="auto"/>
              <w:jc w:val="center"/>
              <w:rPr>
                <w:rStyle w:val="18"/>
                <w:rFonts w:ascii="宋体" w:hAnsi="宋体"/>
                <w:szCs w:val="21"/>
              </w:rPr>
            </w:pPr>
          </w:p>
        </w:tc>
        <w:tc>
          <w:tcPr>
            <w:tcW w:w="249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8"/>
                <w:rFonts w:ascii="宋体" w:hAnsi="宋体"/>
                <w:szCs w:val="21"/>
              </w:rPr>
            </w:pPr>
          </w:p>
        </w:tc>
        <w:tc>
          <w:tcPr>
            <w:tcW w:w="79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8"/>
                <w:rFonts w:ascii="宋体" w:hAnsi="宋体"/>
                <w:szCs w:val="21"/>
              </w:rPr>
            </w:pPr>
          </w:p>
        </w:tc>
        <w:tc>
          <w:tcPr>
            <w:tcW w:w="878"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8"/>
                <w:rFonts w:ascii="宋体" w:hAnsi="宋体"/>
                <w:szCs w:val="21"/>
              </w:rPr>
            </w:pPr>
          </w:p>
        </w:tc>
        <w:tc>
          <w:tcPr>
            <w:tcW w:w="1554"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8"/>
                <w:rFonts w:ascii="宋体" w:hAnsi="宋体"/>
                <w:szCs w:val="21"/>
              </w:rPr>
            </w:pPr>
          </w:p>
        </w:tc>
        <w:tc>
          <w:tcPr>
            <w:tcW w:w="2244" w:type="dxa"/>
            <w:tcBorders>
              <w:top w:val="single" w:color="000000" w:sz="6" w:space="0"/>
              <w:left w:val="single" w:color="000000" w:sz="6" w:space="0"/>
              <w:bottom w:val="single" w:color="000000" w:sz="6" w:space="0"/>
              <w:right w:val="single" w:color="000000" w:sz="4" w:space="0"/>
            </w:tcBorders>
            <w:vAlign w:val="center"/>
          </w:tcPr>
          <w:p>
            <w:pPr>
              <w:spacing w:line="360" w:lineRule="auto"/>
              <w:jc w:val="center"/>
              <w:rPr>
                <w:rStyle w:val="18"/>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c>
          <w:tcPr>
            <w:tcW w:w="979" w:type="dxa"/>
            <w:tcBorders>
              <w:top w:val="single" w:color="000000" w:sz="6" w:space="0"/>
              <w:left w:val="single" w:color="000000" w:sz="4" w:space="0"/>
              <w:bottom w:val="single" w:color="000000" w:sz="4" w:space="0"/>
              <w:right w:val="single" w:color="000000" w:sz="6" w:space="0"/>
            </w:tcBorders>
            <w:vAlign w:val="center"/>
          </w:tcPr>
          <w:p>
            <w:pPr>
              <w:spacing w:line="360" w:lineRule="auto"/>
              <w:jc w:val="center"/>
              <w:rPr>
                <w:rStyle w:val="18"/>
                <w:rFonts w:ascii="宋体" w:hAnsi="宋体"/>
                <w:szCs w:val="21"/>
              </w:rPr>
            </w:pPr>
            <w:r>
              <w:rPr>
                <w:rStyle w:val="18"/>
                <w:rFonts w:ascii="宋体" w:hAnsi="宋体"/>
                <w:szCs w:val="21"/>
              </w:rPr>
              <w:t>…</w:t>
            </w:r>
          </w:p>
        </w:tc>
        <w:tc>
          <w:tcPr>
            <w:tcW w:w="2496" w:type="dxa"/>
            <w:tcBorders>
              <w:top w:val="single" w:color="000000" w:sz="6" w:space="0"/>
              <w:left w:val="single" w:color="000000" w:sz="6" w:space="0"/>
              <w:bottom w:val="single" w:color="000000" w:sz="4" w:space="0"/>
              <w:right w:val="single" w:color="000000" w:sz="6" w:space="0"/>
            </w:tcBorders>
            <w:vAlign w:val="center"/>
          </w:tcPr>
          <w:p>
            <w:pPr>
              <w:spacing w:line="360" w:lineRule="auto"/>
              <w:jc w:val="center"/>
              <w:rPr>
                <w:rStyle w:val="18"/>
                <w:rFonts w:ascii="宋体" w:hAnsi="宋体"/>
                <w:szCs w:val="21"/>
              </w:rPr>
            </w:pPr>
          </w:p>
        </w:tc>
        <w:tc>
          <w:tcPr>
            <w:tcW w:w="796" w:type="dxa"/>
            <w:tcBorders>
              <w:top w:val="single" w:color="000000" w:sz="6" w:space="0"/>
              <w:left w:val="single" w:color="000000" w:sz="6" w:space="0"/>
              <w:bottom w:val="single" w:color="000000" w:sz="4" w:space="0"/>
              <w:right w:val="single" w:color="000000" w:sz="6" w:space="0"/>
            </w:tcBorders>
            <w:vAlign w:val="center"/>
          </w:tcPr>
          <w:p>
            <w:pPr>
              <w:spacing w:line="360" w:lineRule="auto"/>
              <w:jc w:val="center"/>
              <w:rPr>
                <w:rStyle w:val="18"/>
                <w:rFonts w:ascii="宋体" w:hAnsi="宋体"/>
                <w:szCs w:val="21"/>
              </w:rPr>
            </w:pPr>
          </w:p>
        </w:tc>
        <w:tc>
          <w:tcPr>
            <w:tcW w:w="878" w:type="dxa"/>
            <w:tcBorders>
              <w:top w:val="single" w:color="000000" w:sz="6" w:space="0"/>
              <w:left w:val="single" w:color="000000" w:sz="6" w:space="0"/>
              <w:bottom w:val="single" w:color="000000" w:sz="4" w:space="0"/>
              <w:right w:val="single" w:color="000000" w:sz="6" w:space="0"/>
            </w:tcBorders>
            <w:vAlign w:val="center"/>
          </w:tcPr>
          <w:p>
            <w:pPr>
              <w:spacing w:line="360" w:lineRule="auto"/>
              <w:jc w:val="center"/>
              <w:rPr>
                <w:rStyle w:val="18"/>
                <w:rFonts w:ascii="宋体" w:hAnsi="宋体"/>
                <w:szCs w:val="21"/>
              </w:rPr>
            </w:pPr>
          </w:p>
        </w:tc>
        <w:tc>
          <w:tcPr>
            <w:tcW w:w="1554" w:type="dxa"/>
            <w:tcBorders>
              <w:top w:val="single" w:color="000000" w:sz="6" w:space="0"/>
              <w:left w:val="single" w:color="000000" w:sz="6" w:space="0"/>
              <w:bottom w:val="single" w:color="000000" w:sz="4" w:space="0"/>
              <w:right w:val="single" w:color="000000" w:sz="6" w:space="0"/>
            </w:tcBorders>
            <w:vAlign w:val="center"/>
          </w:tcPr>
          <w:p>
            <w:pPr>
              <w:spacing w:line="360" w:lineRule="auto"/>
              <w:jc w:val="center"/>
              <w:rPr>
                <w:rStyle w:val="18"/>
                <w:rFonts w:ascii="宋体" w:hAnsi="宋体"/>
                <w:szCs w:val="21"/>
              </w:rPr>
            </w:pPr>
          </w:p>
        </w:tc>
        <w:tc>
          <w:tcPr>
            <w:tcW w:w="2244" w:type="dxa"/>
            <w:tcBorders>
              <w:top w:val="single" w:color="000000" w:sz="6" w:space="0"/>
              <w:left w:val="single" w:color="000000" w:sz="6" w:space="0"/>
              <w:bottom w:val="single" w:color="000000" w:sz="4" w:space="0"/>
              <w:right w:val="single" w:color="000000" w:sz="4" w:space="0"/>
            </w:tcBorders>
            <w:vAlign w:val="center"/>
          </w:tcPr>
          <w:p>
            <w:pPr>
              <w:spacing w:line="360" w:lineRule="auto"/>
              <w:jc w:val="center"/>
              <w:rPr>
                <w:rStyle w:val="18"/>
                <w:rFonts w:ascii="宋体" w:hAnsi="宋体"/>
                <w:szCs w:val="21"/>
              </w:rPr>
            </w:pPr>
          </w:p>
        </w:tc>
      </w:tr>
    </w:tbl>
    <w:p>
      <w:pPr>
        <w:spacing w:line="360" w:lineRule="auto"/>
        <w:ind w:firstLine="1995" w:firstLineChars="950"/>
        <w:jc w:val="left"/>
        <w:rPr>
          <w:rStyle w:val="18"/>
          <w:rFonts w:ascii="宋体" w:hAnsi="宋体"/>
          <w:kern w:val="0"/>
          <w:szCs w:val="21"/>
        </w:rPr>
      </w:pPr>
    </w:p>
    <w:p>
      <w:pPr>
        <w:spacing w:line="360" w:lineRule="auto"/>
        <w:ind w:firstLine="1995" w:firstLineChars="950"/>
        <w:jc w:val="left"/>
        <w:rPr>
          <w:rStyle w:val="18"/>
          <w:rFonts w:ascii="宋体" w:hAnsi="宋体"/>
          <w:kern w:val="0"/>
          <w:szCs w:val="21"/>
        </w:rPr>
      </w:pPr>
    </w:p>
    <w:p>
      <w:pPr>
        <w:spacing w:line="360" w:lineRule="auto"/>
        <w:ind w:firstLine="1995" w:firstLineChars="950"/>
        <w:jc w:val="left"/>
        <w:rPr>
          <w:rStyle w:val="18"/>
          <w:rFonts w:ascii="宋体" w:hAnsi="宋体"/>
          <w:kern w:val="0"/>
          <w:szCs w:val="21"/>
        </w:rPr>
      </w:pPr>
      <w:r>
        <w:rPr>
          <w:rStyle w:val="18"/>
          <w:rFonts w:ascii="宋体" w:hAnsi="宋体"/>
          <w:kern w:val="0"/>
          <w:szCs w:val="21"/>
        </w:rPr>
        <w:t>投标人：</w:t>
      </w:r>
      <w:r>
        <w:rPr>
          <w:rStyle w:val="18"/>
          <w:rFonts w:ascii="宋体" w:hAnsi="宋体"/>
          <w:kern w:val="0"/>
          <w:szCs w:val="21"/>
          <w:u w:val="single"/>
        </w:rPr>
        <w:t xml:space="preserve">                          </w:t>
      </w:r>
      <w:r>
        <w:rPr>
          <w:rStyle w:val="18"/>
          <w:rFonts w:ascii="宋体" w:hAnsi="宋体"/>
          <w:kern w:val="0"/>
          <w:szCs w:val="21"/>
        </w:rPr>
        <w:t>（盖单位章）</w:t>
      </w:r>
    </w:p>
    <w:p>
      <w:pPr>
        <w:spacing w:line="360" w:lineRule="auto"/>
        <w:ind w:firstLine="420" w:firstLineChars="200"/>
        <w:jc w:val="left"/>
        <w:rPr>
          <w:rStyle w:val="18"/>
          <w:rFonts w:ascii="宋体" w:hAnsi="宋体"/>
          <w:kern w:val="0"/>
          <w:szCs w:val="21"/>
        </w:rPr>
      </w:pPr>
      <w:r>
        <w:rPr>
          <w:rStyle w:val="18"/>
          <w:rFonts w:ascii="宋体" w:hAnsi="宋体"/>
          <w:kern w:val="0"/>
          <w:szCs w:val="21"/>
        </w:rPr>
        <w:t xml:space="preserve">                         </w:t>
      </w:r>
      <w:r>
        <w:rPr>
          <w:rStyle w:val="18"/>
          <w:rFonts w:ascii="宋体" w:hAnsi="宋体"/>
          <w:kern w:val="0"/>
          <w:szCs w:val="21"/>
          <w:u w:val="single"/>
        </w:rPr>
        <w:t xml:space="preserve">          </w:t>
      </w:r>
      <w:r>
        <w:rPr>
          <w:rStyle w:val="18"/>
          <w:rFonts w:ascii="宋体" w:hAnsi="宋体"/>
          <w:kern w:val="0"/>
          <w:szCs w:val="21"/>
        </w:rPr>
        <w:t>年</w:t>
      </w:r>
      <w:r>
        <w:rPr>
          <w:rStyle w:val="18"/>
          <w:rFonts w:ascii="宋体" w:hAnsi="宋体"/>
          <w:kern w:val="0"/>
          <w:szCs w:val="21"/>
          <w:u w:val="single"/>
        </w:rPr>
        <w:t xml:space="preserve">        </w:t>
      </w:r>
      <w:r>
        <w:rPr>
          <w:rStyle w:val="18"/>
          <w:rFonts w:ascii="宋体" w:hAnsi="宋体"/>
          <w:kern w:val="0"/>
          <w:szCs w:val="21"/>
        </w:rPr>
        <w:t>月</w:t>
      </w:r>
      <w:r>
        <w:rPr>
          <w:rStyle w:val="18"/>
          <w:rFonts w:ascii="宋体" w:hAnsi="宋体"/>
          <w:kern w:val="0"/>
          <w:szCs w:val="21"/>
          <w:u w:val="single"/>
        </w:rPr>
        <w:t xml:space="preserve">        </w:t>
      </w:r>
      <w:r>
        <w:rPr>
          <w:rStyle w:val="18"/>
          <w:rFonts w:ascii="宋体" w:hAnsi="宋体"/>
          <w:kern w:val="0"/>
          <w:szCs w:val="21"/>
        </w:rPr>
        <w:t xml:space="preserve">日  </w:t>
      </w:r>
    </w:p>
    <w:p>
      <w:pPr>
        <w:pStyle w:val="23"/>
        <w:jc w:val="center"/>
        <w:outlineLvl w:val="0"/>
        <w:rPr>
          <w:rStyle w:val="18"/>
          <w:rFonts w:ascii="宋体" w:hAnsi="宋体" w:eastAsia="宋体" w:cs="宋体"/>
          <w:szCs w:val="22"/>
        </w:rPr>
      </w:pPr>
      <w:r>
        <w:rPr>
          <w:sz w:val="20"/>
        </w:rPr>
        <w:br w:type="page"/>
      </w:r>
      <w:bookmarkStart w:id="64" w:name="_Toc21822"/>
      <w:bookmarkStart w:id="65" w:name="_Toc2608"/>
      <w:bookmarkStart w:id="66" w:name="_Toc27278"/>
      <w:bookmarkStart w:id="67" w:name="_Toc27227"/>
      <w:r>
        <w:rPr>
          <w:rStyle w:val="18"/>
          <w:rFonts w:ascii="宋体" w:hAnsi="宋体" w:eastAsia="宋体" w:cs="宋体"/>
          <w:sz w:val="36"/>
        </w:rPr>
        <w:t>开标一览表</w:t>
      </w:r>
      <w:bookmarkEnd w:id="64"/>
      <w:bookmarkEnd w:id="65"/>
      <w:bookmarkEnd w:id="66"/>
      <w:bookmarkEnd w:id="67"/>
    </w:p>
    <w:p>
      <w:pPr>
        <w:snapToGrid w:val="0"/>
        <w:spacing w:before="50" w:after="50" w:line="360" w:lineRule="auto"/>
        <w:rPr>
          <w:rStyle w:val="18"/>
          <w:rFonts w:ascii="宋体" w:hAnsi="宋体"/>
          <w:sz w:val="24"/>
        </w:rPr>
      </w:pPr>
    </w:p>
    <w:p>
      <w:pPr>
        <w:snapToGrid w:val="0"/>
        <w:spacing w:before="50" w:after="50" w:line="360" w:lineRule="auto"/>
        <w:rPr>
          <w:rStyle w:val="18"/>
          <w:rFonts w:ascii="宋体" w:hAnsi="宋体"/>
          <w:sz w:val="24"/>
          <w:u w:val="single"/>
        </w:rPr>
      </w:pPr>
      <w:r>
        <w:rPr>
          <w:rStyle w:val="18"/>
          <w:rFonts w:ascii="宋体" w:hAnsi="宋体"/>
          <w:sz w:val="24"/>
        </w:rPr>
        <w:t>招标编号：</w:t>
      </w:r>
      <w:r>
        <w:rPr>
          <w:rStyle w:val="18"/>
          <w:rFonts w:ascii="宋体" w:hAnsi="宋体"/>
          <w:sz w:val="24"/>
          <w:u w:val="single"/>
        </w:rPr>
        <w:t xml:space="preserve">                       </w:t>
      </w:r>
    </w:p>
    <w:p>
      <w:pPr>
        <w:snapToGrid w:val="0"/>
        <w:spacing w:before="50" w:after="50" w:line="360" w:lineRule="auto"/>
        <w:rPr>
          <w:rStyle w:val="18"/>
          <w:rFonts w:ascii="宋体" w:hAnsi="宋体"/>
          <w:sz w:val="24"/>
          <w:u w:val="single"/>
        </w:rPr>
      </w:pPr>
      <w:r>
        <w:rPr>
          <w:rStyle w:val="18"/>
          <w:rFonts w:ascii="宋体" w:hAnsi="宋体"/>
          <w:sz w:val="24"/>
        </w:rPr>
        <w:t>项目名称：</w:t>
      </w:r>
      <w:r>
        <w:rPr>
          <w:rStyle w:val="18"/>
          <w:rFonts w:ascii="宋体" w:hAnsi="宋体"/>
          <w:sz w:val="24"/>
          <w:u w:val="single"/>
        </w:rPr>
        <w:t xml:space="preserve">                       </w:t>
      </w:r>
    </w:p>
    <w:p>
      <w:pPr>
        <w:snapToGrid w:val="0"/>
        <w:rPr>
          <w:rStyle w:val="18"/>
          <w:rFonts w:ascii="宋体" w:hAnsi="宋体"/>
          <w:sz w:val="24"/>
        </w:rPr>
      </w:pPr>
    </w:p>
    <w:p>
      <w:pPr>
        <w:snapToGrid w:val="0"/>
        <w:rPr>
          <w:rStyle w:val="18"/>
          <w:rFonts w:ascii="宋体" w:hAnsi="宋体"/>
          <w:sz w:val="24"/>
        </w:rPr>
      </w:pPr>
      <w:r>
        <w:rPr>
          <w:rStyle w:val="18"/>
          <w:rFonts w:ascii="宋体" w:hAnsi="宋体"/>
          <w:sz w:val="24"/>
        </w:rPr>
        <w:t>我单位承诺：</w:t>
      </w:r>
    </w:p>
    <w:p>
      <w:pPr>
        <w:snapToGrid w:val="0"/>
        <w:rPr>
          <w:rStyle w:val="18"/>
          <w:rFonts w:ascii="宋体" w:hAnsi="宋体"/>
          <w:sz w:val="24"/>
        </w:rPr>
      </w:pPr>
    </w:p>
    <w:tbl>
      <w:tblPr>
        <w:tblStyle w:val="12"/>
        <w:tblW w:w="8140"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140"/>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370" w:hRule="atLeast"/>
          <w:jc w:val="center"/>
        </w:trPr>
        <w:tc>
          <w:tcPr>
            <w:tcW w:w="8140" w:type="dxa"/>
            <w:tcBorders>
              <w:top w:val="single" w:color="000000" w:sz="4" w:space="0"/>
              <w:left w:val="single" w:color="000000" w:sz="4" w:space="0"/>
              <w:bottom w:val="nil"/>
              <w:right w:val="single" w:color="000000" w:sz="4" w:space="0"/>
            </w:tcBorders>
            <w:vAlign w:val="center"/>
          </w:tcPr>
          <w:p>
            <w:pPr>
              <w:snapToGrid w:val="0"/>
              <w:spacing w:before="50" w:after="50" w:line="480" w:lineRule="exact"/>
              <w:rPr>
                <w:rStyle w:val="18"/>
                <w:rFonts w:ascii="宋体" w:hAnsi="宋体" w:cs="宋体"/>
                <w:bCs/>
                <w:sz w:val="24"/>
              </w:rPr>
            </w:pPr>
            <w:r>
              <w:rPr>
                <w:rStyle w:val="18"/>
                <w:rFonts w:ascii="宋体" w:hAnsi="宋体" w:cs="宋体"/>
                <w:bCs/>
                <w:sz w:val="24"/>
              </w:rPr>
              <w:t>投标报价：</w:t>
            </w:r>
          </w:p>
          <w:p>
            <w:pPr>
              <w:snapToGrid w:val="0"/>
              <w:spacing w:before="50" w:after="50" w:line="480" w:lineRule="exact"/>
              <w:rPr>
                <w:rStyle w:val="18"/>
                <w:rFonts w:ascii="宋体" w:hAnsi="宋体" w:cs="宋体"/>
                <w:bCs/>
                <w:sz w:val="24"/>
              </w:rPr>
            </w:pPr>
            <w:r>
              <w:rPr>
                <w:rStyle w:val="18"/>
                <w:rFonts w:ascii="宋体" w:hAnsi="宋体" w:cs="宋体"/>
                <w:bCs/>
                <w:sz w:val="24"/>
              </w:rPr>
              <w:t>大写：</w:t>
            </w:r>
            <w:r>
              <w:rPr>
                <w:rStyle w:val="18"/>
                <w:rFonts w:ascii="宋体" w:hAnsi="宋体" w:cs="宋体"/>
                <w:bCs/>
                <w:sz w:val="24"/>
                <w:u w:val="single"/>
              </w:rPr>
              <w:t xml:space="preserve">                 </w:t>
            </w:r>
            <w:r>
              <w:rPr>
                <w:rStyle w:val="18"/>
                <w:rFonts w:ascii="宋体" w:hAnsi="宋体" w:cs="宋体"/>
                <w:bCs/>
                <w:sz w:val="24"/>
              </w:rPr>
              <w:t>元；</w:t>
            </w:r>
          </w:p>
          <w:p>
            <w:pPr>
              <w:snapToGrid w:val="0"/>
              <w:spacing w:before="50" w:after="50" w:line="480" w:lineRule="exact"/>
              <w:rPr>
                <w:rStyle w:val="18"/>
                <w:rFonts w:ascii="宋体" w:hAnsi="宋体"/>
                <w:b/>
                <w:sz w:val="24"/>
              </w:rPr>
            </w:pPr>
            <w:r>
              <w:rPr>
                <w:rStyle w:val="18"/>
                <w:rFonts w:ascii="宋体" w:hAnsi="宋体" w:cs="宋体"/>
                <w:bCs/>
                <w:sz w:val="24"/>
              </w:rPr>
              <w:t>小写：</w:t>
            </w:r>
            <w:r>
              <w:rPr>
                <w:rStyle w:val="18"/>
                <w:rFonts w:ascii="宋体" w:hAnsi="宋体" w:cs="宋体"/>
                <w:bCs/>
                <w:sz w:val="24"/>
                <w:u w:val="single"/>
              </w:rPr>
              <w:t xml:space="preserve">                 </w:t>
            </w:r>
            <w:r>
              <w:rPr>
                <w:rStyle w:val="18"/>
                <w:rFonts w:ascii="宋体" w:hAnsi="宋体" w:cs="宋体"/>
                <w:bCs/>
                <w:sz w:val="24"/>
              </w:rPr>
              <w:t xml:space="preserve">元。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980" w:hRule="atLeast"/>
          <w:jc w:val="center"/>
        </w:trPr>
        <w:tc>
          <w:tcPr>
            <w:tcW w:w="8140"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50" w:line="480" w:lineRule="exact"/>
              <w:rPr>
                <w:rStyle w:val="18"/>
                <w:rFonts w:ascii="宋体" w:hAnsi="宋体"/>
                <w:sz w:val="24"/>
                <w:u w:val="single"/>
              </w:rPr>
            </w:pPr>
            <w:r>
              <w:rPr>
                <w:rStyle w:val="18"/>
                <w:rFonts w:ascii="宋体" w:hAnsi="宋体"/>
                <w:sz w:val="24"/>
              </w:rPr>
              <w:t>项目负责人：</w:t>
            </w:r>
            <w:r>
              <w:rPr>
                <w:rStyle w:val="18"/>
                <w:rFonts w:ascii="宋体" w:hAnsi="宋体"/>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980" w:hRule="atLeast"/>
          <w:jc w:val="center"/>
        </w:trPr>
        <w:tc>
          <w:tcPr>
            <w:tcW w:w="8140"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50" w:line="480" w:lineRule="exact"/>
              <w:rPr>
                <w:rStyle w:val="18"/>
                <w:rFonts w:ascii="宋体" w:hAnsi="宋体"/>
                <w:sz w:val="24"/>
              </w:rPr>
            </w:pPr>
            <w:r>
              <w:rPr>
                <w:rStyle w:val="18"/>
                <w:rFonts w:ascii="宋体" w:hAnsi="宋体"/>
                <w:sz w:val="24"/>
              </w:rPr>
              <w:t>质保期：</w:t>
            </w:r>
            <w:r>
              <w:rPr>
                <w:rStyle w:val="18"/>
                <w:rFonts w:ascii="宋体" w:hAnsi="宋体"/>
                <w:sz w:val="24"/>
                <w:u w:val="single"/>
              </w:rPr>
              <w:t xml:space="preserve">    </w:t>
            </w:r>
            <w:r>
              <w:rPr>
                <w:rStyle w:val="18"/>
                <w:rFonts w:ascii="宋体" w:hAnsi="宋体"/>
                <w:sz w:val="24"/>
              </w:rPr>
              <w:t>年</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987" w:hRule="atLeast"/>
          <w:jc w:val="center"/>
        </w:trPr>
        <w:tc>
          <w:tcPr>
            <w:tcW w:w="8140"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50" w:line="480" w:lineRule="exact"/>
              <w:rPr>
                <w:rStyle w:val="18"/>
                <w:rFonts w:ascii="宋体" w:hAnsi="宋体"/>
                <w:sz w:val="24"/>
              </w:rPr>
            </w:pPr>
            <w:r>
              <w:rPr>
                <w:rStyle w:val="18"/>
                <w:rFonts w:ascii="宋体" w:hAnsi="宋体"/>
                <w:sz w:val="24"/>
              </w:rPr>
              <w:t>交货期或交付使用期：</w:t>
            </w:r>
            <w:r>
              <w:rPr>
                <w:rStyle w:val="18"/>
                <w:rFonts w:ascii="宋体" w:hAnsi="宋体"/>
                <w:sz w:val="24"/>
                <w:u w:val="single"/>
              </w:rPr>
              <w:t xml:space="preserve">    </w:t>
            </w:r>
            <w:r>
              <w:rPr>
                <w:rStyle w:val="18"/>
                <w:rFonts w:ascii="宋体" w:hAnsi="宋体"/>
                <w:sz w:val="24"/>
              </w:rPr>
              <w:t>日历天</w:t>
            </w:r>
          </w:p>
        </w:tc>
      </w:tr>
    </w:tbl>
    <w:p>
      <w:pPr>
        <w:snapToGrid w:val="0"/>
        <w:rPr>
          <w:rStyle w:val="18"/>
          <w:rFonts w:ascii="宋体" w:hAnsi="宋体"/>
          <w:sz w:val="24"/>
        </w:rPr>
      </w:pPr>
    </w:p>
    <w:p>
      <w:pPr>
        <w:pStyle w:val="27"/>
        <w:spacing w:before="156" w:after="156"/>
        <w:ind w:left="313" w:leftChars="149"/>
        <w:rPr>
          <w:rStyle w:val="18"/>
          <w:rFonts w:hAnsi="宋体"/>
          <w:sz w:val="24"/>
          <w:szCs w:val="24"/>
        </w:rPr>
      </w:pPr>
      <w:r>
        <w:rPr>
          <w:rStyle w:val="18"/>
          <w:rFonts w:hAnsi="宋体"/>
          <w:sz w:val="24"/>
          <w:szCs w:val="24"/>
        </w:rPr>
        <w:t>注： 1）表中数据应与投标文件中数据相一致，且不得填报选择性方案。</w:t>
      </w:r>
    </w:p>
    <w:p>
      <w:pPr>
        <w:pStyle w:val="27"/>
        <w:spacing w:before="156" w:after="156"/>
        <w:ind w:left="357" w:leftChars="170" w:firstLine="540" w:firstLineChars="225"/>
        <w:rPr>
          <w:rStyle w:val="18"/>
          <w:rFonts w:hAnsi="宋体"/>
          <w:sz w:val="24"/>
          <w:szCs w:val="24"/>
        </w:rPr>
      </w:pPr>
      <w:r>
        <w:rPr>
          <w:rStyle w:val="18"/>
          <w:rFonts w:hAnsi="宋体"/>
          <w:sz w:val="24"/>
          <w:szCs w:val="24"/>
        </w:rPr>
        <w:t>2）开标一览表必须有法定代表人或其授权代表签字，并必须加盖单位的公章（财务专用章、业务专用章、投标专用章、合同专用章无效）；</w:t>
      </w:r>
    </w:p>
    <w:p>
      <w:pPr>
        <w:pStyle w:val="27"/>
        <w:spacing w:before="156" w:after="156"/>
        <w:ind w:left="357" w:leftChars="170" w:firstLine="540" w:firstLineChars="225"/>
        <w:rPr>
          <w:rStyle w:val="18"/>
          <w:rFonts w:hAnsi="宋体"/>
          <w:sz w:val="24"/>
          <w:szCs w:val="24"/>
        </w:rPr>
      </w:pPr>
      <w:r>
        <w:rPr>
          <w:rStyle w:val="18"/>
          <w:rFonts w:hAnsi="宋体"/>
          <w:sz w:val="24"/>
          <w:szCs w:val="24"/>
        </w:rPr>
        <w:t>3）请完整、正确、清晰地填写表中内容。未按规定填报表中内容的，将不予唱标；</w:t>
      </w:r>
    </w:p>
    <w:p>
      <w:pPr>
        <w:snapToGrid w:val="0"/>
        <w:spacing w:line="360" w:lineRule="auto"/>
        <w:rPr>
          <w:rStyle w:val="18"/>
          <w:rFonts w:ascii="宋体" w:hAnsi="宋体"/>
          <w:sz w:val="24"/>
        </w:rPr>
      </w:pPr>
    </w:p>
    <w:p>
      <w:pPr>
        <w:snapToGrid w:val="0"/>
        <w:spacing w:line="360" w:lineRule="auto"/>
        <w:rPr>
          <w:rStyle w:val="18"/>
          <w:rFonts w:ascii="宋体" w:hAnsi="宋体"/>
          <w:sz w:val="24"/>
        </w:rPr>
      </w:pPr>
    </w:p>
    <w:p>
      <w:pPr>
        <w:snapToGrid w:val="0"/>
        <w:spacing w:before="50" w:after="50"/>
        <w:rPr>
          <w:rStyle w:val="18"/>
          <w:rFonts w:ascii="宋体" w:hAnsi="宋体"/>
          <w:sz w:val="24"/>
        </w:rPr>
      </w:pPr>
      <w:r>
        <w:rPr>
          <w:rStyle w:val="18"/>
          <w:rFonts w:ascii="宋体" w:hAnsi="宋体"/>
          <w:sz w:val="24"/>
        </w:rPr>
        <w:t xml:space="preserve">法定代表人或授权委托人（签字或盖章）：                    </w:t>
      </w:r>
    </w:p>
    <w:p>
      <w:pPr>
        <w:snapToGrid w:val="0"/>
        <w:spacing w:before="50" w:after="50"/>
        <w:rPr>
          <w:rStyle w:val="18"/>
          <w:rFonts w:ascii="宋体" w:hAnsi="宋体"/>
          <w:sz w:val="24"/>
        </w:rPr>
      </w:pPr>
    </w:p>
    <w:p>
      <w:pPr>
        <w:snapToGrid w:val="0"/>
        <w:spacing w:before="50" w:after="50"/>
        <w:rPr>
          <w:rStyle w:val="18"/>
          <w:rFonts w:ascii="宋体" w:hAnsi="宋体"/>
          <w:sz w:val="24"/>
        </w:rPr>
      </w:pPr>
      <w:r>
        <w:rPr>
          <w:rStyle w:val="18"/>
          <w:rFonts w:ascii="宋体" w:hAnsi="宋体"/>
          <w:sz w:val="24"/>
        </w:rPr>
        <w:t xml:space="preserve">投标人名称（盖公章）： </w:t>
      </w:r>
    </w:p>
    <w:p>
      <w:pPr>
        <w:snapToGrid w:val="0"/>
        <w:spacing w:before="50" w:after="50"/>
        <w:rPr>
          <w:rStyle w:val="18"/>
          <w:rFonts w:ascii="宋体" w:hAnsi="宋体"/>
          <w:sz w:val="24"/>
        </w:rPr>
      </w:pPr>
    </w:p>
    <w:p>
      <w:pPr>
        <w:snapToGrid w:val="0"/>
        <w:spacing w:before="50" w:after="50" w:line="440" w:lineRule="exact"/>
        <w:ind w:left="4" w:leftChars="-12" w:right="-816" w:hanging="29"/>
        <w:outlineLvl w:val="0"/>
        <w:rPr>
          <w:rStyle w:val="18"/>
          <w:rFonts w:ascii="宋体" w:hAnsi="宋体"/>
          <w:b/>
          <w:sz w:val="24"/>
        </w:rPr>
      </w:pPr>
      <w:bookmarkStart w:id="68" w:name="_Toc12655"/>
      <w:bookmarkStart w:id="69" w:name="_Toc32361"/>
      <w:bookmarkStart w:id="70" w:name="_Toc19391"/>
      <w:bookmarkStart w:id="71" w:name="_Toc6103"/>
      <w:r>
        <w:rPr>
          <w:rStyle w:val="18"/>
          <w:rFonts w:ascii="宋体" w:hAnsi="宋体"/>
          <w:b/>
          <w:sz w:val="24"/>
        </w:rPr>
        <w:t>需附：法定代表人或委托代理人身份证复印件及授权委托书</w:t>
      </w:r>
      <w:bookmarkEnd w:id="68"/>
      <w:bookmarkEnd w:id="69"/>
      <w:bookmarkEnd w:id="70"/>
      <w:bookmarkEnd w:id="71"/>
    </w:p>
    <w:p>
      <w:pPr>
        <w:snapToGrid w:val="0"/>
        <w:spacing w:before="50" w:after="50"/>
        <w:rPr>
          <w:rStyle w:val="18"/>
          <w:rFonts w:ascii="宋体" w:hAnsi="宋体"/>
          <w:sz w:val="24"/>
        </w:rPr>
      </w:pPr>
      <w:r>
        <w:rPr>
          <w:rStyle w:val="18"/>
          <w:rFonts w:ascii="宋体" w:hAnsi="宋体"/>
          <w:sz w:val="24"/>
        </w:rPr>
        <w:t xml:space="preserve">                        </w:t>
      </w:r>
    </w:p>
    <w:p>
      <w:pPr>
        <w:pStyle w:val="30"/>
        <w:spacing w:line="360" w:lineRule="auto"/>
        <w:rPr>
          <w:rStyle w:val="18"/>
          <w:rFonts w:hAnsi="宋体"/>
          <w:sz w:val="24"/>
        </w:rPr>
      </w:pPr>
      <w:r>
        <w:rPr>
          <w:rStyle w:val="18"/>
          <w:rFonts w:hAnsi="宋体"/>
          <w:sz w:val="24"/>
        </w:rPr>
        <w:t xml:space="preserve">                                               日期：      年   月   日</w:t>
      </w:r>
    </w:p>
    <w:sectPr>
      <w:pgSz w:w="11906" w:h="16838"/>
      <w:pgMar w:top="1134" w:right="1134" w:bottom="1134" w:left="16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1"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font>
  <w:font w:name="Cambria Math">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3"/>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wps:txbx>
                    <wps:bodyPr wrap="none" lIns="0" tIns="0" rIns="0" bIns="0" anchor="t" upright="1">
                      <a:spAutoFit/>
                    </wps:bodyPr>
                  </wps:wsp>
                </a:graphicData>
              </a:graphic>
            </wp:anchor>
          </w:drawing>
        </mc:Choice>
        <mc:Fallback>
          <w:pict>
            <v:shape id="文本框 3" o:spid="_x0000_s1026" o:spt="202" type="#_x0000_t202" style="position:absolute;left:0pt;margin-top:0pt;height:10.35pt;width:4.55pt;mso-position-horizontal:center;mso-position-horizontal-relative:margin;mso-wrap-style:none;z-index:251658240;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4vdRNAAAAACAQAADwAAAAAAAAABACAAAAAiAAAA&#10;ZHJzL2Rvd25yZXYueG1sUEsBAhQAFAAAAAgAh07iQNwHJXXWAQAAoQMAAA4AAAAAAAAAAQAgAAAA&#10;HwEAAGRycy9lMm9Eb2MueG1sUEsFBgAAAAAGAAYAWQEAAGcFA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margin" w:hAnchor="text" w:xAlign="center" w:y="1"/>
      <w:rPr>
        <w:rStyle w:val="32"/>
      </w:rPr>
    </w:pPr>
  </w:p>
  <w:p>
    <w:pPr>
      <w:pStyle w:val="9"/>
      <w:rPr>
        <w:rStyle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3" name="文本框 2"/>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0</w:t>
                          </w:r>
                          <w:r>
                            <w:rPr>
                              <w:rFonts w:hint="eastAsia"/>
                            </w:rPr>
                            <w:fldChar w:fldCharType="end"/>
                          </w:r>
                        </w:p>
                      </w:txbxContent>
                    </wps:txbx>
                    <wps:bodyPr wrap="none" lIns="0" tIns="0" rIns="0" bIns="0" anchor="t" upright="1">
                      <a:spAutoFit/>
                    </wps:bodyPr>
                  </wps:wsp>
                </a:graphicData>
              </a:graphic>
            </wp:anchor>
          </w:drawing>
        </mc:Choice>
        <mc:Fallback>
          <w:pict>
            <v:shape id="文本框 2"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4vdRNAAAAACAQAADwAAAAAAAAABACAAAAAiAAAA&#10;ZHJzL2Rvd25yZXYueG1sUEsBAhQAFAAAAAgAh07iQBIt5nbWAQAAoQMAAA4AAAAAAAAAAQAgAAAA&#10;HwEAAGRycy9lMm9Eb2MueG1sUEsFBgAAAAAGAAYAWQEAAGcFA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0</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Style w:val="18"/>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127635</wp:posOffset>
              </wp:positionV>
              <wp:extent cx="283210" cy="252095"/>
              <wp:effectExtent l="0" t="0" r="0" b="0"/>
              <wp:wrapNone/>
              <wp:docPr id="4" name="文本框 1"/>
              <wp:cNvGraphicFramePr/>
              <a:graphic xmlns:a="http://schemas.openxmlformats.org/drawingml/2006/main">
                <a:graphicData uri="http://schemas.microsoft.com/office/word/2010/wordprocessingShape">
                  <wps:wsp>
                    <wps:cNvSpPr txBox="1"/>
                    <wps:spPr>
                      <a:xfrm>
                        <a:off x="0" y="0"/>
                        <a:ext cx="283210" cy="252095"/>
                      </a:xfrm>
                      <a:prstGeom prst="rect">
                        <a:avLst/>
                      </a:prstGeom>
                      <a:noFill/>
                      <a:ln>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wrap="square" lIns="0" tIns="0" rIns="0" bIns="0" anchor="t" upright="1"/>
                  </wps:wsp>
                </a:graphicData>
              </a:graphic>
            </wp:anchor>
          </w:drawing>
        </mc:Choice>
        <mc:Fallback>
          <w:pict>
            <v:shape id="文本框 1" o:spid="_x0000_s1026" o:spt="202" type="#_x0000_t202" style="position:absolute;left:0pt;margin-top:10.05pt;height:19.85pt;width:22.3pt;mso-position-horizontal:center;mso-position-horizontal-relative:margin;z-index:251660288;mso-width-relative:page;mso-height-relative:page;" filled="f" stroked="f" coordsize="21600,21600" o:gfxdata="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AhSS41QAAAAUBAAAPAAAAAAAAAAEAIAAAACIAAABkcnMvZG93&#10;bnJldi54bWxQSwECFAAUAAAACACHTuJA9PF7PMoBAACKAwAADgAAAAAAAAABACAAAAAkAQAAZHJz&#10;L2Uyb0RvYy54bWxQSwUGAAAAAAYABgBZAQAAYAUAAAAA&#10;">
              <v:fill on="f" focussize="0,0"/>
              <v:stroke on="f"/>
              <v:imagedata o:title=""/>
              <o:lock v:ext="edit" aspectratio="f"/>
              <v:textbox inset="0mm,0mm,0mm,0mm">
                <w:txbxContent>
                  <w:p>
                    <w:pPr>
                      <w:pStyle w:val="9"/>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rPr>
        <w:rStyle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rPr>
        <w:rStyle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59363A"/>
    <w:multiLevelType w:val="singleLevel"/>
    <w:tmpl w:val="A959363A"/>
    <w:lvl w:ilvl="0" w:tentative="0">
      <w:start w:val="3"/>
      <w:numFmt w:val="chineseCounting"/>
      <w:suff w:val="space"/>
      <w:lvlText w:val="第%1章"/>
      <w:lvlJc w:val="left"/>
      <w:rPr>
        <w:rFonts w:hint="eastAsia"/>
      </w:rPr>
    </w:lvl>
  </w:abstractNum>
  <w:abstractNum w:abstractNumId="1">
    <w:nsid w:val="AEBBBE85"/>
    <w:multiLevelType w:val="singleLevel"/>
    <w:tmpl w:val="AEBBBE85"/>
    <w:lvl w:ilvl="0" w:tentative="0">
      <w:start w:val="6"/>
      <w:numFmt w:val="chineseCounting"/>
      <w:suff w:val="nothing"/>
      <w:lvlText w:val="%1、"/>
      <w:lvlJc w:val="left"/>
      <w:rPr>
        <w:rFonts w:hint="eastAsia"/>
      </w:rPr>
    </w:lvl>
  </w:abstractNum>
  <w:abstractNum w:abstractNumId="2">
    <w:nsid w:val="B0B227B2"/>
    <w:multiLevelType w:val="singleLevel"/>
    <w:tmpl w:val="B0B227B2"/>
    <w:lvl w:ilvl="0" w:tentative="0">
      <w:start w:val="5"/>
      <w:numFmt w:val="chineseCounting"/>
      <w:suff w:val="space"/>
      <w:lvlText w:val="第%1章"/>
      <w:lvlJc w:val="left"/>
      <w:pPr>
        <w:textAlignment w:val="baseline"/>
      </w:pPr>
    </w:lvl>
  </w:abstractNum>
  <w:abstractNum w:abstractNumId="3">
    <w:nsid w:val="F8353745"/>
    <w:multiLevelType w:val="singleLevel"/>
    <w:tmpl w:val="F8353745"/>
    <w:lvl w:ilvl="0" w:tentative="0">
      <w:start w:val="1"/>
      <w:numFmt w:val="decimal"/>
      <w:suff w:val="nothing"/>
      <w:lvlText w:val="（%1）"/>
      <w:lvlJc w:val="left"/>
      <w:pPr>
        <w:textAlignment w:val="baseline"/>
      </w:pPr>
    </w:lvl>
  </w:abstractNum>
  <w:abstractNum w:abstractNumId="4">
    <w:nsid w:val="06730E1C"/>
    <w:multiLevelType w:val="multilevel"/>
    <w:tmpl w:val="06730E1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2A94EB3"/>
    <w:multiLevelType w:val="singleLevel"/>
    <w:tmpl w:val="22A94EB3"/>
    <w:lvl w:ilvl="0" w:tentative="0">
      <w:start w:val="1"/>
      <w:numFmt w:val="decimal"/>
      <w:lvlText w:val="%1."/>
      <w:lvlJc w:val="left"/>
      <w:pPr>
        <w:tabs>
          <w:tab w:val="left" w:pos="312"/>
        </w:tabs>
        <w:textAlignment w:val="baseline"/>
      </w:pPr>
    </w:lvl>
  </w:abstractNum>
  <w:num w:numId="1">
    <w:abstractNumId w:val="1"/>
  </w:num>
  <w:num w:numId="2">
    <w:abstractNumId w:val="3"/>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2C551C"/>
    <w:rsid w:val="004A3942"/>
    <w:rsid w:val="005676B9"/>
    <w:rsid w:val="007F4E7E"/>
    <w:rsid w:val="00AA0E38"/>
    <w:rsid w:val="00C5122B"/>
    <w:rsid w:val="0EF512DC"/>
    <w:rsid w:val="145966CF"/>
    <w:rsid w:val="175C42B9"/>
    <w:rsid w:val="1E741A28"/>
    <w:rsid w:val="209B7C8F"/>
    <w:rsid w:val="23141302"/>
    <w:rsid w:val="27B41656"/>
    <w:rsid w:val="30591245"/>
    <w:rsid w:val="37FB3957"/>
    <w:rsid w:val="38586982"/>
    <w:rsid w:val="3D9B70A8"/>
    <w:rsid w:val="3F6C317E"/>
    <w:rsid w:val="4598381D"/>
    <w:rsid w:val="477B3196"/>
    <w:rsid w:val="4ACB2B66"/>
    <w:rsid w:val="4CB81193"/>
    <w:rsid w:val="4D6B029A"/>
    <w:rsid w:val="4FAA309B"/>
    <w:rsid w:val="4FD23817"/>
    <w:rsid w:val="570A386A"/>
    <w:rsid w:val="5EC91063"/>
    <w:rsid w:val="622C551C"/>
    <w:rsid w:val="65B850D1"/>
    <w:rsid w:val="688E2E1F"/>
    <w:rsid w:val="6ADE69B5"/>
    <w:rsid w:val="709B5421"/>
    <w:rsid w:val="710D33F6"/>
    <w:rsid w:val="757A03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styleId="3">
    <w:name w:val="heading 2"/>
    <w:basedOn w:val="1"/>
    <w:next w:val="1"/>
    <w:link w:val="29"/>
    <w:qFormat/>
    <w:uiPriority w:val="0"/>
    <w:pPr>
      <w:keepNext/>
      <w:keepLines/>
      <w:spacing w:before="260" w:after="260" w:line="415" w:lineRule="auto"/>
      <w:outlineLvl w:val="1"/>
    </w:pPr>
    <w:rPr>
      <w:rFonts w:ascii="Arial" w:hAnsi="Arial" w:eastAsia="黑体"/>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4">
    <w:name w:val="Normal Indent"/>
    <w:basedOn w:val="1"/>
    <w:qFormat/>
    <w:uiPriority w:val="0"/>
    <w:pPr>
      <w:ind w:firstLine="420"/>
    </w:pPr>
    <w:rPr>
      <w:b/>
      <w:sz w:val="24"/>
      <w:szCs w:val="20"/>
    </w:rPr>
  </w:style>
  <w:style w:type="paragraph" w:styleId="5">
    <w:name w:val="annotation text"/>
    <w:basedOn w:val="1"/>
    <w:qFormat/>
    <w:uiPriority w:val="0"/>
    <w:pPr>
      <w:jc w:val="left"/>
    </w:pPr>
  </w:style>
  <w:style w:type="paragraph" w:styleId="6">
    <w:name w:val="Body Text"/>
    <w:basedOn w:val="1"/>
    <w:qFormat/>
    <w:uiPriority w:val="1"/>
    <w:rPr>
      <w:sz w:val="24"/>
    </w:rPr>
  </w:style>
  <w:style w:type="paragraph" w:styleId="7">
    <w:name w:val="Plain Text"/>
    <w:basedOn w:val="1"/>
    <w:qFormat/>
    <w:uiPriority w:val="0"/>
    <w:pPr>
      <w:spacing w:before="156" w:beforeLines="50" w:after="156" w:afterLines="50" w:line="400" w:lineRule="exact"/>
    </w:pPr>
    <w:rPr>
      <w:rFonts w:ascii="宋体" w:hAnsi="Courier New"/>
      <w:sz w:val="24"/>
    </w:rPr>
  </w:style>
  <w:style w:type="paragraph" w:styleId="8">
    <w:name w:val="Balloon Text"/>
    <w:basedOn w:val="1"/>
    <w:link w:val="33"/>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20"/>
    </w:rPr>
  </w:style>
  <w:style w:type="paragraph" w:styleId="10">
    <w:name w:val="header"/>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szCs w:val="20"/>
    </w:rPr>
  </w:style>
  <w:style w:type="paragraph" w:styleId="11">
    <w:name w:val="Body Text First Indent"/>
    <w:basedOn w:val="6"/>
    <w:unhideWhenUsed/>
    <w:qFormat/>
    <w:uiPriority w:val="99"/>
    <w:pPr>
      <w:ind w:firstLine="420" w:firstLineChars="100"/>
    </w:pPr>
  </w:style>
  <w:style w:type="character" w:styleId="14">
    <w:name w:val="Strong"/>
    <w:qFormat/>
    <w:uiPriority w:val="0"/>
    <w:rPr>
      <w:rFonts w:cs="Times New Roman"/>
      <w:b/>
      <w:bCs/>
    </w:rPr>
  </w:style>
  <w:style w:type="character" w:styleId="15">
    <w:name w:val="FollowedHyperlink"/>
    <w:basedOn w:val="13"/>
    <w:qFormat/>
    <w:uiPriority w:val="0"/>
    <w:rPr>
      <w:color w:val="800080"/>
      <w:u w:val="none"/>
    </w:rPr>
  </w:style>
  <w:style w:type="character" w:styleId="16">
    <w:name w:val="Hyperlink"/>
    <w:basedOn w:val="13"/>
    <w:qFormat/>
    <w:uiPriority w:val="0"/>
    <w:rPr>
      <w:color w:val="0000FF"/>
      <w:u w:val="none"/>
    </w:rPr>
  </w:style>
  <w:style w:type="character" w:styleId="17">
    <w:name w:val="annotation reference"/>
    <w:basedOn w:val="13"/>
    <w:qFormat/>
    <w:uiPriority w:val="0"/>
    <w:rPr>
      <w:sz w:val="21"/>
      <w:szCs w:val="21"/>
    </w:rPr>
  </w:style>
  <w:style w:type="character" w:customStyle="1" w:styleId="18">
    <w:name w:val="NormalCharacter"/>
    <w:qFormat/>
    <w:uiPriority w:val="0"/>
  </w:style>
  <w:style w:type="paragraph" w:customStyle="1" w:styleId="19">
    <w:name w:val="Heading4"/>
    <w:basedOn w:val="1"/>
    <w:next w:val="1"/>
    <w:qFormat/>
    <w:uiPriority w:val="0"/>
    <w:pPr>
      <w:keepNext/>
      <w:keepLines/>
      <w:spacing w:before="280" w:after="290" w:line="374" w:lineRule="auto"/>
    </w:pPr>
    <w:rPr>
      <w:rFonts w:ascii="Cambria" w:hAnsi="Cambria"/>
      <w:b/>
      <w:sz w:val="28"/>
      <w:szCs w:val="20"/>
    </w:rPr>
  </w:style>
  <w:style w:type="paragraph" w:customStyle="1" w:styleId="20">
    <w:name w:val="WPSOffice手动目录 1"/>
    <w:qFormat/>
    <w:uiPriority w:val="0"/>
    <w:rPr>
      <w:rFonts w:ascii="Times New Roman" w:hAnsi="Times New Roman" w:eastAsia="宋体" w:cs="Times New Roman"/>
      <w:lang w:val="en-US" w:eastAsia="zh-CN" w:bidi="ar-SA"/>
    </w:rPr>
  </w:style>
  <w:style w:type="paragraph" w:customStyle="1" w:styleId="21">
    <w:name w:val="Heading1"/>
    <w:basedOn w:val="1"/>
    <w:next w:val="1"/>
    <w:qFormat/>
    <w:uiPriority w:val="0"/>
    <w:pPr>
      <w:keepNext/>
      <w:keepLines/>
      <w:spacing w:before="340" w:after="330" w:line="576" w:lineRule="auto"/>
      <w:jc w:val="center"/>
    </w:pPr>
    <w:rPr>
      <w:rFonts w:cs="Times New Roman"/>
      <w:b/>
      <w:bCs/>
      <w:kern w:val="44"/>
      <w:sz w:val="44"/>
      <w:szCs w:val="44"/>
    </w:rPr>
  </w:style>
  <w:style w:type="paragraph" w:customStyle="1" w:styleId="22">
    <w:name w:val="UserStyle_52"/>
    <w:basedOn w:val="23"/>
    <w:qFormat/>
    <w:uiPriority w:val="0"/>
    <w:pPr>
      <w:spacing w:line="360" w:lineRule="auto"/>
    </w:pPr>
    <w:rPr>
      <w:rFonts w:eastAsia="宋体" w:cs="宋体"/>
      <w:color w:val="000000"/>
      <w:szCs w:val="20"/>
    </w:rPr>
  </w:style>
  <w:style w:type="paragraph" w:customStyle="1" w:styleId="23">
    <w:name w:val="Heading2"/>
    <w:basedOn w:val="1"/>
    <w:next w:val="1"/>
    <w:qFormat/>
    <w:uiPriority w:val="0"/>
    <w:pPr>
      <w:keepNext/>
      <w:keepLines/>
      <w:spacing w:before="260" w:after="260" w:line="415" w:lineRule="auto"/>
    </w:pPr>
    <w:rPr>
      <w:rFonts w:ascii="Arial" w:hAnsi="Arial" w:eastAsia="黑体" w:cs="Times New Roman"/>
      <w:b/>
      <w:bCs/>
      <w:sz w:val="32"/>
      <w:szCs w:val="32"/>
    </w:rPr>
  </w:style>
  <w:style w:type="paragraph" w:customStyle="1" w:styleId="24">
    <w:name w:val="Heading3"/>
    <w:basedOn w:val="1"/>
    <w:next w:val="1"/>
    <w:qFormat/>
    <w:uiPriority w:val="0"/>
    <w:pPr>
      <w:keepNext/>
      <w:keepLines/>
      <w:spacing w:before="20" w:after="20" w:line="415" w:lineRule="auto"/>
      <w:ind w:firstLine="137" w:firstLineChars="49"/>
    </w:pPr>
    <w:rPr>
      <w:rFonts w:hAnsi="黑体" w:eastAsia="黑体"/>
      <w:sz w:val="24"/>
      <w:szCs w:val="20"/>
    </w:rPr>
  </w:style>
  <w:style w:type="paragraph" w:customStyle="1" w:styleId="25">
    <w:name w:val="BodyText2"/>
    <w:basedOn w:val="1"/>
    <w:qFormat/>
    <w:uiPriority w:val="0"/>
    <w:pPr>
      <w:snapToGrid w:val="0"/>
      <w:spacing w:before="50" w:after="156" w:line="400" w:lineRule="exact"/>
      <w:jc w:val="left"/>
    </w:pPr>
    <w:rPr>
      <w:rFonts w:ascii="宋体" w:hAnsi="宋体"/>
      <w:color w:val="000000"/>
      <w:sz w:val="24"/>
    </w:rPr>
  </w:style>
  <w:style w:type="paragraph" w:customStyle="1" w:styleId="26">
    <w:name w:val="ListContinue2"/>
    <w:basedOn w:val="1"/>
    <w:qFormat/>
    <w:uiPriority w:val="0"/>
    <w:pPr>
      <w:spacing w:after="120"/>
      <w:ind w:left="840"/>
    </w:pPr>
  </w:style>
  <w:style w:type="paragraph" w:customStyle="1" w:styleId="27">
    <w:name w:val="PlainText"/>
    <w:basedOn w:val="1"/>
    <w:qFormat/>
    <w:uiPriority w:val="0"/>
    <w:rPr>
      <w:rFonts w:ascii="宋体" w:hAnsi="Courier New"/>
      <w:sz w:val="28"/>
      <w:szCs w:val="20"/>
    </w:rPr>
  </w:style>
  <w:style w:type="paragraph" w:customStyle="1" w:styleId="28">
    <w:name w:val="BodyText"/>
    <w:basedOn w:val="1"/>
    <w:next w:val="1"/>
    <w:qFormat/>
    <w:uiPriority w:val="0"/>
    <w:pPr>
      <w:spacing w:after="120"/>
    </w:pPr>
  </w:style>
  <w:style w:type="character" w:customStyle="1" w:styleId="29">
    <w:name w:val="标题 2 Char"/>
    <w:link w:val="3"/>
    <w:qFormat/>
    <w:uiPriority w:val="0"/>
    <w:rPr>
      <w:rFonts w:ascii="Arial" w:hAnsi="Arial" w:eastAsia="黑体"/>
      <w:b/>
      <w:bCs/>
      <w:sz w:val="32"/>
      <w:szCs w:val="32"/>
    </w:rPr>
  </w:style>
  <w:style w:type="paragraph" w:customStyle="1" w:styleId="30">
    <w:name w:val="UserStyle_60"/>
    <w:basedOn w:val="1"/>
    <w:qFormat/>
    <w:uiPriority w:val="0"/>
    <w:rPr>
      <w:rFonts w:ascii="宋体" w:hAnsi="Courier New"/>
      <w:sz w:val="28"/>
    </w:rPr>
  </w:style>
  <w:style w:type="paragraph" w:customStyle="1" w:styleId="31">
    <w:name w:val="UserStyle_54"/>
    <w:basedOn w:val="23"/>
    <w:qFormat/>
    <w:uiPriority w:val="0"/>
    <w:pPr>
      <w:spacing w:line="360" w:lineRule="auto"/>
    </w:pPr>
    <w:rPr>
      <w:rFonts w:eastAsia="宋体" w:cs="宋体"/>
      <w:color w:val="000000"/>
      <w:szCs w:val="20"/>
    </w:rPr>
  </w:style>
  <w:style w:type="character" w:customStyle="1" w:styleId="32">
    <w:name w:val="PageNumber"/>
    <w:qFormat/>
    <w:uiPriority w:val="0"/>
  </w:style>
  <w:style w:type="character" w:customStyle="1" w:styleId="33">
    <w:name w:val="批注框文本 Char"/>
    <w:basedOn w:val="13"/>
    <w:link w:val="8"/>
    <w:qFormat/>
    <w:uiPriority w:val="0"/>
    <w:rPr>
      <w:rFonts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69</Pages>
  <Words>6026</Words>
  <Characters>34350</Characters>
  <Lines>286</Lines>
  <Paragraphs>80</Paragraphs>
  <TotalTime>7</TotalTime>
  <ScaleCrop>false</ScaleCrop>
  <LinksUpToDate>false</LinksUpToDate>
  <CharactersWithSpaces>40296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2021-02-04T06:28:00Z</dcterms:created>
  <dc:creator>JY</dc:creator>
  <cp:lastModifiedBy>JY</cp:lastModifiedBy>
  <cp:lastPrinted>2021-02-27T01:48:00Z</cp:lastPrinted>
  <dcterms:modified xsi:type="dcterms:W3CDTF">2021-03-02T08:42:08Z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