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楷体_GB2312" w:hAnsi="楷体" w:eastAsia="楷体_GB2312"/>
          <w:b/>
          <w:sz w:val="44"/>
          <w:szCs w:val="44"/>
        </w:rPr>
      </w:pPr>
    </w:p>
    <w:p>
      <w:pPr>
        <w:spacing w:line="700" w:lineRule="exact"/>
        <w:jc w:val="center"/>
        <w:rPr>
          <w:rFonts w:ascii="宋体" w:hAnsi="宋体"/>
          <w:b/>
          <w:sz w:val="44"/>
          <w:szCs w:val="44"/>
        </w:rPr>
      </w:pPr>
      <w:bookmarkStart w:id="0" w:name="_Toc369077541"/>
      <w:bookmarkStart w:id="1" w:name="_Toc387526166"/>
      <w:bookmarkStart w:id="2" w:name="_Toc363326675"/>
      <w:bookmarkStart w:id="3" w:name="_Toc368759509"/>
      <w:r>
        <w:rPr>
          <w:rFonts w:hint="eastAsia" w:ascii="宋体" w:hAnsi="宋体"/>
          <w:b/>
          <w:sz w:val="44"/>
          <w:szCs w:val="44"/>
        </w:rPr>
        <w:t>盐城市大丰区幸福路小学校园监控系统设备采购安装及伴随服务项目</w:t>
      </w:r>
    </w:p>
    <w:p>
      <w:pPr>
        <w:spacing w:line="360" w:lineRule="auto"/>
        <w:jc w:val="center"/>
        <w:rPr>
          <w:rFonts w:hint="eastAsia" w:ascii="宋体" w:hAnsi="宋体" w:eastAsia="宋体"/>
          <w:b/>
          <w:bCs/>
          <w:sz w:val="72"/>
          <w:szCs w:val="72"/>
          <w:lang w:eastAsia="zh-CN"/>
        </w:rPr>
      </w:pPr>
      <w:r>
        <w:rPr>
          <w:rFonts w:hint="eastAsia" w:ascii="宋体" w:hAnsi="宋体"/>
          <w:b/>
          <w:bCs/>
          <w:sz w:val="52"/>
          <w:szCs w:val="52"/>
          <w:lang w:eastAsia="zh-CN"/>
        </w:rPr>
        <w:t>（</w:t>
      </w:r>
      <w:r>
        <w:rPr>
          <w:rFonts w:hint="eastAsia" w:ascii="宋体" w:hAnsi="宋体"/>
          <w:b/>
          <w:bCs/>
          <w:sz w:val="52"/>
          <w:szCs w:val="52"/>
          <w:lang w:val="en-US" w:eastAsia="zh-CN"/>
        </w:rPr>
        <w:t>二次</w:t>
      </w:r>
      <w:r>
        <w:rPr>
          <w:rFonts w:hint="eastAsia" w:ascii="宋体" w:hAnsi="宋体"/>
          <w:b/>
          <w:bCs/>
          <w:sz w:val="52"/>
          <w:szCs w:val="52"/>
          <w:lang w:eastAsia="zh-CN"/>
        </w:rPr>
        <w:t>）</w:t>
      </w:r>
    </w:p>
    <w:p>
      <w:pPr>
        <w:spacing w:line="360" w:lineRule="auto"/>
        <w:jc w:val="center"/>
        <w:rPr>
          <w:rFonts w:ascii="宋体" w:hAnsi="宋体"/>
          <w:sz w:val="72"/>
          <w:szCs w:val="72"/>
        </w:rPr>
      </w:pPr>
    </w:p>
    <w:p>
      <w:pPr>
        <w:spacing w:line="360" w:lineRule="auto"/>
        <w:jc w:val="center"/>
        <w:rPr>
          <w:rFonts w:ascii="宋体" w:hAnsi="宋体"/>
          <w:sz w:val="72"/>
          <w:szCs w:val="72"/>
        </w:rPr>
      </w:pPr>
    </w:p>
    <w:p>
      <w:pPr>
        <w:spacing w:line="360" w:lineRule="auto"/>
        <w:jc w:val="center"/>
        <w:rPr>
          <w:rFonts w:ascii="宋体" w:hAnsi="宋体"/>
          <w:b/>
          <w:sz w:val="84"/>
          <w:szCs w:val="84"/>
        </w:rPr>
      </w:pPr>
      <w:r>
        <w:rPr>
          <w:rFonts w:hint="eastAsia" w:ascii="宋体" w:hAnsi="宋体"/>
          <w:b/>
          <w:sz w:val="84"/>
          <w:szCs w:val="84"/>
        </w:rPr>
        <w:t>招 标 文 件</w:t>
      </w:r>
    </w:p>
    <w:p>
      <w:pPr>
        <w:spacing w:line="360" w:lineRule="auto"/>
        <w:jc w:val="center"/>
        <w:rPr>
          <w:rFonts w:hint="eastAsia" w:ascii="宋体" w:hAnsi="宋体" w:eastAsia="宋体"/>
          <w:b/>
          <w:sz w:val="32"/>
          <w:szCs w:val="32"/>
          <w:lang w:val="en-US" w:eastAsia="zh-CN"/>
        </w:rPr>
      </w:pPr>
    </w:p>
    <w:p>
      <w:pPr>
        <w:spacing w:line="360" w:lineRule="auto"/>
        <w:ind w:firstLine="2387" w:firstLineChars="746"/>
        <w:rPr>
          <w:rFonts w:hint="default" w:ascii="宋体" w:hAnsi="宋体" w:eastAsia="宋体"/>
          <w:b/>
          <w:sz w:val="32"/>
          <w:szCs w:val="32"/>
          <w:lang w:val="en-US" w:eastAsia="zh-CN"/>
        </w:rPr>
      </w:pPr>
      <w:r>
        <w:rPr>
          <w:rFonts w:hint="eastAsia" w:ascii="宋体" w:hAnsi="宋体"/>
          <w:b/>
          <w:sz w:val="32"/>
          <w:szCs w:val="32"/>
        </w:rPr>
        <w:t>标段编号：DFCG20190095</w:t>
      </w:r>
      <w:r>
        <w:rPr>
          <w:rFonts w:hint="eastAsia" w:ascii="宋体" w:hAnsi="宋体"/>
          <w:b/>
          <w:sz w:val="32"/>
          <w:szCs w:val="32"/>
          <w:lang w:val="en-US" w:eastAsia="zh-CN"/>
        </w:rPr>
        <w:t>-1</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720" w:lineRule="auto"/>
        <w:ind w:right="-170" w:rightChars="-81" w:firstLine="627" w:firstLineChars="196"/>
        <w:rPr>
          <w:rFonts w:ascii="宋体" w:hAnsi="宋体"/>
          <w:b/>
          <w:sz w:val="32"/>
          <w:szCs w:val="32"/>
        </w:rPr>
      </w:pPr>
      <w:r>
        <w:rPr>
          <w:rFonts w:hint="eastAsia" w:ascii="宋体" w:hAnsi="宋体"/>
          <w:b/>
          <w:sz w:val="32"/>
          <w:szCs w:val="32"/>
        </w:rPr>
        <w:t>招   标   人：</w:t>
      </w:r>
      <w:r>
        <w:rPr>
          <w:rFonts w:hint="eastAsia" w:ascii="宋体" w:hAnsi="宋体"/>
          <w:b/>
          <w:sz w:val="32"/>
          <w:szCs w:val="32"/>
          <w:u w:val="single"/>
        </w:rPr>
        <w:t xml:space="preserve"> 盐城市大丰区幸福路小学（盖章）</w:t>
      </w:r>
    </w:p>
    <w:p>
      <w:pPr>
        <w:tabs>
          <w:tab w:val="left" w:pos="7560"/>
        </w:tabs>
        <w:spacing w:line="720" w:lineRule="auto"/>
        <w:ind w:right="-111" w:rightChars="-53" w:firstLine="627" w:firstLineChars="196"/>
        <w:rPr>
          <w:rFonts w:ascii="宋体" w:hAnsi="宋体"/>
          <w:b/>
          <w:spacing w:val="-12"/>
          <w:sz w:val="32"/>
          <w:szCs w:val="32"/>
          <w:u w:val="single"/>
        </w:rPr>
      </w:pPr>
      <w:r>
        <w:rPr>
          <w:rFonts w:hint="eastAsia" w:ascii="宋体" w:hAnsi="宋体"/>
          <w:b/>
          <w:sz w:val="32"/>
          <w:szCs w:val="32"/>
        </w:rPr>
        <w:t>招标代理机构：</w:t>
      </w:r>
      <w:r>
        <w:rPr>
          <w:rFonts w:hint="eastAsia" w:ascii="宋体" w:hAnsi="宋体"/>
          <w:b/>
          <w:sz w:val="32"/>
          <w:szCs w:val="32"/>
          <w:u w:val="single"/>
        </w:rPr>
        <w:t xml:space="preserve"> </w:t>
      </w:r>
      <w:r>
        <w:rPr>
          <w:rFonts w:hint="eastAsia" w:ascii="宋体" w:hAnsi="宋体"/>
          <w:b/>
          <w:spacing w:val="-12"/>
          <w:sz w:val="32"/>
          <w:szCs w:val="32"/>
          <w:u w:val="single"/>
        </w:rPr>
        <w:t>南京琼斯工程管理有限公司（盖章）</w:t>
      </w:r>
    </w:p>
    <w:p>
      <w:pPr>
        <w:tabs>
          <w:tab w:val="left" w:pos="7560"/>
        </w:tabs>
        <w:spacing w:line="720" w:lineRule="auto"/>
        <w:ind w:right="-111" w:rightChars="-53" w:firstLine="627" w:firstLineChars="196"/>
        <w:rPr>
          <w:rFonts w:ascii="宋体" w:hAnsi="宋体"/>
          <w:b/>
          <w:sz w:val="32"/>
          <w:szCs w:val="32"/>
        </w:rPr>
      </w:pPr>
      <w:r>
        <w:rPr>
          <w:rFonts w:hint="eastAsia" w:ascii="宋体" w:hAnsi="宋体"/>
          <w:b/>
          <w:sz w:val="32"/>
          <w:szCs w:val="32"/>
        </w:rPr>
        <w:t>日     期  ： 2019年</w:t>
      </w:r>
      <w:r>
        <w:rPr>
          <w:rFonts w:hint="eastAsia" w:ascii="宋体" w:hAnsi="宋体"/>
          <w:b/>
          <w:sz w:val="32"/>
          <w:szCs w:val="32"/>
          <w:lang w:val="en-US" w:eastAsia="zh-CN"/>
        </w:rPr>
        <w:t>5</w:t>
      </w:r>
      <w:r>
        <w:rPr>
          <w:rFonts w:hint="eastAsia" w:ascii="宋体" w:hAnsi="宋体"/>
          <w:b/>
          <w:sz w:val="32"/>
          <w:szCs w:val="32"/>
        </w:rPr>
        <w:t xml:space="preserve">月    </w:t>
      </w:r>
    </w:p>
    <w:p>
      <w:pPr>
        <w:jc w:val="center"/>
        <w:rPr>
          <w:rFonts w:ascii="宋体" w:hAnsi="宋体"/>
          <w:b/>
          <w:sz w:val="32"/>
          <w:szCs w:val="32"/>
        </w:rPr>
      </w:pPr>
    </w:p>
    <w:p>
      <w:pPr>
        <w:jc w:val="center"/>
        <w:rPr>
          <w:rFonts w:hint="eastAsia" w:ascii="宋体" w:hAnsi="宋体"/>
          <w:b/>
          <w:bCs/>
          <w:color w:val="000000"/>
          <w:sz w:val="32"/>
          <w:szCs w:val="32"/>
        </w:rPr>
        <w:sectPr>
          <w:footerReference r:id="rId3" w:type="default"/>
          <w:pgSz w:w="11906" w:h="16838"/>
          <w:pgMar w:top="1247" w:right="1418" w:bottom="1134" w:left="1418" w:header="851" w:footer="992" w:gutter="0"/>
          <w:cols w:space="720" w:num="1"/>
          <w:docGrid w:type="linesAndChars" w:linePitch="312" w:charSpace="0"/>
        </w:sectPr>
      </w:pPr>
    </w:p>
    <w:p>
      <w:pPr>
        <w:jc w:val="center"/>
        <w:rPr>
          <w:rFonts w:ascii="宋体" w:hAnsi="宋体"/>
          <w:b/>
          <w:bCs/>
          <w:color w:val="000000"/>
          <w:sz w:val="32"/>
          <w:szCs w:val="32"/>
        </w:rPr>
      </w:pPr>
      <w:r>
        <w:rPr>
          <w:rFonts w:hint="eastAsia" w:ascii="宋体" w:hAnsi="宋体"/>
          <w:b/>
          <w:bCs/>
          <w:color w:val="000000"/>
          <w:sz w:val="32"/>
          <w:szCs w:val="32"/>
        </w:rPr>
        <w:t>招标文件备案表</w:t>
      </w:r>
    </w:p>
    <w:p>
      <w:pPr>
        <w:jc w:val="center"/>
        <w:rPr>
          <w:rFonts w:ascii="宋体"/>
          <w:b/>
          <w:color w:val="000000"/>
          <w:sz w:val="36"/>
          <w:szCs w:val="36"/>
        </w:rPr>
      </w:pPr>
    </w:p>
    <w:tbl>
      <w:tblPr>
        <w:tblStyle w:val="48"/>
        <w:tblW w:w="9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3426" w:type="dxa"/>
            <w:vAlign w:val="center"/>
          </w:tcPr>
          <w:p>
            <w:pPr>
              <w:jc w:val="center"/>
              <w:rPr>
                <w:rFonts w:ascii="宋体" w:hAnsi="宋体"/>
                <w:color w:val="000000"/>
                <w:sz w:val="24"/>
              </w:rPr>
            </w:pPr>
            <w:r>
              <w:rPr>
                <w:rFonts w:hint="eastAsia" w:ascii="宋体" w:hAnsi="宋体"/>
                <w:color w:val="000000"/>
                <w:sz w:val="24"/>
              </w:rPr>
              <w:t>招标人及</w:t>
            </w:r>
          </w:p>
          <w:p>
            <w:pPr>
              <w:jc w:val="center"/>
              <w:rPr>
                <w:rFonts w:ascii="宋体" w:hAnsi="宋体"/>
                <w:color w:val="000000"/>
                <w:sz w:val="24"/>
              </w:rPr>
            </w:pPr>
            <w:r>
              <w:rPr>
                <w:rFonts w:hint="eastAsia" w:ascii="宋体" w:hAnsi="宋体"/>
                <w:color w:val="000000"/>
                <w:sz w:val="24"/>
              </w:rPr>
              <w:t>招标代理机构名称</w:t>
            </w:r>
          </w:p>
        </w:tc>
        <w:tc>
          <w:tcPr>
            <w:tcW w:w="6525" w:type="dxa"/>
            <w:vAlign w:val="center"/>
          </w:tcPr>
          <w:p>
            <w:pPr>
              <w:spacing w:line="440" w:lineRule="exact"/>
              <w:jc w:val="center"/>
              <w:rPr>
                <w:rFonts w:ascii="宋体" w:hAnsi="宋体"/>
                <w:color w:val="000000"/>
                <w:szCs w:val="21"/>
              </w:rPr>
            </w:pPr>
            <w:r>
              <w:rPr>
                <w:rFonts w:hint="eastAsia" w:ascii="宋体" w:hAnsi="宋体"/>
                <w:color w:val="000000"/>
                <w:szCs w:val="21"/>
              </w:rPr>
              <w:t>盐城市大丰区幸福路小学</w:t>
            </w:r>
          </w:p>
          <w:p>
            <w:pPr>
              <w:spacing w:line="440" w:lineRule="exact"/>
              <w:jc w:val="center"/>
              <w:rPr>
                <w:rFonts w:ascii="宋体" w:hAnsi="宋体"/>
                <w:color w:val="000000"/>
                <w:sz w:val="24"/>
              </w:rPr>
            </w:pPr>
            <w:r>
              <w:rPr>
                <w:rFonts w:hint="eastAsia" w:ascii="宋体" w:hAnsi="宋体"/>
                <w:szCs w:val="21"/>
              </w:rPr>
              <w:t>南京琼斯工程管理有限公司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3426" w:type="dxa"/>
            <w:vAlign w:val="center"/>
          </w:tcPr>
          <w:p>
            <w:pPr>
              <w:jc w:val="center"/>
              <w:rPr>
                <w:rFonts w:ascii="宋体" w:hAnsi="宋体"/>
                <w:color w:val="000000"/>
                <w:sz w:val="24"/>
              </w:rPr>
            </w:pPr>
            <w:r>
              <w:rPr>
                <w:rFonts w:hint="eastAsia" w:ascii="宋体" w:hAnsi="宋体"/>
                <w:color w:val="000000"/>
                <w:sz w:val="24"/>
              </w:rPr>
              <w:t>招标内容</w:t>
            </w:r>
          </w:p>
        </w:tc>
        <w:tc>
          <w:tcPr>
            <w:tcW w:w="6525" w:type="dxa"/>
            <w:vAlign w:val="center"/>
          </w:tcPr>
          <w:p>
            <w:pPr>
              <w:jc w:val="center"/>
              <w:rPr>
                <w:rFonts w:ascii="宋体" w:hAnsi="宋体"/>
                <w:color w:val="000000"/>
                <w:sz w:val="24"/>
              </w:rPr>
            </w:pPr>
            <w:r>
              <w:rPr>
                <w:rFonts w:hint="eastAsia" w:ascii="宋体" w:hAnsi="宋体"/>
                <w:szCs w:val="21"/>
              </w:rPr>
              <w:t>盐城市大丰区幸福路小学校园监控系统设备采购安装及伴随服务项目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3426" w:type="dxa"/>
            <w:vAlign w:val="center"/>
          </w:tcPr>
          <w:p>
            <w:pPr>
              <w:jc w:val="center"/>
              <w:rPr>
                <w:rFonts w:ascii="宋体" w:hAnsi="宋体"/>
                <w:color w:val="000000"/>
                <w:sz w:val="24"/>
              </w:rPr>
            </w:pPr>
            <w:r>
              <w:rPr>
                <w:rFonts w:hint="eastAsia" w:ascii="宋体" w:hAnsi="宋体"/>
                <w:color w:val="000000"/>
                <w:sz w:val="24"/>
              </w:rPr>
              <w:t>标段编号</w:t>
            </w:r>
          </w:p>
        </w:tc>
        <w:tc>
          <w:tcPr>
            <w:tcW w:w="6525" w:type="dxa"/>
            <w:vAlign w:val="center"/>
          </w:tcPr>
          <w:p>
            <w:pPr>
              <w:jc w:val="center"/>
              <w:rPr>
                <w:rFonts w:hint="default" w:ascii="宋体" w:hAnsi="宋体" w:eastAsia="宋体"/>
                <w:color w:val="000000"/>
                <w:sz w:val="24"/>
                <w:lang w:val="en-US" w:eastAsia="zh-CN"/>
              </w:rPr>
            </w:pPr>
            <w:r>
              <w:rPr>
                <w:rFonts w:ascii="宋体" w:hAnsi="宋体"/>
                <w:color w:val="000000"/>
                <w:sz w:val="24"/>
              </w:rPr>
              <w:t>DFCG20190095</w:t>
            </w:r>
            <w:r>
              <w:rPr>
                <w:rFonts w:hint="eastAsia" w:ascii="宋体" w:hAnsi="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2" w:hRule="atLeast"/>
          <w:jc w:val="center"/>
        </w:trPr>
        <w:tc>
          <w:tcPr>
            <w:tcW w:w="9951" w:type="dxa"/>
            <w:gridSpan w:val="2"/>
          </w:tcPr>
          <w:p>
            <w:pPr>
              <w:spacing w:line="640" w:lineRule="exact"/>
              <w:rPr>
                <w:rFonts w:ascii="宋体" w:hAnsi="宋体"/>
                <w:color w:val="000000"/>
                <w:sz w:val="24"/>
              </w:rPr>
            </w:pPr>
          </w:p>
          <w:p>
            <w:pPr>
              <w:spacing w:line="640" w:lineRule="exact"/>
              <w:ind w:firstLine="555"/>
              <w:rPr>
                <w:rFonts w:ascii="宋体" w:hAnsi="宋体"/>
                <w:sz w:val="24"/>
              </w:rPr>
            </w:pPr>
            <w:r>
              <w:rPr>
                <w:rFonts w:hint="eastAsia" w:ascii="宋体" w:hAnsi="宋体"/>
                <w:sz w:val="24"/>
              </w:rPr>
              <w:t>此文件审查工作已结束，于2019年</w:t>
            </w:r>
            <w:r>
              <w:rPr>
                <w:rFonts w:hint="eastAsia" w:ascii="宋体" w:hAnsi="宋体"/>
                <w:sz w:val="24"/>
                <w:u w:val="single"/>
                <w:lang w:val="en-US" w:eastAsia="zh-CN"/>
              </w:rPr>
              <w:t>3</w:t>
            </w:r>
            <w:r>
              <w:rPr>
                <w:rFonts w:hint="eastAsia" w:ascii="宋体" w:hAnsi="宋体"/>
                <w:sz w:val="24"/>
              </w:rPr>
              <w:t>月</w:t>
            </w:r>
            <w:r>
              <w:rPr>
                <w:rFonts w:hint="eastAsia" w:ascii="宋体" w:hAnsi="宋体"/>
                <w:sz w:val="24"/>
                <w:u w:val="single"/>
                <w:lang w:val="en-US" w:eastAsia="zh-CN"/>
              </w:rPr>
              <w:t>22</w:t>
            </w:r>
            <w:r>
              <w:rPr>
                <w:rFonts w:hint="eastAsia" w:ascii="宋体" w:hAnsi="宋体"/>
                <w:sz w:val="24"/>
              </w:rPr>
              <w:t>日备案，共</w:t>
            </w:r>
            <w:r>
              <w:rPr>
                <w:rFonts w:hint="eastAsia" w:ascii="宋体" w:hAnsi="宋体"/>
                <w:sz w:val="24"/>
                <w:highlight w:val="none"/>
                <w:u w:val="single"/>
                <w:lang w:val="en-US" w:eastAsia="zh-CN"/>
              </w:rPr>
              <w:t>59</w:t>
            </w:r>
            <w:r>
              <w:rPr>
                <w:rFonts w:hint="eastAsia" w:ascii="宋体" w:hAnsi="宋体"/>
                <w:sz w:val="24"/>
              </w:rPr>
              <w:t>页，附件有：</w:t>
            </w:r>
          </w:p>
          <w:p>
            <w:pPr>
              <w:spacing w:line="640" w:lineRule="exact"/>
              <w:ind w:firstLine="555"/>
              <w:rPr>
                <w:rFonts w:ascii="宋体" w:hAnsi="宋体"/>
                <w:sz w:val="24"/>
              </w:rPr>
            </w:pPr>
            <w:r>
              <w:rPr>
                <w:rFonts w:hint="eastAsia" w:ascii="宋体" w:hAnsi="宋体"/>
                <w:sz w:val="24"/>
              </w:rPr>
              <w:t>1、招标采购计划申报表；</w:t>
            </w:r>
          </w:p>
          <w:p>
            <w:pPr>
              <w:spacing w:line="640" w:lineRule="exact"/>
              <w:ind w:firstLine="555"/>
              <w:rPr>
                <w:rFonts w:ascii="宋体" w:hAnsi="宋体"/>
                <w:sz w:val="24"/>
              </w:rPr>
            </w:pPr>
            <w:r>
              <w:rPr>
                <w:rFonts w:hint="eastAsia" w:ascii="宋体" w:hAnsi="宋体"/>
                <w:sz w:val="24"/>
              </w:rPr>
              <w:t>2、采购通知单；</w:t>
            </w:r>
          </w:p>
          <w:p>
            <w:pPr>
              <w:spacing w:line="640" w:lineRule="exact"/>
              <w:ind w:firstLine="555"/>
              <w:rPr>
                <w:rFonts w:ascii="宋体" w:hAnsi="宋体"/>
                <w:sz w:val="24"/>
              </w:rPr>
            </w:pPr>
            <w:r>
              <w:rPr>
                <w:rFonts w:hint="eastAsia" w:ascii="宋体" w:hAnsi="宋体"/>
                <w:sz w:val="24"/>
              </w:rPr>
              <w:t>3、招标代理服务合同。</w:t>
            </w:r>
          </w:p>
          <w:p>
            <w:pPr>
              <w:spacing w:line="640" w:lineRule="exact"/>
              <w:ind w:firstLine="555"/>
              <w:rPr>
                <w:rFonts w:ascii="宋体" w:hAnsi="宋体"/>
                <w:sz w:val="24"/>
              </w:rPr>
            </w:pPr>
          </w:p>
          <w:p>
            <w:pPr>
              <w:spacing w:line="640" w:lineRule="exact"/>
              <w:ind w:firstLine="555"/>
              <w:rPr>
                <w:rFonts w:ascii="宋体" w:hAnsi="宋体"/>
                <w:sz w:val="24"/>
              </w:rPr>
            </w:pPr>
            <w:r>
              <w:rPr>
                <w:rFonts w:hint="eastAsia" w:ascii="宋体" w:hAnsi="宋体"/>
                <w:sz w:val="24"/>
              </w:rPr>
              <w:t xml:space="preserve"> </w:t>
            </w:r>
          </w:p>
          <w:p>
            <w:pPr>
              <w:spacing w:line="640" w:lineRule="exact"/>
              <w:ind w:firstLine="555"/>
              <w:rPr>
                <w:rFonts w:ascii="宋体" w:hAnsi="宋体"/>
                <w:sz w:val="24"/>
              </w:rPr>
            </w:pPr>
          </w:p>
          <w:p>
            <w:pPr>
              <w:spacing w:line="640" w:lineRule="exact"/>
              <w:ind w:firstLine="555"/>
              <w:rPr>
                <w:rFonts w:ascii="宋体" w:hAnsi="宋体"/>
                <w:sz w:val="24"/>
              </w:rPr>
            </w:pPr>
          </w:p>
          <w:p>
            <w:pPr>
              <w:spacing w:line="640" w:lineRule="exact"/>
              <w:rPr>
                <w:rFonts w:ascii="宋体" w:hAnsi="宋体"/>
                <w:sz w:val="24"/>
              </w:rPr>
            </w:pPr>
          </w:p>
          <w:p>
            <w:pPr>
              <w:spacing w:line="420" w:lineRule="exact"/>
              <w:ind w:firstLine="556"/>
              <w:rPr>
                <w:rFonts w:ascii="宋体" w:hAnsi="宋体"/>
                <w:sz w:val="24"/>
              </w:rPr>
            </w:pPr>
            <w:r>
              <w:rPr>
                <w:rFonts w:hint="eastAsia" w:ascii="宋体" w:hAnsi="宋体"/>
                <w:sz w:val="24"/>
              </w:rPr>
              <w:t xml:space="preserve">                              招标管理部门（盖章）：</w:t>
            </w:r>
          </w:p>
          <w:p>
            <w:pPr>
              <w:spacing w:line="640" w:lineRule="exact"/>
              <w:rPr>
                <w:rFonts w:ascii="宋体" w:hAnsi="宋体"/>
                <w:color w:val="000000"/>
                <w:sz w:val="24"/>
              </w:rPr>
            </w:pPr>
          </w:p>
        </w:tc>
      </w:tr>
    </w:tbl>
    <w:p>
      <w:pPr>
        <w:spacing w:after="156" w:afterLines="50"/>
        <w:jc w:val="center"/>
        <w:rPr>
          <w:rFonts w:ascii="宋体" w:hAnsi="宋体"/>
          <w:b/>
          <w:bCs/>
          <w:sz w:val="36"/>
          <w:szCs w:val="36"/>
        </w:rPr>
      </w:pPr>
    </w:p>
    <w:p>
      <w:pPr>
        <w:pStyle w:val="2"/>
        <w:sectPr>
          <w:footerReference r:id="rId4" w:type="default"/>
          <w:pgSz w:w="11906" w:h="16838"/>
          <w:pgMar w:top="1247" w:right="1418" w:bottom="1134" w:left="1418" w:header="851" w:footer="992" w:gutter="0"/>
          <w:pgNumType w:fmt="decimal" w:start="1"/>
          <w:cols w:space="720" w:num="1"/>
          <w:docGrid w:type="linesAndChars" w:linePitch="312" w:charSpace="0"/>
        </w:sectPr>
      </w:pPr>
    </w:p>
    <w:p>
      <w:pPr>
        <w:spacing w:afterLines="50"/>
        <w:jc w:val="center"/>
        <w:rPr>
          <w:sz w:val="48"/>
          <w:szCs w:val="48"/>
        </w:rPr>
      </w:pPr>
      <w:r>
        <w:rPr>
          <w:rFonts w:hint="eastAsia"/>
          <w:sz w:val="48"/>
          <w:szCs w:val="48"/>
        </w:rPr>
        <w:t>目  录</w:t>
      </w:r>
    </w:p>
    <w:p>
      <w:pPr>
        <w:pStyle w:val="33"/>
        <w:tabs>
          <w:tab w:val="right" w:leader="dot" w:pos="9070"/>
        </w:tabs>
      </w:pPr>
      <w:r>
        <w:rPr>
          <w:sz w:val="48"/>
          <w:szCs w:val="48"/>
        </w:rPr>
        <w:fldChar w:fldCharType="begin"/>
      </w:r>
      <w:r>
        <w:rPr>
          <w:sz w:val="48"/>
          <w:szCs w:val="48"/>
        </w:rPr>
        <w:instrText xml:space="preserve">TOC \o "1-3" \h  \u </w:instrText>
      </w:r>
      <w:r>
        <w:rPr>
          <w:sz w:val="48"/>
          <w:szCs w:val="48"/>
        </w:rPr>
        <w:fldChar w:fldCharType="separate"/>
      </w:r>
      <w:r>
        <w:rPr>
          <w:szCs w:val="48"/>
        </w:rPr>
        <w:fldChar w:fldCharType="begin"/>
      </w:r>
      <w:r>
        <w:rPr>
          <w:szCs w:val="48"/>
        </w:rPr>
        <w:instrText xml:space="preserve"> HYPERLINK \l _Toc9830 </w:instrText>
      </w:r>
      <w:r>
        <w:rPr>
          <w:szCs w:val="48"/>
        </w:rPr>
        <w:fldChar w:fldCharType="separate"/>
      </w:r>
      <w:r>
        <w:rPr>
          <w:rFonts w:hint="eastAsia"/>
        </w:rPr>
        <w:t xml:space="preserve">第一章  </w:t>
      </w:r>
      <w:r>
        <w:t>招标公告</w:t>
      </w:r>
      <w:r>
        <w:rPr>
          <w:rFonts w:hint="eastAsia"/>
          <w:lang w:eastAsia="zh-CN"/>
        </w:rPr>
        <w:t>（</w:t>
      </w:r>
      <w:r>
        <w:rPr>
          <w:rFonts w:hint="eastAsia"/>
          <w:lang w:val="en-US" w:eastAsia="zh-CN"/>
        </w:rPr>
        <w:t>二次</w:t>
      </w:r>
      <w:r>
        <w:rPr>
          <w:rFonts w:hint="eastAsia"/>
          <w:lang w:eastAsia="zh-CN"/>
        </w:rPr>
        <w:t>）</w:t>
      </w:r>
      <w:r>
        <w:tab/>
      </w:r>
      <w:r>
        <w:fldChar w:fldCharType="begin"/>
      </w:r>
      <w:r>
        <w:instrText xml:space="preserve"> PAGEREF _Toc9830 </w:instrText>
      </w:r>
      <w:r>
        <w:fldChar w:fldCharType="separate"/>
      </w:r>
      <w:r>
        <w:t>4</w:t>
      </w:r>
      <w:r>
        <w:fldChar w:fldCharType="end"/>
      </w:r>
      <w:r>
        <w:rPr>
          <w:szCs w:val="48"/>
        </w:rPr>
        <w:fldChar w:fldCharType="end"/>
      </w:r>
    </w:p>
    <w:p>
      <w:pPr>
        <w:pStyle w:val="33"/>
        <w:tabs>
          <w:tab w:val="right" w:leader="dot" w:pos="9070"/>
        </w:tabs>
      </w:pPr>
      <w:r>
        <w:rPr>
          <w:szCs w:val="48"/>
        </w:rPr>
        <w:fldChar w:fldCharType="begin"/>
      </w:r>
      <w:r>
        <w:rPr>
          <w:szCs w:val="48"/>
        </w:rPr>
        <w:instrText xml:space="preserve"> HYPERLINK \l _Toc1893 </w:instrText>
      </w:r>
      <w:r>
        <w:rPr>
          <w:szCs w:val="48"/>
        </w:rPr>
        <w:fldChar w:fldCharType="separate"/>
      </w:r>
      <w:r>
        <w:t>第二章  投标人须知</w:t>
      </w:r>
      <w:r>
        <w:tab/>
      </w:r>
      <w:r>
        <w:fldChar w:fldCharType="begin"/>
      </w:r>
      <w:r>
        <w:instrText xml:space="preserve"> PAGEREF _Toc1893 </w:instrText>
      </w:r>
      <w:r>
        <w:fldChar w:fldCharType="separate"/>
      </w:r>
      <w:r>
        <w:t>8</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_Toc9502 </w:instrText>
      </w:r>
      <w:r>
        <w:rPr>
          <w:szCs w:val="48"/>
        </w:rPr>
        <w:fldChar w:fldCharType="separate"/>
      </w:r>
      <w:r>
        <w:t>投标人须知前附表</w:t>
      </w:r>
      <w:r>
        <w:tab/>
      </w:r>
      <w:r>
        <w:fldChar w:fldCharType="begin"/>
      </w:r>
      <w:r>
        <w:instrText xml:space="preserve"> PAGEREF _Toc9502 </w:instrText>
      </w:r>
      <w:r>
        <w:fldChar w:fldCharType="separate"/>
      </w:r>
      <w:r>
        <w:t>8</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_Toc962 </w:instrText>
      </w:r>
      <w:r>
        <w:rPr>
          <w:szCs w:val="48"/>
        </w:rPr>
        <w:fldChar w:fldCharType="separate"/>
      </w:r>
      <w:r>
        <w:rPr>
          <w:rFonts w:ascii="宋体" w:hAnsi="宋体" w:eastAsia="宋体"/>
        </w:rPr>
        <w:t>1</w:t>
      </w:r>
      <w:r>
        <w:rPr>
          <w:szCs w:val="28"/>
        </w:rPr>
        <w:t>.</w:t>
      </w:r>
      <w:r>
        <w:rPr>
          <w:rFonts w:ascii="宋体" w:hAnsi="宋体" w:eastAsia="宋体"/>
        </w:rPr>
        <w:t>总则</w:t>
      </w:r>
      <w:r>
        <w:tab/>
      </w:r>
      <w:r>
        <w:fldChar w:fldCharType="begin"/>
      </w:r>
      <w:r>
        <w:instrText xml:space="preserve"> PAGEREF _Toc962 </w:instrText>
      </w:r>
      <w:r>
        <w:fldChar w:fldCharType="separate"/>
      </w:r>
      <w:r>
        <w:t>11</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_Toc4763 </w:instrText>
      </w:r>
      <w:r>
        <w:rPr>
          <w:szCs w:val="48"/>
        </w:rPr>
        <w:fldChar w:fldCharType="separate"/>
      </w:r>
      <w:r>
        <w:rPr>
          <w:szCs w:val="24"/>
        </w:rPr>
        <w:t>1.1 项目概况</w:t>
      </w:r>
      <w:r>
        <w:tab/>
      </w:r>
      <w:r>
        <w:fldChar w:fldCharType="begin"/>
      </w:r>
      <w:r>
        <w:instrText xml:space="preserve"> PAGEREF _Toc4763 </w:instrText>
      </w:r>
      <w:r>
        <w:fldChar w:fldCharType="separate"/>
      </w:r>
      <w:r>
        <w:t>11</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_Toc12083 </w:instrText>
      </w:r>
      <w:r>
        <w:rPr>
          <w:szCs w:val="48"/>
        </w:rPr>
        <w:fldChar w:fldCharType="separate"/>
      </w:r>
      <w:r>
        <w:rPr>
          <w:szCs w:val="24"/>
        </w:rPr>
        <w:t>1.2 资金来源和落实情况</w:t>
      </w:r>
      <w:r>
        <w:tab/>
      </w:r>
      <w:r>
        <w:fldChar w:fldCharType="begin"/>
      </w:r>
      <w:r>
        <w:instrText xml:space="preserve"> PAGEREF _Toc12083 </w:instrText>
      </w:r>
      <w:r>
        <w:fldChar w:fldCharType="separate"/>
      </w:r>
      <w:r>
        <w:t>11</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_Toc25004 </w:instrText>
      </w:r>
      <w:r>
        <w:rPr>
          <w:szCs w:val="48"/>
        </w:rPr>
        <w:fldChar w:fldCharType="separate"/>
      </w:r>
      <w:r>
        <w:rPr>
          <w:szCs w:val="24"/>
        </w:rPr>
        <w:t>1.3</w:t>
      </w:r>
      <w:r>
        <w:rPr>
          <w:rFonts w:hint="eastAsia"/>
          <w:szCs w:val="24"/>
        </w:rPr>
        <w:t xml:space="preserve"> </w:t>
      </w:r>
      <w:r>
        <w:rPr>
          <w:szCs w:val="24"/>
        </w:rPr>
        <w:t>招标范围、交货期或工期和质量要求</w:t>
      </w:r>
      <w:r>
        <w:tab/>
      </w:r>
      <w:r>
        <w:fldChar w:fldCharType="begin"/>
      </w:r>
      <w:r>
        <w:instrText xml:space="preserve"> PAGEREF _Toc25004 </w:instrText>
      </w:r>
      <w:r>
        <w:fldChar w:fldCharType="separate"/>
      </w:r>
      <w:r>
        <w:t>11</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_Toc18031 </w:instrText>
      </w:r>
      <w:r>
        <w:rPr>
          <w:szCs w:val="48"/>
        </w:rPr>
        <w:fldChar w:fldCharType="separate"/>
      </w:r>
      <w:r>
        <w:rPr>
          <w:szCs w:val="24"/>
        </w:rPr>
        <w:t>1.4 投标人资格要求</w:t>
      </w:r>
      <w:r>
        <w:tab/>
      </w:r>
      <w:r>
        <w:fldChar w:fldCharType="begin"/>
      </w:r>
      <w:r>
        <w:instrText xml:space="preserve"> PAGEREF _Toc18031 </w:instrText>
      </w:r>
      <w:r>
        <w:fldChar w:fldCharType="separate"/>
      </w:r>
      <w:r>
        <w:t>11</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_Toc9419 </w:instrText>
      </w:r>
      <w:r>
        <w:rPr>
          <w:szCs w:val="48"/>
        </w:rPr>
        <w:fldChar w:fldCharType="separate"/>
      </w:r>
      <w:r>
        <w:rPr>
          <w:szCs w:val="24"/>
        </w:rPr>
        <w:t xml:space="preserve">1.5 </w:t>
      </w:r>
      <w:r>
        <w:rPr>
          <w:rFonts w:hint="eastAsia"/>
          <w:szCs w:val="24"/>
        </w:rPr>
        <w:t>费用承担</w:t>
      </w:r>
      <w:r>
        <w:tab/>
      </w:r>
      <w:r>
        <w:fldChar w:fldCharType="begin"/>
      </w:r>
      <w:r>
        <w:instrText xml:space="preserve"> PAGEREF _Toc9419 </w:instrText>
      </w:r>
      <w:r>
        <w:fldChar w:fldCharType="separate"/>
      </w:r>
      <w:r>
        <w:t>12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_Toc8250 </w:instrText>
      </w:r>
      <w:r>
        <w:rPr>
          <w:szCs w:val="48"/>
        </w:rPr>
        <w:fldChar w:fldCharType="separate"/>
      </w:r>
      <w:r>
        <w:rPr>
          <w:szCs w:val="24"/>
        </w:rPr>
        <w:t>1.6 保密</w:t>
      </w:r>
      <w:r>
        <w:tab/>
      </w:r>
      <w:r>
        <w:fldChar w:fldCharType="begin"/>
      </w:r>
      <w:r>
        <w:instrText xml:space="preserve"> PAGEREF _Toc8250 </w:instrText>
      </w:r>
      <w:r>
        <w:fldChar w:fldCharType="separate"/>
      </w:r>
      <w:r>
        <w:t>12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_Toc29973 </w:instrText>
      </w:r>
      <w:r>
        <w:rPr>
          <w:szCs w:val="48"/>
        </w:rPr>
        <w:fldChar w:fldCharType="separate"/>
      </w:r>
      <w:r>
        <w:rPr>
          <w:szCs w:val="24"/>
        </w:rPr>
        <w:t>1.7 语言文字</w:t>
      </w:r>
      <w:r>
        <w:tab/>
      </w:r>
      <w:r>
        <w:fldChar w:fldCharType="begin"/>
      </w:r>
      <w:r>
        <w:instrText xml:space="preserve"> PAGEREF _Toc29973 </w:instrText>
      </w:r>
      <w:r>
        <w:fldChar w:fldCharType="separate"/>
      </w:r>
      <w:r>
        <w:t>12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_Toc16639 </w:instrText>
      </w:r>
      <w:r>
        <w:rPr>
          <w:szCs w:val="48"/>
        </w:rPr>
        <w:fldChar w:fldCharType="separate"/>
      </w:r>
      <w:r>
        <w:rPr>
          <w:szCs w:val="24"/>
        </w:rPr>
        <w:t>1.8 计量单位</w:t>
      </w:r>
      <w:r>
        <w:tab/>
      </w:r>
      <w:r>
        <w:fldChar w:fldCharType="begin"/>
      </w:r>
      <w:r>
        <w:instrText xml:space="preserve"> PAGEREF _Toc16639 </w:instrText>
      </w:r>
      <w:r>
        <w:fldChar w:fldCharType="separate"/>
      </w:r>
      <w:r>
        <w:t>12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_Toc24067 </w:instrText>
      </w:r>
      <w:r>
        <w:rPr>
          <w:szCs w:val="48"/>
        </w:rPr>
        <w:fldChar w:fldCharType="separate"/>
      </w:r>
      <w:r>
        <w:rPr>
          <w:szCs w:val="24"/>
        </w:rPr>
        <w:t>1.9 踏勘现场</w:t>
      </w:r>
      <w:r>
        <w:tab/>
      </w:r>
      <w:r>
        <w:fldChar w:fldCharType="begin"/>
      </w:r>
      <w:r>
        <w:instrText xml:space="preserve"> PAGEREF _Toc24067 </w:instrText>
      </w:r>
      <w:r>
        <w:fldChar w:fldCharType="separate"/>
      </w:r>
      <w:r>
        <w:t>12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_Toc9251 </w:instrText>
      </w:r>
      <w:r>
        <w:rPr>
          <w:szCs w:val="48"/>
        </w:rPr>
        <w:fldChar w:fldCharType="separate"/>
      </w:r>
      <w:r>
        <w:rPr>
          <w:szCs w:val="24"/>
        </w:rPr>
        <w:t>1.10 投标预备会</w:t>
      </w:r>
      <w:r>
        <w:tab/>
      </w:r>
      <w:r>
        <w:fldChar w:fldCharType="begin"/>
      </w:r>
      <w:r>
        <w:instrText xml:space="preserve"> PAGEREF _Toc9251 </w:instrText>
      </w:r>
      <w:r>
        <w:fldChar w:fldCharType="separate"/>
      </w:r>
      <w:r>
        <w:t>12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_Toc23532 </w:instrText>
      </w:r>
      <w:r>
        <w:rPr>
          <w:szCs w:val="48"/>
        </w:rPr>
        <w:fldChar w:fldCharType="separate"/>
      </w:r>
      <w:r>
        <w:rPr>
          <w:szCs w:val="24"/>
        </w:rPr>
        <w:t>1.11 偏离</w:t>
      </w:r>
      <w:r>
        <w:tab/>
      </w:r>
      <w:r>
        <w:fldChar w:fldCharType="begin"/>
      </w:r>
      <w:r>
        <w:instrText xml:space="preserve"> PAGEREF _Toc23532 </w:instrText>
      </w:r>
      <w:r>
        <w:fldChar w:fldCharType="separate"/>
      </w:r>
      <w:r>
        <w:t>13</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_Toc12546 </w:instrText>
      </w:r>
      <w:r>
        <w:rPr>
          <w:szCs w:val="48"/>
        </w:rPr>
        <w:fldChar w:fldCharType="separate"/>
      </w:r>
      <w:r>
        <w:t>2.招标文件</w:t>
      </w:r>
      <w:r>
        <w:tab/>
      </w:r>
      <w:r>
        <w:fldChar w:fldCharType="begin"/>
      </w:r>
      <w:r>
        <w:instrText xml:space="preserve"> PAGEREF _Toc12546 </w:instrText>
      </w:r>
      <w:r>
        <w:fldChar w:fldCharType="separate"/>
      </w:r>
      <w:r>
        <w:t>13</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_Toc11163 </w:instrText>
      </w:r>
      <w:r>
        <w:rPr>
          <w:szCs w:val="48"/>
        </w:rPr>
        <w:fldChar w:fldCharType="separate"/>
      </w:r>
      <w:r>
        <w:rPr>
          <w:szCs w:val="24"/>
        </w:rPr>
        <w:t>2.1</w:t>
      </w:r>
      <w:r>
        <w:rPr>
          <w:rFonts w:hint="eastAsia"/>
          <w:szCs w:val="24"/>
        </w:rPr>
        <w:t xml:space="preserve"> </w:t>
      </w:r>
      <w:r>
        <w:rPr>
          <w:szCs w:val="24"/>
        </w:rPr>
        <w:t>招标文件组成</w:t>
      </w:r>
      <w:r>
        <w:tab/>
      </w:r>
      <w:r>
        <w:fldChar w:fldCharType="begin"/>
      </w:r>
      <w:r>
        <w:instrText xml:space="preserve"> PAGEREF _Toc11163 </w:instrText>
      </w:r>
      <w:r>
        <w:fldChar w:fldCharType="separate"/>
      </w:r>
      <w:r>
        <w:t>13</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_Toc16562 </w:instrText>
      </w:r>
      <w:r>
        <w:rPr>
          <w:szCs w:val="48"/>
        </w:rPr>
        <w:fldChar w:fldCharType="separate"/>
      </w:r>
      <w:r>
        <w:rPr>
          <w:szCs w:val="24"/>
        </w:rPr>
        <w:t>2.2 招标文件的澄清</w:t>
      </w:r>
      <w:r>
        <w:tab/>
      </w:r>
      <w:r>
        <w:fldChar w:fldCharType="begin"/>
      </w:r>
      <w:r>
        <w:instrText xml:space="preserve"> PAGEREF _Toc16562 </w:instrText>
      </w:r>
      <w:r>
        <w:fldChar w:fldCharType="separate"/>
      </w:r>
      <w:r>
        <w:t>13</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_Toc23414 </w:instrText>
      </w:r>
      <w:r>
        <w:rPr>
          <w:szCs w:val="48"/>
        </w:rPr>
        <w:fldChar w:fldCharType="separate"/>
      </w:r>
      <w:r>
        <w:rPr>
          <w:szCs w:val="24"/>
        </w:rPr>
        <w:t>2.3 招标文件的修改</w:t>
      </w:r>
      <w:r>
        <w:tab/>
      </w:r>
      <w:r>
        <w:fldChar w:fldCharType="begin"/>
      </w:r>
      <w:r>
        <w:instrText xml:space="preserve"> PAGEREF _Toc23414 </w:instrText>
      </w:r>
      <w:r>
        <w:fldChar w:fldCharType="separate"/>
      </w:r>
      <w:r>
        <w:t>13</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_Toc769 </w:instrText>
      </w:r>
      <w:r>
        <w:rPr>
          <w:szCs w:val="48"/>
        </w:rPr>
        <w:fldChar w:fldCharType="separate"/>
      </w:r>
      <w:r>
        <w:t>3.投标文件</w:t>
      </w:r>
      <w:r>
        <w:tab/>
      </w:r>
      <w:r>
        <w:fldChar w:fldCharType="begin"/>
      </w:r>
      <w:r>
        <w:instrText xml:space="preserve"> PAGEREF _Toc769 </w:instrText>
      </w:r>
      <w:r>
        <w:fldChar w:fldCharType="separate"/>
      </w:r>
      <w:r>
        <w:t>14</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_Toc21262 </w:instrText>
      </w:r>
      <w:r>
        <w:rPr>
          <w:szCs w:val="48"/>
        </w:rPr>
        <w:fldChar w:fldCharType="separate"/>
      </w:r>
      <w:r>
        <w:rPr>
          <w:szCs w:val="24"/>
        </w:rPr>
        <w:t>3.1 投标文件</w:t>
      </w:r>
      <w:r>
        <w:rPr>
          <w:rFonts w:hint="eastAsia"/>
          <w:szCs w:val="24"/>
        </w:rPr>
        <w:t>的</w:t>
      </w:r>
      <w:r>
        <w:rPr>
          <w:szCs w:val="24"/>
        </w:rPr>
        <w:t>组成</w:t>
      </w:r>
      <w:r>
        <w:tab/>
      </w:r>
      <w:r>
        <w:fldChar w:fldCharType="begin"/>
      </w:r>
      <w:r>
        <w:instrText xml:space="preserve"> PAGEREF _Toc21262 </w:instrText>
      </w:r>
      <w:r>
        <w:fldChar w:fldCharType="separate"/>
      </w:r>
      <w:r>
        <w:t>14</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_Toc17484 </w:instrText>
      </w:r>
      <w:r>
        <w:rPr>
          <w:szCs w:val="48"/>
        </w:rPr>
        <w:fldChar w:fldCharType="separate"/>
      </w:r>
      <w:r>
        <w:rPr>
          <w:szCs w:val="24"/>
        </w:rPr>
        <w:t>3.2 投标报价</w:t>
      </w:r>
      <w:r>
        <w:tab/>
      </w:r>
      <w:r>
        <w:fldChar w:fldCharType="begin"/>
      </w:r>
      <w:r>
        <w:instrText xml:space="preserve"> PAGEREF _Toc17484 </w:instrText>
      </w:r>
      <w:r>
        <w:fldChar w:fldCharType="separate"/>
      </w:r>
      <w:r>
        <w:t>14</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_Toc27670 </w:instrText>
      </w:r>
      <w:r>
        <w:rPr>
          <w:szCs w:val="48"/>
        </w:rPr>
        <w:fldChar w:fldCharType="separate"/>
      </w:r>
      <w:r>
        <w:rPr>
          <w:szCs w:val="24"/>
        </w:rPr>
        <w:t>3.3 投标有效期</w:t>
      </w:r>
      <w:r>
        <w:tab/>
      </w:r>
      <w:r>
        <w:fldChar w:fldCharType="begin"/>
      </w:r>
      <w:r>
        <w:instrText xml:space="preserve"> PAGEREF _Toc27670 </w:instrText>
      </w:r>
      <w:r>
        <w:fldChar w:fldCharType="separate"/>
      </w:r>
      <w:r>
        <w:t>15</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_Toc25372 </w:instrText>
      </w:r>
      <w:r>
        <w:rPr>
          <w:szCs w:val="48"/>
        </w:rPr>
        <w:fldChar w:fldCharType="separate"/>
      </w:r>
      <w:r>
        <w:rPr>
          <w:szCs w:val="24"/>
        </w:rPr>
        <w:t>3.4 投标保证金</w:t>
      </w:r>
      <w:r>
        <w:tab/>
      </w:r>
      <w:r>
        <w:fldChar w:fldCharType="begin"/>
      </w:r>
      <w:r>
        <w:instrText xml:space="preserve"> PAGEREF _Toc25372 </w:instrText>
      </w:r>
      <w:r>
        <w:fldChar w:fldCharType="separate"/>
      </w:r>
      <w:r>
        <w:t>15</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_Toc20489 </w:instrText>
      </w:r>
      <w:r>
        <w:rPr>
          <w:szCs w:val="48"/>
        </w:rPr>
        <w:fldChar w:fldCharType="separate"/>
      </w:r>
      <w:r>
        <w:rPr>
          <w:szCs w:val="24"/>
        </w:rPr>
        <w:t>3.</w:t>
      </w:r>
      <w:r>
        <w:rPr>
          <w:rFonts w:hint="eastAsia"/>
          <w:szCs w:val="24"/>
        </w:rPr>
        <w:t>5</w:t>
      </w:r>
      <w:r>
        <w:rPr>
          <w:szCs w:val="24"/>
        </w:rPr>
        <w:t xml:space="preserve"> 备选投标方案</w:t>
      </w:r>
      <w:r>
        <w:tab/>
      </w:r>
      <w:r>
        <w:fldChar w:fldCharType="begin"/>
      </w:r>
      <w:r>
        <w:instrText xml:space="preserve"> PAGEREF _Toc20489 </w:instrText>
      </w:r>
      <w:r>
        <w:fldChar w:fldCharType="separate"/>
      </w:r>
      <w:r>
        <w:t>16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_Toc31670 </w:instrText>
      </w:r>
      <w:r>
        <w:rPr>
          <w:szCs w:val="48"/>
        </w:rPr>
        <w:fldChar w:fldCharType="separate"/>
      </w:r>
      <w:r>
        <w:rPr>
          <w:szCs w:val="24"/>
        </w:rPr>
        <w:t>3.</w:t>
      </w:r>
      <w:r>
        <w:rPr>
          <w:rFonts w:hint="eastAsia"/>
          <w:szCs w:val="24"/>
        </w:rPr>
        <w:t>6</w:t>
      </w:r>
      <w:r>
        <w:rPr>
          <w:szCs w:val="24"/>
        </w:rPr>
        <w:t xml:space="preserve"> 投标文件的编制</w:t>
      </w:r>
      <w:r>
        <w:tab/>
      </w:r>
      <w:r>
        <w:fldChar w:fldCharType="begin"/>
      </w:r>
      <w:r>
        <w:instrText xml:space="preserve"> PAGEREF _Toc31670 </w:instrText>
      </w:r>
      <w:r>
        <w:fldChar w:fldCharType="separate"/>
      </w:r>
      <w:r>
        <w:t>16</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_Toc10248 </w:instrText>
      </w:r>
      <w:r>
        <w:rPr>
          <w:szCs w:val="48"/>
        </w:rPr>
        <w:fldChar w:fldCharType="separate"/>
      </w:r>
      <w:r>
        <w:t>4.投标</w:t>
      </w:r>
      <w:r>
        <w:tab/>
      </w:r>
      <w:r>
        <w:fldChar w:fldCharType="begin"/>
      </w:r>
      <w:r>
        <w:instrText xml:space="preserve"> PAGEREF _Toc10248 </w:instrText>
      </w:r>
      <w:r>
        <w:fldChar w:fldCharType="separate"/>
      </w:r>
      <w:r>
        <w:t>16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_Toc16626 </w:instrText>
      </w:r>
      <w:r>
        <w:rPr>
          <w:szCs w:val="48"/>
        </w:rPr>
        <w:fldChar w:fldCharType="separate"/>
      </w:r>
      <w:r>
        <w:rPr>
          <w:rFonts w:hint="eastAsia"/>
        </w:rPr>
        <w:t>4.1 投标文件的密封和标记</w:t>
      </w:r>
      <w:r>
        <w:tab/>
      </w:r>
      <w:r>
        <w:fldChar w:fldCharType="begin"/>
      </w:r>
      <w:r>
        <w:instrText xml:space="preserve"> PAGEREF _Toc16626 </w:instrText>
      </w:r>
      <w:r>
        <w:fldChar w:fldCharType="separate"/>
      </w:r>
      <w:r>
        <w:t>16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_Toc22721 </w:instrText>
      </w:r>
      <w:r>
        <w:rPr>
          <w:szCs w:val="48"/>
        </w:rPr>
        <w:fldChar w:fldCharType="separate"/>
      </w:r>
      <w:r>
        <w:t>4.2 投标文件的递交</w:t>
      </w:r>
      <w:r>
        <w:tab/>
      </w:r>
      <w:r>
        <w:fldChar w:fldCharType="begin"/>
      </w:r>
      <w:r>
        <w:instrText xml:space="preserve"> PAGEREF _Toc22721 </w:instrText>
      </w:r>
      <w:r>
        <w:fldChar w:fldCharType="separate"/>
      </w:r>
      <w:r>
        <w:t>17</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_Toc29983 </w:instrText>
      </w:r>
      <w:r>
        <w:rPr>
          <w:szCs w:val="48"/>
        </w:rPr>
        <w:fldChar w:fldCharType="separate"/>
      </w:r>
      <w:r>
        <w:rPr>
          <w:rFonts w:hint="eastAsia"/>
        </w:rPr>
        <w:t>4.3 投标文件的修改与撤回</w:t>
      </w:r>
      <w:r>
        <w:tab/>
      </w:r>
      <w:r>
        <w:fldChar w:fldCharType="begin"/>
      </w:r>
      <w:r>
        <w:instrText xml:space="preserve"> PAGEREF _Toc29983 </w:instrText>
      </w:r>
      <w:r>
        <w:fldChar w:fldCharType="separate"/>
      </w:r>
      <w:r>
        <w:t>17</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_Toc4690 </w:instrText>
      </w:r>
      <w:r>
        <w:rPr>
          <w:szCs w:val="48"/>
        </w:rPr>
        <w:fldChar w:fldCharType="separate"/>
      </w:r>
      <w:r>
        <w:rPr>
          <w:rFonts w:hint="eastAsia"/>
        </w:rPr>
        <w:t>4.4 不予接收的投标文件</w:t>
      </w:r>
      <w:r>
        <w:tab/>
      </w:r>
      <w:r>
        <w:fldChar w:fldCharType="begin"/>
      </w:r>
      <w:r>
        <w:instrText xml:space="preserve"> PAGEREF _Toc4690 </w:instrText>
      </w:r>
      <w:r>
        <w:fldChar w:fldCharType="separate"/>
      </w:r>
      <w:r>
        <w:t>17</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_Toc19137 </w:instrText>
      </w:r>
      <w:r>
        <w:rPr>
          <w:szCs w:val="48"/>
        </w:rPr>
        <w:fldChar w:fldCharType="separate"/>
      </w:r>
      <w:r>
        <w:t>5.开标</w:t>
      </w:r>
      <w:r>
        <w:tab/>
      </w:r>
      <w:r>
        <w:fldChar w:fldCharType="begin"/>
      </w:r>
      <w:r>
        <w:instrText xml:space="preserve"> PAGEREF _Toc19137 </w:instrText>
      </w:r>
      <w:r>
        <w:fldChar w:fldCharType="separate"/>
      </w:r>
      <w:r>
        <w:t>17</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_Toc31882 </w:instrText>
      </w:r>
      <w:r>
        <w:rPr>
          <w:szCs w:val="48"/>
        </w:rPr>
        <w:fldChar w:fldCharType="separate"/>
      </w:r>
      <w:r>
        <w:t>5.1 开标时间和地点</w:t>
      </w:r>
      <w:r>
        <w:tab/>
      </w:r>
      <w:r>
        <w:fldChar w:fldCharType="begin"/>
      </w:r>
      <w:r>
        <w:instrText xml:space="preserve"> PAGEREF _Toc31882 </w:instrText>
      </w:r>
      <w:r>
        <w:fldChar w:fldCharType="separate"/>
      </w:r>
      <w:r>
        <w:t>17</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_Toc29793 </w:instrText>
      </w:r>
      <w:r>
        <w:rPr>
          <w:szCs w:val="48"/>
        </w:rPr>
        <w:fldChar w:fldCharType="separate"/>
      </w:r>
      <w:r>
        <w:t>5.2 开标程序</w:t>
      </w:r>
      <w:r>
        <w:tab/>
      </w:r>
      <w:r>
        <w:fldChar w:fldCharType="begin"/>
      </w:r>
      <w:r>
        <w:instrText xml:space="preserve"> PAGEREF _Toc29793 </w:instrText>
      </w:r>
      <w:r>
        <w:fldChar w:fldCharType="separate"/>
      </w:r>
      <w:r>
        <w:t>17</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_Toc18936 </w:instrText>
      </w:r>
      <w:r>
        <w:rPr>
          <w:szCs w:val="48"/>
        </w:rPr>
        <w:fldChar w:fldCharType="separate"/>
      </w:r>
      <w:r>
        <w:t>6.评标</w:t>
      </w:r>
      <w:r>
        <w:tab/>
      </w:r>
      <w:r>
        <w:fldChar w:fldCharType="begin"/>
      </w:r>
      <w:r>
        <w:instrText xml:space="preserve"> PAGEREF _Toc18936 </w:instrText>
      </w:r>
      <w:r>
        <w:fldChar w:fldCharType="separate"/>
      </w:r>
      <w:r>
        <w:t>18</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_Toc9166 </w:instrText>
      </w:r>
      <w:r>
        <w:rPr>
          <w:szCs w:val="48"/>
        </w:rPr>
        <w:fldChar w:fldCharType="separate"/>
      </w:r>
      <w:r>
        <w:t>6.1 评标委员会</w:t>
      </w:r>
      <w:r>
        <w:tab/>
      </w:r>
      <w:r>
        <w:fldChar w:fldCharType="begin"/>
      </w:r>
      <w:r>
        <w:instrText xml:space="preserve"> PAGEREF _Toc9166 </w:instrText>
      </w:r>
      <w:r>
        <w:fldChar w:fldCharType="separate"/>
      </w:r>
      <w:r>
        <w:t>18</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_Toc4262 </w:instrText>
      </w:r>
      <w:r>
        <w:rPr>
          <w:szCs w:val="48"/>
        </w:rPr>
        <w:fldChar w:fldCharType="separate"/>
      </w:r>
      <w:r>
        <w:t>6.2</w:t>
      </w:r>
      <w:r>
        <w:rPr>
          <w:rFonts w:hint="eastAsia"/>
        </w:rPr>
        <w:t xml:space="preserve"> </w:t>
      </w:r>
      <w:r>
        <w:t>评标原则</w:t>
      </w:r>
      <w:r>
        <w:tab/>
      </w:r>
      <w:r>
        <w:fldChar w:fldCharType="begin"/>
      </w:r>
      <w:r>
        <w:instrText xml:space="preserve"> PAGEREF _Toc4262 </w:instrText>
      </w:r>
      <w:r>
        <w:fldChar w:fldCharType="separate"/>
      </w:r>
      <w:r>
        <w:t>18</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_Toc31876 </w:instrText>
      </w:r>
      <w:r>
        <w:rPr>
          <w:szCs w:val="48"/>
        </w:rPr>
        <w:fldChar w:fldCharType="separate"/>
      </w:r>
      <w:r>
        <w:t>6.3 评标</w:t>
      </w:r>
      <w:r>
        <w:tab/>
      </w:r>
      <w:r>
        <w:fldChar w:fldCharType="begin"/>
      </w:r>
      <w:r>
        <w:instrText xml:space="preserve"> PAGEREF _Toc31876 </w:instrText>
      </w:r>
      <w:r>
        <w:fldChar w:fldCharType="separate"/>
      </w:r>
      <w:r>
        <w:t>18</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_Toc32112 </w:instrText>
      </w:r>
      <w:r>
        <w:rPr>
          <w:szCs w:val="48"/>
        </w:rPr>
        <w:fldChar w:fldCharType="separate"/>
      </w:r>
      <w:r>
        <w:rPr>
          <w:rFonts w:hint="eastAsia"/>
        </w:rPr>
        <w:t>6.4 多个标段推荐中标候选人顺序</w:t>
      </w:r>
      <w:r>
        <w:tab/>
      </w:r>
      <w:r>
        <w:fldChar w:fldCharType="begin"/>
      </w:r>
      <w:r>
        <w:instrText xml:space="preserve"> PAGEREF _Toc32112 </w:instrText>
      </w:r>
      <w:r>
        <w:fldChar w:fldCharType="separate"/>
      </w:r>
      <w:r>
        <w:t>18</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_Toc23048 </w:instrText>
      </w:r>
      <w:r>
        <w:rPr>
          <w:szCs w:val="48"/>
        </w:rPr>
        <w:fldChar w:fldCharType="separate"/>
      </w:r>
      <w:r>
        <w:t>7.</w:t>
      </w:r>
      <w:r>
        <w:rPr>
          <w:rFonts w:hint="eastAsia"/>
        </w:rPr>
        <w:t>评标结果公示</w:t>
      </w:r>
      <w:r>
        <w:tab/>
      </w:r>
      <w:r>
        <w:fldChar w:fldCharType="begin"/>
      </w:r>
      <w:r>
        <w:instrText xml:space="preserve"> PAGEREF _Toc23048 </w:instrText>
      </w:r>
      <w:r>
        <w:fldChar w:fldCharType="separate"/>
      </w:r>
      <w:r>
        <w:t>18</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_Toc24410 </w:instrText>
      </w:r>
      <w:r>
        <w:rPr>
          <w:szCs w:val="48"/>
        </w:rPr>
        <w:fldChar w:fldCharType="separate"/>
      </w:r>
      <w:r>
        <w:rPr>
          <w:rFonts w:hint="eastAsia"/>
        </w:rPr>
        <w:t>8.</w:t>
      </w:r>
      <w:r>
        <w:t>合同授予</w:t>
      </w:r>
      <w:r>
        <w:tab/>
      </w:r>
      <w:r>
        <w:fldChar w:fldCharType="begin"/>
      </w:r>
      <w:r>
        <w:instrText xml:space="preserve"> PAGEREF _Toc24410 </w:instrText>
      </w:r>
      <w:r>
        <w:fldChar w:fldCharType="separate"/>
      </w:r>
      <w:r>
        <w:t>19</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_Toc4739 </w:instrText>
      </w:r>
      <w:r>
        <w:rPr>
          <w:szCs w:val="48"/>
        </w:rPr>
        <w:fldChar w:fldCharType="separate"/>
      </w:r>
      <w:r>
        <w:rPr>
          <w:rFonts w:hint="eastAsia"/>
        </w:rPr>
        <w:t>8</w:t>
      </w:r>
      <w:r>
        <w:t>.1 定标方式</w:t>
      </w:r>
      <w:r>
        <w:tab/>
      </w:r>
      <w:r>
        <w:fldChar w:fldCharType="begin"/>
      </w:r>
      <w:r>
        <w:instrText xml:space="preserve"> PAGEREF _Toc4739 </w:instrText>
      </w:r>
      <w:r>
        <w:fldChar w:fldCharType="separate"/>
      </w:r>
      <w:r>
        <w:t>19</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_Toc12885 </w:instrText>
      </w:r>
      <w:r>
        <w:rPr>
          <w:szCs w:val="48"/>
        </w:rPr>
        <w:fldChar w:fldCharType="separate"/>
      </w:r>
      <w:r>
        <w:rPr>
          <w:rFonts w:hint="eastAsia"/>
        </w:rPr>
        <w:t>8.2中标通知</w:t>
      </w:r>
      <w:r>
        <w:tab/>
      </w:r>
      <w:r>
        <w:fldChar w:fldCharType="begin"/>
      </w:r>
      <w:r>
        <w:instrText xml:space="preserve"> PAGEREF _Toc12885 </w:instrText>
      </w:r>
      <w:r>
        <w:fldChar w:fldCharType="separate"/>
      </w:r>
      <w:r>
        <w:t>19</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_Toc24296 </w:instrText>
      </w:r>
      <w:r>
        <w:rPr>
          <w:szCs w:val="48"/>
        </w:rPr>
        <w:fldChar w:fldCharType="separate"/>
      </w:r>
      <w:r>
        <w:rPr>
          <w:rFonts w:hint="eastAsia"/>
        </w:rPr>
        <w:t xml:space="preserve">8.3 </w:t>
      </w:r>
      <w:r>
        <w:t>履约保证金</w:t>
      </w:r>
      <w:r>
        <w:tab/>
      </w:r>
      <w:r>
        <w:fldChar w:fldCharType="begin"/>
      </w:r>
      <w:r>
        <w:instrText xml:space="preserve"> PAGEREF _Toc24296 </w:instrText>
      </w:r>
      <w:r>
        <w:fldChar w:fldCharType="separate"/>
      </w:r>
      <w:r>
        <w:t>19</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_Toc19783 </w:instrText>
      </w:r>
      <w:r>
        <w:rPr>
          <w:szCs w:val="48"/>
        </w:rPr>
        <w:fldChar w:fldCharType="separate"/>
      </w:r>
      <w:r>
        <w:rPr>
          <w:rFonts w:hint="eastAsia"/>
        </w:rPr>
        <w:t xml:space="preserve">8.4 </w:t>
      </w:r>
      <w:r>
        <w:t>签订合同</w:t>
      </w:r>
      <w:r>
        <w:tab/>
      </w:r>
      <w:r>
        <w:fldChar w:fldCharType="begin"/>
      </w:r>
      <w:r>
        <w:instrText xml:space="preserve"> PAGEREF _Toc19783 </w:instrText>
      </w:r>
      <w:r>
        <w:fldChar w:fldCharType="separate"/>
      </w:r>
      <w:r>
        <w:t>19</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_Toc7507 </w:instrText>
      </w:r>
      <w:r>
        <w:rPr>
          <w:szCs w:val="48"/>
        </w:rPr>
        <w:fldChar w:fldCharType="separate"/>
      </w:r>
      <w:r>
        <w:rPr>
          <w:rFonts w:hint="eastAsia"/>
        </w:rPr>
        <w:t>9</w:t>
      </w:r>
      <w:r>
        <w:t>.纪律和监督</w:t>
      </w:r>
      <w:r>
        <w:tab/>
      </w:r>
      <w:r>
        <w:fldChar w:fldCharType="begin"/>
      </w:r>
      <w:r>
        <w:instrText xml:space="preserve"> PAGEREF _Toc7507 </w:instrText>
      </w:r>
      <w:r>
        <w:fldChar w:fldCharType="separate"/>
      </w:r>
      <w:r>
        <w:t>20</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_Toc13664 </w:instrText>
      </w:r>
      <w:r>
        <w:rPr>
          <w:szCs w:val="48"/>
        </w:rPr>
        <w:fldChar w:fldCharType="separate"/>
      </w:r>
      <w:r>
        <w:rPr>
          <w:rFonts w:hint="eastAsia"/>
        </w:rPr>
        <w:t>9</w:t>
      </w:r>
      <w:r>
        <w:t>.1 对招标人的纪律要求</w:t>
      </w:r>
      <w:r>
        <w:tab/>
      </w:r>
      <w:r>
        <w:fldChar w:fldCharType="begin"/>
      </w:r>
      <w:r>
        <w:instrText xml:space="preserve"> PAGEREF _Toc13664 </w:instrText>
      </w:r>
      <w:r>
        <w:fldChar w:fldCharType="separate"/>
      </w:r>
      <w:r>
        <w:t>20</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_Toc1947 </w:instrText>
      </w:r>
      <w:r>
        <w:rPr>
          <w:szCs w:val="48"/>
        </w:rPr>
        <w:fldChar w:fldCharType="separate"/>
      </w:r>
      <w:r>
        <w:rPr>
          <w:rFonts w:hint="eastAsia"/>
          <w:szCs w:val="24"/>
        </w:rPr>
        <w:t>9</w:t>
      </w:r>
      <w:r>
        <w:rPr>
          <w:szCs w:val="24"/>
        </w:rPr>
        <w:t>.2 对投标人的纪律要求</w:t>
      </w:r>
      <w:r>
        <w:tab/>
      </w:r>
      <w:r>
        <w:fldChar w:fldCharType="begin"/>
      </w:r>
      <w:r>
        <w:instrText xml:space="preserve"> PAGEREF _Toc1947 </w:instrText>
      </w:r>
      <w:r>
        <w:fldChar w:fldCharType="separate"/>
      </w:r>
      <w:r>
        <w:t>20</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_Toc26872 </w:instrText>
      </w:r>
      <w:r>
        <w:rPr>
          <w:szCs w:val="48"/>
        </w:rPr>
        <w:fldChar w:fldCharType="separate"/>
      </w:r>
      <w:r>
        <w:rPr>
          <w:rFonts w:hint="eastAsia"/>
          <w:szCs w:val="24"/>
        </w:rPr>
        <w:t>9</w:t>
      </w:r>
      <w:r>
        <w:rPr>
          <w:szCs w:val="24"/>
        </w:rPr>
        <w:t>.3 对评标委员会成员的纪律要求</w:t>
      </w:r>
      <w:r>
        <w:tab/>
      </w:r>
      <w:r>
        <w:fldChar w:fldCharType="begin"/>
      </w:r>
      <w:r>
        <w:instrText xml:space="preserve"> PAGEREF _Toc26872 </w:instrText>
      </w:r>
      <w:r>
        <w:fldChar w:fldCharType="separate"/>
      </w:r>
      <w:r>
        <w:t>20</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_Toc1826 </w:instrText>
      </w:r>
      <w:r>
        <w:rPr>
          <w:szCs w:val="48"/>
        </w:rPr>
        <w:fldChar w:fldCharType="separate"/>
      </w:r>
      <w:r>
        <w:rPr>
          <w:rFonts w:hint="eastAsia"/>
          <w:szCs w:val="24"/>
        </w:rPr>
        <w:t>9</w:t>
      </w:r>
      <w:r>
        <w:rPr>
          <w:szCs w:val="24"/>
        </w:rPr>
        <w:t>.4 对与评标活动有关的工作人员的纪律要求</w:t>
      </w:r>
      <w:r>
        <w:tab/>
      </w:r>
      <w:r>
        <w:fldChar w:fldCharType="begin"/>
      </w:r>
      <w:r>
        <w:instrText xml:space="preserve"> PAGEREF _Toc1826 </w:instrText>
      </w:r>
      <w:r>
        <w:fldChar w:fldCharType="separate"/>
      </w:r>
      <w:r>
        <w:t>20</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_Toc18067 </w:instrText>
      </w:r>
      <w:r>
        <w:rPr>
          <w:szCs w:val="48"/>
        </w:rPr>
        <w:fldChar w:fldCharType="separate"/>
      </w:r>
      <w:r>
        <w:rPr>
          <w:rFonts w:hint="eastAsia"/>
          <w:szCs w:val="24"/>
        </w:rPr>
        <w:t>9</w:t>
      </w:r>
      <w:r>
        <w:rPr>
          <w:szCs w:val="24"/>
        </w:rPr>
        <w:t>.5 投诉</w:t>
      </w:r>
      <w:r>
        <w:tab/>
      </w:r>
      <w:r>
        <w:fldChar w:fldCharType="begin"/>
      </w:r>
      <w:r>
        <w:instrText xml:space="preserve"> PAGEREF _Toc18067 </w:instrText>
      </w:r>
      <w:r>
        <w:fldChar w:fldCharType="separate"/>
      </w:r>
      <w:r>
        <w:t>20</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_Toc22627 </w:instrText>
      </w:r>
      <w:r>
        <w:rPr>
          <w:szCs w:val="48"/>
        </w:rPr>
        <w:fldChar w:fldCharType="separate"/>
      </w:r>
      <w:r>
        <w:rPr>
          <w:rFonts w:hint="eastAsia"/>
        </w:rPr>
        <w:t>10. 招标人需要补充的其他内容</w:t>
      </w:r>
      <w:r>
        <w:tab/>
      </w:r>
      <w:r>
        <w:fldChar w:fldCharType="begin"/>
      </w:r>
      <w:r>
        <w:instrText xml:space="preserve"> PAGEREF _Toc22627 </w:instrText>
      </w:r>
      <w:r>
        <w:fldChar w:fldCharType="separate"/>
      </w:r>
      <w:r>
        <w:t>21</w:t>
      </w:r>
      <w:r>
        <w:fldChar w:fldCharType="end"/>
      </w:r>
      <w:r>
        <w:rPr>
          <w:szCs w:val="48"/>
        </w:rPr>
        <w:fldChar w:fldCharType="end"/>
      </w:r>
    </w:p>
    <w:p>
      <w:pPr>
        <w:pStyle w:val="33"/>
        <w:tabs>
          <w:tab w:val="right" w:leader="dot" w:pos="9070"/>
        </w:tabs>
      </w:pPr>
      <w:r>
        <w:rPr>
          <w:szCs w:val="48"/>
        </w:rPr>
        <w:fldChar w:fldCharType="begin"/>
      </w:r>
      <w:r>
        <w:rPr>
          <w:szCs w:val="48"/>
        </w:rPr>
        <w:instrText xml:space="preserve"> HYPERLINK \l _Toc6328 </w:instrText>
      </w:r>
      <w:r>
        <w:rPr>
          <w:szCs w:val="48"/>
        </w:rPr>
        <w:fldChar w:fldCharType="separate"/>
      </w:r>
      <w:r>
        <w:rPr>
          <w:rFonts w:hint="eastAsia"/>
        </w:rPr>
        <w:t>第三章 评标办法（综合评分法）</w:t>
      </w:r>
      <w:r>
        <w:tab/>
      </w:r>
      <w:r>
        <w:fldChar w:fldCharType="begin"/>
      </w:r>
      <w:r>
        <w:instrText xml:space="preserve"> PAGEREF _Toc6328 </w:instrText>
      </w:r>
      <w:r>
        <w:fldChar w:fldCharType="separate"/>
      </w:r>
      <w:r>
        <w:t>22</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_Toc989 </w:instrText>
      </w:r>
      <w:r>
        <w:rPr>
          <w:szCs w:val="48"/>
        </w:rPr>
        <w:fldChar w:fldCharType="separate"/>
      </w:r>
      <w:r>
        <w:rPr>
          <w:rFonts w:hint="eastAsia" w:ascii="宋体" w:hAnsi="宋体" w:eastAsia="宋体"/>
          <w:szCs w:val="21"/>
        </w:rPr>
        <w:t>评标办法前附表</w:t>
      </w:r>
      <w:r>
        <w:tab/>
      </w:r>
      <w:r>
        <w:fldChar w:fldCharType="begin"/>
      </w:r>
      <w:r>
        <w:instrText xml:space="preserve"> PAGEREF _Toc989 </w:instrText>
      </w:r>
      <w:r>
        <w:fldChar w:fldCharType="separate"/>
      </w:r>
      <w:r>
        <w:t>22</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_Toc21943 </w:instrText>
      </w:r>
      <w:r>
        <w:rPr>
          <w:szCs w:val="48"/>
        </w:rPr>
        <w:fldChar w:fldCharType="separate"/>
      </w:r>
      <w:r>
        <w:rPr>
          <w:rFonts w:ascii="宋体" w:hAnsi="宋体" w:eastAsia="宋体"/>
        </w:rPr>
        <w:t>1</w:t>
      </w:r>
      <w:r>
        <w:rPr>
          <w:rFonts w:hint="eastAsia" w:ascii="宋体" w:hAnsi="宋体" w:eastAsia="宋体"/>
        </w:rPr>
        <w:t>．</w:t>
      </w:r>
      <w:r>
        <w:rPr>
          <w:rFonts w:ascii="宋体" w:hAnsi="宋体" w:eastAsia="宋体"/>
        </w:rPr>
        <w:t xml:space="preserve"> </w:t>
      </w:r>
      <w:r>
        <w:rPr>
          <w:rFonts w:hint="eastAsia" w:ascii="宋体" w:hAnsi="宋体" w:eastAsia="宋体"/>
        </w:rPr>
        <w:t>评标方法</w:t>
      </w:r>
      <w:r>
        <w:tab/>
      </w:r>
      <w:r>
        <w:fldChar w:fldCharType="begin"/>
      </w:r>
      <w:r>
        <w:instrText xml:space="preserve"> PAGEREF _Toc21943 </w:instrText>
      </w:r>
      <w:r>
        <w:fldChar w:fldCharType="separate"/>
      </w:r>
      <w:r>
        <w:t>22</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_Toc7995 </w:instrText>
      </w:r>
      <w:r>
        <w:rPr>
          <w:szCs w:val="48"/>
        </w:rPr>
        <w:fldChar w:fldCharType="separate"/>
      </w:r>
      <w:r>
        <w:rPr>
          <w:rFonts w:ascii="宋体" w:hAnsi="宋体" w:eastAsia="宋体"/>
        </w:rPr>
        <w:t>2</w:t>
      </w:r>
      <w:r>
        <w:rPr>
          <w:rFonts w:hint="eastAsia" w:ascii="宋体" w:hAnsi="宋体" w:eastAsia="宋体"/>
        </w:rPr>
        <w:t>．</w:t>
      </w:r>
      <w:r>
        <w:rPr>
          <w:rFonts w:ascii="宋体" w:hAnsi="宋体" w:eastAsia="宋体"/>
        </w:rPr>
        <w:t xml:space="preserve"> </w:t>
      </w:r>
      <w:r>
        <w:rPr>
          <w:rFonts w:hint="eastAsia" w:ascii="宋体" w:hAnsi="宋体" w:eastAsia="宋体"/>
        </w:rPr>
        <w:t>评审标准</w:t>
      </w:r>
      <w:r>
        <w:tab/>
      </w:r>
      <w:r>
        <w:fldChar w:fldCharType="begin"/>
      </w:r>
      <w:r>
        <w:instrText xml:space="preserve"> PAGEREF _Toc7995 </w:instrText>
      </w:r>
      <w:r>
        <w:fldChar w:fldCharType="separate"/>
      </w:r>
      <w:r>
        <w:t>22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_Toc23206 </w:instrText>
      </w:r>
      <w:r>
        <w:rPr>
          <w:szCs w:val="48"/>
        </w:rPr>
        <w:fldChar w:fldCharType="separate"/>
      </w:r>
      <w:r>
        <w:rPr>
          <w:szCs w:val="21"/>
        </w:rPr>
        <w:t xml:space="preserve">2.1 </w:t>
      </w:r>
      <w:r>
        <w:rPr>
          <w:rFonts w:hint="eastAsia"/>
          <w:szCs w:val="21"/>
        </w:rPr>
        <w:t>初步评审标准</w:t>
      </w:r>
      <w:r>
        <w:tab/>
      </w:r>
      <w:r>
        <w:fldChar w:fldCharType="begin"/>
      </w:r>
      <w:r>
        <w:instrText xml:space="preserve"> PAGEREF _Toc23206 </w:instrText>
      </w:r>
      <w:r>
        <w:fldChar w:fldCharType="separate"/>
      </w:r>
      <w:r>
        <w:t>22</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_Toc8436 </w:instrText>
      </w:r>
      <w:r>
        <w:rPr>
          <w:szCs w:val="48"/>
        </w:rPr>
        <w:fldChar w:fldCharType="separate"/>
      </w:r>
      <w:r>
        <w:rPr>
          <w:szCs w:val="21"/>
        </w:rPr>
        <w:t>2.2</w:t>
      </w:r>
      <w:r>
        <w:rPr>
          <w:rFonts w:hint="eastAsia"/>
          <w:szCs w:val="21"/>
        </w:rPr>
        <w:t xml:space="preserve"> 分值构成与评分标准</w:t>
      </w:r>
      <w:r>
        <w:tab/>
      </w:r>
      <w:r>
        <w:fldChar w:fldCharType="begin"/>
      </w:r>
      <w:r>
        <w:instrText xml:space="preserve"> PAGEREF _Toc8436 </w:instrText>
      </w:r>
      <w:r>
        <w:fldChar w:fldCharType="separate"/>
      </w:r>
      <w:r>
        <w:t>22</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_Toc25353 </w:instrText>
      </w:r>
      <w:r>
        <w:rPr>
          <w:szCs w:val="48"/>
        </w:rPr>
        <w:fldChar w:fldCharType="separate"/>
      </w:r>
      <w:r>
        <w:rPr>
          <w:rFonts w:ascii="宋体" w:hAnsi="宋体" w:eastAsia="宋体"/>
        </w:rPr>
        <w:t>3</w:t>
      </w:r>
      <w:r>
        <w:rPr>
          <w:rFonts w:hint="eastAsia" w:ascii="宋体" w:hAnsi="宋体" w:eastAsia="宋体"/>
        </w:rPr>
        <w:t>． 评标程序</w:t>
      </w:r>
      <w:r>
        <w:tab/>
      </w:r>
      <w:r>
        <w:fldChar w:fldCharType="begin"/>
      </w:r>
      <w:r>
        <w:instrText xml:space="preserve"> PAGEREF _Toc25353 </w:instrText>
      </w:r>
      <w:r>
        <w:fldChar w:fldCharType="separate"/>
      </w:r>
      <w:r>
        <w:t>25</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_Toc8634 </w:instrText>
      </w:r>
      <w:r>
        <w:rPr>
          <w:szCs w:val="48"/>
        </w:rPr>
        <w:fldChar w:fldCharType="separate"/>
      </w:r>
      <w:r>
        <w:rPr>
          <w:kern w:val="0"/>
          <w:szCs w:val="21"/>
        </w:rPr>
        <w:t xml:space="preserve">3.1 </w:t>
      </w:r>
      <w:r>
        <w:rPr>
          <w:rFonts w:hint="eastAsia"/>
          <w:kern w:val="0"/>
          <w:szCs w:val="21"/>
        </w:rPr>
        <w:t>评标准备</w:t>
      </w:r>
      <w:r>
        <w:tab/>
      </w:r>
      <w:r>
        <w:fldChar w:fldCharType="begin"/>
      </w:r>
      <w:r>
        <w:instrText xml:space="preserve"> PAGEREF _Toc8634 </w:instrText>
      </w:r>
      <w:r>
        <w:fldChar w:fldCharType="separate"/>
      </w:r>
      <w:r>
        <w:t>25</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_Toc19211 </w:instrText>
      </w:r>
      <w:r>
        <w:rPr>
          <w:szCs w:val="48"/>
        </w:rPr>
        <w:fldChar w:fldCharType="separate"/>
      </w:r>
      <w:r>
        <w:rPr>
          <w:szCs w:val="21"/>
        </w:rPr>
        <w:t xml:space="preserve">3.2 </w:t>
      </w:r>
      <w:r>
        <w:rPr>
          <w:rFonts w:hint="eastAsia"/>
          <w:szCs w:val="21"/>
        </w:rPr>
        <w:t>初步评审</w:t>
      </w:r>
      <w:r>
        <w:tab/>
      </w:r>
      <w:r>
        <w:fldChar w:fldCharType="begin"/>
      </w:r>
      <w:r>
        <w:instrText xml:space="preserve"> PAGEREF _Toc19211 </w:instrText>
      </w:r>
      <w:r>
        <w:fldChar w:fldCharType="separate"/>
      </w:r>
      <w:r>
        <w:t>25</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_Toc609 </w:instrText>
      </w:r>
      <w:r>
        <w:rPr>
          <w:szCs w:val="48"/>
        </w:rPr>
        <w:fldChar w:fldCharType="separate"/>
      </w:r>
      <w:r>
        <w:rPr>
          <w:szCs w:val="21"/>
        </w:rPr>
        <w:t xml:space="preserve">3.3 </w:t>
      </w:r>
      <w:r>
        <w:rPr>
          <w:rFonts w:hint="eastAsia"/>
          <w:szCs w:val="21"/>
        </w:rPr>
        <w:t>详细评审</w:t>
      </w:r>
      <w:r>
        <w:tab/>
      </w:r>
      <w:r>
        <w:fldChar w:fldCharType="begin"/>
      </w:r>
      <w:r>
        <w:instrText xml:space="preserve"> PAGEREF _Toc609 </w:instrText>
      </w:r>
      <w:r>
        <w:fldChar w:fldCharType="separate"/>
      </w:r>
      <w:r>
        <w:t>25</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_Toc22577 </w:instrText>
      </w:r>
      <w:r>
        <w:rPr>
          <w:szCs w:val="48"/>
        </w:rPr>
        <w:fldChar w:fldCharType="separate"/>
      </w:r>
      <w:r>
        <w:rPr>
          <w:szCs w:val="21"/>
        </w:rPr>
        <w:t xml:space="preserve">3.4 </w:t>
      </w:r>
      <w:r>
        <w:rPr>
          <w:rFonts w:hint="eastAsia"/>
          <w:szCs w:val="21"/>
        </w:rPr>
        <w:t>投标文件的澄清和补正</w:t>
      </w:r>
      <w:r>
        <w:tab/>
      </w:r>
      <w:r>
        <w:fldChar w:fldCharType="begin"/>
      </w:r>
      <w:r>
        <w:instrText xml:space="preserve"> PAGEREF _Toc22577 </w:instrText>
      </w:r>
      <w:r>
        <w:fldChar w:fldCharType="separate"/>
      </w:r>
      <w:r>
        <w:t>25</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_Toc25145 </w:instrText>
      </w:r>
      <w:r>
        <w:rPr>
          <w:szCs w:val="48"/>
        </w:rPr>
        <w:fldChar w:fldCharType="separate"/>
      </w:r>
      <w:r>
        <w:rPr>
          <w:rFonts w:hint="eastAsia"/>
          <w:szCs w:val="21"/>
        </w:rPr>
        <w:t>3.5 推荐中标候选人或直接确定中标人</w:t>
      </w:r>
      <w:r>
        <w:tab/>
      </w:r>
      <w:r>
        <w:fldChar w:fldCharType="begin"/>
      </w:r>
      <w:r>
        <w:instrText xml:space="preserve"> PAGEREF _Toc25145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_Toc25834 </w:instrText>
      </w:r>
      <w:r>
        <w:rPr>
          <w:szCs w:val="48"/>
        </w:rPr>
        <w:fldChar w:fldCharType="separate"/>
      </w:r>
      <w:r>
        <w:rPr>
          <w:rFonts w:hint="eastAsia"/>
          <w:szCs w:val="21"/>
        </w:rPr>
        <w:t>3.6 提交评标报告</w:t>
      </w:r>
      <w:r>
        <w:tab/>
      </w:r>
      <w:r>
        <w:fldChar w:fldCharType="begin"/>
      </w:r>
      <w:r>
        <w:instrText xml:space="preserve"> PAGEREF _Toc25834 </w:instrText>
      </w:r>
      <w:r>
        <w:fldChar w:fldCharType="separate"/>
      </w:r>
      <w:r>
        <w:t>26</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_Toc28903 </w:instrText>
      </w:r>
      <w:r>
        <w:rPr>
          <w:szCs w:val="48"/>
        </w:rPr>
        <w:fldChar w:fldCharType="separate"/>
      </w:r>
      <w:r>
        <w:rPr>
          <w:rFonts w:hint="eastAsia" w:ascii="宋体" w:hAnsi="宋体" w:eastAsia="宋体"/>
        </w:rPr>
        <w:t>4． 通用评标规则</w:t>
      </w:r>
      <w:r>
        <w:tab/>
      </w:r>
      <w:r>
        <w:fldChar w:fldCharType="begin"/>
      </w:r>
      <w:r>
        <w:instrText xml:space="preserve"> PAGEREF _Toc28903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_Toc28019 </w:instrText>
      </w:r>
      <w:r>
        <w:rPr>
          <w:szCs w:val="48"/>
        </w:rPr>
        <w:fldChar w:fldCharType="separate"/>
      </w:r>
      <w:r>
        <w:rPr>
          <w:rFonts w:hint="eastAsia"/>
          <w:szCs w:val="21"/>
        </w:rPr>
        <w:t>4.1 评标程序</w:t>
      </w:r>
      <w:r>
        <w:tab/>
      </w:r>
      <w:r>
        <w:fldChar w:fldCharType="begin"/>
      </w:r>
      <w:r>
        <w:instrText xml:space="preserve"> PAGEREF _Toc28019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_Toc16440 </w:instrText>
      </w:r>
      <w:r>
        <w:rPr>
          <w:szCs w:val="48"/>
        </w:rPr>
        <w:fldChar w:fldCharType="separate"/>
      </w:r>
      <w:r>
        <w:rPr>
          <w:rFonts w:hint="eastAsia"/>
          <w:szCs w:val="21"/>
        </w:rPr>
        <w:t>4.2不规范标书</w:t>
      </w:r>
      <w:r>
        <w:tab/>
      </w:r>
      <w:r>
        <w:fldChar w:fldCharType="begin"/>
      </w:r>
      <w:r>
        <w:instrText xml:space="preserve"> PAGEREF _Toc16440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_Toc12505 </w:instrText>
      </w:r>
      <w:r>
        <w:rPr>
          <w:szCs w:val="48"/>
        </w:rPr>
        <w:fldChar w:fldCharType="separate"/>
      </w:r>
      <w:r>
        <w:rPr>
          <w:rFonts w:hint="eastAsia"/>
          <w:szCs w:val="21"/>
        </w:rPr>
        <w:t>4.3计价文件评审规定</w:t>
      </w:r>
      <w:r>
        <w:tab/>
      </w:r>
      <w:r>
        <w:fldChar w:fldCharType="begin"/>
      </w:r>
      <w:r>
        <w:instrText xml:space="preserve"> PAGEREF _Toc12505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_Toc7575 </w:instrText>
      </w:r>
      <w:r>
        <w:rPr>
          <w:szCs w:val="48"/>
        </w:rPr>
        <w:fldChar w:fldCharType="separate"/>
      </w:r>
      <w:r>
        <w:rPr>
          <w:rFonts w:hint="eastAsia"/>
          <w:szCs w:val="21"/>
        </w:rPr>
        <w:t>4.4打分</w:t>
      </w:r>
      <w:r>
        <w:tab/>
      </w:r>
      <w:r>
        <w:fldChar w:fldCharType="begin"/>
      </w:r>
      <w:r>
        <w:instrText xml:space="preserve"> PAGEREF _Toc7575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_Toc28457 </w:instrText>
      </w:r>
      <w:r>
        <w:rPr>
          <w:szCs w:val="48"/>
        </w:rPr>
        <w:fldChar w:fldCharType="separate"/>
      </w:r>
      <w:r>
        <w:rPr>
          <w:rFonts w:hint="eastAsia"/>
          <w:szCs w:val="21"/>
        </w:rPr>
        <w:t>4.5争议处理</w:t>
      </w:r>
      <w:r>
        <w:tab/>
      </w:r>
      <w:r>
        <w:fldChar w:fldCharType="begin"/>
      </w:r>
      <w:r>
        <w:instrText xml:space="preserve"> PAGEREF _Toc28457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_Toc30718 </w:instrText>
      </w:r>
      <w:r>
        <w:rPr>
          <w:szCs w:val="48"/>
        </w:rPr>
        <w:fldChar w:fldCharType="separate"/>
      </w:r>
      <w:r>
        <w:rPr>
          <w:rFonts w:hint="eastAsia"/>
          <w:szCs w:val="21"/>
        </w:rPr>
        <w:t>4.6违法违纪行为</w:t>
      </w:r>
      <w:r>
        <w:tab/>
      </w:r>
      <w:r>
        <w:fldChar w:fldCharType="begin"/>
      </w:r>
      <w:r>
        <w:instrText xml:space="preserve"> PAGEREF _Toc30718 </w:instrText>
      </w:r>
      <w:r>
        <w:fldChar w:fldCharType="separate"/>
      </w:r>
      <w:r>
        <w:t>26</w:t>
      </w:r>
      <w:r>
        <w:fldChar w:fldCharType="end"/>
      </w:r>
      <w:r>
        <w:rPr>
          <w:szCs w:val="48"/>
        </w:rPr>
        <w:fldChar w:fldCharType="end"/>
      </w:r>
    </w:p>
    <w:p>
      <w:pPr>
        <w:pStyle w:val="25"/>
        <w:tabs>
          <w:tab w:val="right" w:leader="dot" w:pos="9070"/>
        </w:tabs>
      </w:pPr>
      <w:r>
        <w:rPr>
          <w:szCs w:val="48"/>
        </w:rPr>
        <w:fldChar w:fldCharType="begin"/>
      </w:r>
      <w:r>
        <w:rPr>
          <w:szCs w:val="48"/>
        </w:rPr>
        <w:instrText xml:space="preserve"> HYPERLINK \l _Toc22032 </w:instrText>
      </w:r>
      <w:r>
        <w:rPr>
          <w:szCs w:val="48"/>
        </w:rPr>
        <w:fldChar w:fldCharType="separate"/>
      </w:r>
      <w:r>
        <w:rPr>
          <w:rFonts w:hint="eastAsia"/>
          <w:szCs w:val="21"/>
        </w:rPr>
        <w:t>4.7其它</w:t>
      </w:r>
      <w:r>
        <w:tab/>
      </w:r>
      <w:r>
        <w:fldChar w:fldCharType="begin"/>
      </w:r>
      <w:r>
        <w:instrText xml:space="preserve"> PAGEREF _Toc22032 </w:instrText>
      </w:r>
      <w:r>
        <w:fldChar w:fldCharType="separate"/>
      </w:r>
      <w:r>
        <w:t>26</w:t>
      </w:r>
      <w:r>
        <w:fldChar w:fldCharType="end"/>
      </w:r>
      <w:r>
        <w:rPr>
          <w:szCs w:val="48"/>
        </w:rPr>
        <w:fldChar w:fldCharType="end"/>
      </w:r>
    </w:p>
    <w:p>
      <w:pPr>
        <w:pStyle w:val="33"/>
        <w:tabs>
          <w:tab w:val="right" w:leader="dot" w:pos="9070"/>
        </w:tabs>
      </w:pPr>
      <w:r>
        <w:rPr>
          <w:szCs w:val="48"/>
        </w:rPr>
        <w:fldChar w:fldCharType="begin"/>
      </w:r>
      <w:r>
        <w:rPr>
          <w:szCs w:val="48"/>
        </w:rPr>
        <w:instrText xml:space="preserve"> HYPERLINK \l _Toc16025 </w:instrText>
      </w:r>
      <w:r>
        <w:rPr>
          <w:szCs w:val="48"/>
        </w:rPr>
        <w:fldChar w:fldCharType="separate"/>
      </w:r>
      <w:r>
        <w:rPr>
          <w:rFonts w:hint="eastAsia"/>
        </w:rPr>
        <w:t>第四章 合同条款及格式</w:t>
      </w:r>
      <w:r>
        <w:tab/>
      </w:r>
      <w:r>
        <w:fldChar w:fldCharType="begin"/>
      </w:r>
      <w:r>
        <w:instrText xml:space="preserve"> PAGEREF _Toc16025 </w:instrText>
      </w:r>
      <w:r>
        <w:fldChar w:fldCharType="separate"/>
      </w:r>
      <w:r>
        <w:t>28</w:t>
      </w:r>
      <w:r>
        <w:fldChar w:fldCharType="end"/>
      </w:r>
      <w:r>
        <w:rPr>
          <w:szCs w:val="48"/>
        </w:rPr>
        <w:fldChar w:fldCharType="end"/>
      </w:r>
    </w:p>
    <w:p>
      <w:pPr>
        <w:pStyle w:val="33"/>
        <w:tabs>
          <w:tab w:val="right" w:leader="dot" w:pos="9070"/>
        </w:tabs>
      </w:pPr>
      <w:r>
        <w:rPr>
          <w:szCs w:val="48"/>
        </w:rPr>
        <w:fldChar w:fldCharType="begin"/>
      </w:r>
      <w:r>
        <w:rPr>
          <w:szCs w:val="48"/>
        </w:rPr>
        <w:instrText xml:space="preserve"> HYPERLINK \l _Toc30577 </w:instrText>
      </w:r>
      <w:r>
        <w:rPr>
          <w:szCs w:val="48"/>
        </w:rPr>
        <w:fldChar w:fldCharType="separate"/>
      </w:r>
      <w:r>
        <w:rPr>
          <w:rFonts w:hint="eastAsia"/>
        </w:rPr>
        <w:t>第五章 招标需求</w:t>
      </w:r>
      <w:r>
        <w:tab/>
      </w:r>
      <w:r>
        <w:fldChar w:fldCharType="begin"/>
      </w:r>
      <w:r>
        <w:instrText xml:space="preserve"> PAGEREF _Toc30577 </w:instrText>
      </w:r>
      <w:r>
        <w:fldChar w:fldCharType="separate"/>
      </w:r>
      <w:r>
        <w:t>36</w:t>
      </w:r>
      <w:r>
        <w:fldChar w:fldCharType="end"/>
      </w:r>
      <w:r>
        <w:rPr>
          <w:szCs w:val="48"/>
        </w:rPr>
        <w:fldChar w:fldCharType="end"/>
      </w:r>
    </w:p>
    <w:p>
      <w:pPr>
        <w:pStyle w:val="33"/>
        <w:tabs>
          <w:tab w:val="right" w:leader="dot" w:pos="9070"/>
        </w:tabs>
      </w:pPr>
      <w:r>
        <w:rPr>
          <w:szCs w:val="48"/>
        </w:rPr>
        <w:fldChar w:fldCharType="begin"/>
      </w:r>
      <w:r>
        <w:rPr>
          <w:szCs w:val="48"/>
        </w:rPr>
        <w:instrText xml:space="preserve"> HYPERLINK \l _Toc17792 </w:instrText>
      </w:r>
      <w:r>
        <w:rPr>
          <w:szCs w:val="48"/>
        </w:rPr>
        <w:fldChar w:fldCharType="separate"/>
      </w:r>
      <w:r>
        <w:rPr>
          <w:rFonts w:hint="eastAsia"/>
        </w:rPr>
        <w:t>第六章 投标文件格式</w:t>
      </w:r>
      <w:r>
        <w:tab/>
      </w:r>
      <w:r>
        <w:fldChar w:fldCharType="begin"/>
      </w:r>
      <w:r>
        <w:instrText xml:space="preserve"> PAGEREF _Toc17792 </w:instrText>
      </w:r>
      <w:r>
        <w:fldChar w:fldCharType="separate"/>
      </w:r>
      <w:r>
        <w:t>45</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_Toc16832 </w:instrText>
      </w:r>
      <w:r>
        <w:rPr>
          <w:szCs w:val="48"/>
        </w:rPr>
        <w:fldChar w:fldCharType="separate"/>
      </w:r>
      <w:r>
        <w:rPr>
          <w:rFonts w:hint="eastAsia" w:ascii="宋体" w:hAnsi="宋体" w:eastAsia="宋体"/>
        </w:rPr>
        <w:t>封面</w:t>
      </w:r>
      <w:r>
        <w:tab/>
      </w:r>
      <w:r>
        <w:fldChar w:fldCharType="begin"/>
      </w:r>
      <w:r>
        <w:instrText xml:space="preserve"> PAGEREF _Toc16832 </w:instrText>
      </w:r>
      <w:r>
        <w:fldChar w:fldCharType="separate"/>
      </w:r>
      <w:r>
        <w:t>45</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_Toc26921 </w:instrText>
      </w:r>
      <w:r>
        <w:rPr>
          <w:szCs w:val="48"/>
        </w:rPr>
        <w:fldChar w:fldCharType="separate"/>
      </w:r>
      <w:r>
        <w:rPr>
          <w:rFonts w:hint="eastAsia"/>
        </w:rPr>
        <w:t>1.投标函</w:t>
      </w:r>
      <w:r>
        <w:tab/>
      </w:r>
      <w:r>
        <w:fldChar w:fldCharType="begin"/>
      </w:r>
      <w:r>
        <w:instrText xml:space="preserve"> PAGEREF _Toc26921 </w:instrText>
      </w:r>
      <w:r>
        <w:fldChar w:fldCharType="separate"/>
      </w:r>
      <w:r>
        <w:t>46</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_Toc28707 </w:instrText>
      </w:r>
      <w:r>
        <w:rPr>
          <w:szCs w:val="48"/>
        </w:rPr>
        <w:fldChar w:fldCharType="separate"/>
      </w:r>
      <w:r>
        <w:rPr>
          <w:rFonts w:hint="eastAsia"/>
        </w:rPr>
        <w:t>2.投标报价汇总表</w:t>
      </w:r>
      <w:r>
        <w:tab/>
      </w:r>
      <w:r>
        <w:fldChar w:fldCharType="begin"/>
      </w:r>
      <w:r>
        <w:instrText xml:space="preserve"> PAGEREF _Toc28707 </w:instrText>
      </w:r>
      <w:r>
        <w:fldChar w:fldCharType="separate"/>
      </w:r>
      <w:r>
        <w:t>47</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_Toc11908 </w:instrText>
      </w:r>
      <w:r>
        <w:rPr>
          <w:szCs w:val="48"/>
        </w:rPr>
        <w:fldChar w:fldCharType="separate"/>
      </w:r>
      <w:r>
        <w:rPr>
          <w:rFonts w:hint="eastAsia"/>
        </w:rPr>
        <w:t>3.商务及技术条款偏离表</w:t>
      </w:r>
      <w:r>
        <w:tab/>
      </w:r>
      <w:r>
        <w:fldChar w:fldCharType="begin"/>
      </w:r>
      <w:r>
        <w:instrText xml:space="preserve"> PAGEREF _Toc11908 </w:instrText>
      </w:r>
      <w:r>
        <w:fldChar w:fldCharType="separate"/>
      </w:r>
      <w:r>
        <w:t>49</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_Toc22694 </w:instrText>
      </w:r>
      <w:r>
        <w:rPr>
          <w:szCs w:val="48"/>
        </w:rPr>
        <w:fldChar w:fldCharType="separate"/>
      </w:r>
      <w:r>
        <w:rPr>
          <w:rFonts w:hint="eastAsia" w:ascii="宋体" w:hAnsi="宋体" w:eastAsia="宋体"/>
        </w:rPr>
        <w:t>4.授权委托书</w:t>
      </w:r>
      <w:r>
        <w:tab/>
      </w:r>
      <w:r>
        <w:fldChar w:fldCharType="begin"/>
      </w:r>
      <w:r>
        <w:instrText xml:space="preserve"> PAGEREF _Toc22694 </w:instrText>
      </w:r>
      <w:r>
        <w:fldChar w:fldCharType="separate"/>
      </w:r>
      <w:r>
        <w:t>50</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_Toc19680 </w:instrText>
      </w:r>
      <w:r>
        <w:rPr>
          <w:szCs w:val="48"/>
        </w:rPr>
        <w:fldChar w:fldCharType="separate"/>
      </w:r>
      <w:r>
        <w:rPr>
          <w:rFonts w:hint="eastAsia" w:ascii="宋体" w:hAnsi="宋体" w:eastAsia="宋体"/>
        </w:rPr>
        <w:t>5.法定代表人身份证明</w:t>
      </w:r>
      <w:r>
        <w:tab/>
      </w:r>
      <w:r>
        <w:fldChar w:fldCharType="begin"/>
      </w:r>
      <w:r>
        <w:instrText xml:space="preserve"> PAGEREF _Toc19680 </w:instrText>
      </w:r>
      <w:r>
        <w:fldChar w:fldCharType="separate"/>
      </w:r>
      <w:r>
        <w:t>51</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_Toc28934 </w:instrText>
      </w:r>
      <w:r>
        <w:rPr>
          <w:szCs w:val="48"/>
        </w:rPr>
        <w:fldChar w:fldCharType="separate"/>
      </w:r>
      <w:r>
        <w:rPr>
          <w:rFonts w:hint="eastAsia"/>
        </w:rPr>
        <w:t>6.技术参数响应表</w:t>
      </w:r>
      <w:r>
        <w:tab/>
      </w:r>
      <w:r>
        <w:fldChar w:fldCharType="begin"/>
      </w:r>
      <w:r>
        <w:instrText xml:space="preserve"> PAGEREF _Toc28934 </w:instrText>
      </w:r>
      <w:r>
        <w:fldChar w:fldCharType="separate"/>
      </w:r>
      <w:r>
        <w:t>52</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_Toc14342 </w:instrText>
      </w:r>
      <w:r>
        <w:rPr>
          <w:szCs w:val="48"/>
        </w:rPr>
        <w:fldChar w:fldCharType="separate"/>
      </w:r>
      <w:r>
        <w:rPr>
          <w:rFonts w:hint="eastAsia"/>
        </w:rPr>
        <w:t>7.</w:t>
      </w:r>
      <w:r>
        <w:rPr>
          <w:rFonts w:hint="eastAsia" w:ascii="宋体" w:hAnsi="宋体" w:eastAsia="宋体" w:cs="宋体"/>
        </w:rPr>
        <w:t>售后服务</w:t>
      </w:r>
      <w:r>
        <w:tab/>
      </w:r>
      <w:r>
        <w:fldChar w:fldCharType="begin"/>
      </w:r>
      <w:r>
        <w:instrText xml:space="preserve"> PAGEREF _Toc14342 </w:instrText>
      </w:r>
      <w:r>
        <w:fldChar w:fldCharType="separate"/>
      </w:r>
      <w:r>
        <w:t>53</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_Toc26335 </w:instrText>
      </w:r>
      <w:r>
        <w:rPr>
          <w:szCs w:val="48"/>
        </w:rPr>
        <w:fldChar w:fldCharType="separate"/>
      </w:r>
      <w:r>
        <w:rPr>
          <w:rFonts w:hint="eastAsia" w:ascii="宋体" w:hAnsi="宋体" w:eastAsia="宋体"/>
        </w:rPr>
        <w:t>8.投标货物的安装、调试等方案</w:t>
      </w:r>
      <w:r>
        <w:tab/>
      </w:r>
      <w:r>
        <w:fldChar w:fldCharType="begin"/>
      </w:r>
      <w:r>
        <w:instrText xml:space="preserve"> PAGEREF _Toc26335 </w:instrText>
      </w:r>
      <w:r>
        <w:fldChar w:fldCharType="separate"/>
      </w:r>
      <w:r>
        <w:t>54</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_Toc13365 </w:instrText>
      </w:r>
      <w:r>
        <w:rPr>
          <w:szCs w:val="48"/>
        </w:rPr>
        <w:fldChar w:fldCharType="separate"/>
      </w:r>
      <w:r>
        <w:rPr>
          <w:rFonts w:hint="eastAsia" w:ascii="宋体" w:hAnsi="宋体" w:eastAsia="宋体"/>
        </w:rPr>
        <w:t>9.投标货物相关检测报告、证书</w:t>
      </w:r>
      <w:r>
        <w:tab/>
      </w:r>
      <w:r>
        <w:fldChar w:fldCharType="begin"/>
      </w:r>
      <w:r>
        <w:instrText xml:space="preserve"> PAGEREF _Toc13365 </w:instrText>
      </w:r>
      <w:r>
        <w:fldChar w:fldCharType="separate"/>
      </w:r>
      <w:r>
        <w:t>55</w:t>
      </w:r>
      <w:r>
        <w:fldChar w:fldCharType="end"/>
      </w:r>
      <w:r>
        <w:rPr>
          <w:szCs w:val="48"/>
        </w:rPr>
        <w:fldChar w:fldCharType="end"/>
      </w:r>
    </w:p>
    <w:p>
      <w:pPr>
        <w:pStyle w:val="40"/>
        <w:tabs>
          <w:tab w:val="right" w:leader="dot" w:pos="9070"/>
        </w:tabs>
      </w:pPr>
      <w:r>
        <w:rPr>
          <w:szCs w:val="48"/>
        </w:rPr>
        <w:fldChar w:fldCharType="begin"/>
      </w:r>
      <w:r>
        <w:rPr>
          <w:szCs w:val="48"/>
        </w:rPr>
        <w:instrText xml:space="preserve"> HYPERLINK \l _Toc20035 </w:instrText>
      </w:r>
      <w:r>
        <w:rPr>
          <w:szCs w:val="48"/>
        </w:rPr>
        <w:fldChar w:fldCharType="separate"/>
      </w:r>
      <w:r>
        <w:rPr>
          <w:rFonts w:hint="eastAsia" w:ascii="宋体" w:hAnsi="宋体" w:eastAsia="宋体"/>
        </w:rPr>
        <w:t>10.为完成本项目投标人认为所需要的其它资料</w:t>
      </w:r>
      <w:r>
        <w:tab/>
      </w:r>
      <w:r>
        <w:fldChar w:fldCharType="begin"/>
      </w:r>
      <w:r>
        <w:instrText xml:space="preserve"> PAGEREF _Toc20035 </w:instrText>
      </w:r>
      <w:r>
        <w:fldChar w:fldCharType="separate"/>
      </w:r>
      <w:r>
        <w:t>56</w:t>
      </w:r>
      <w:r>
        <w:fldChar w:fldCharType="end"/>
      </w:r>
      <w:r>
        <w:rPr>
          <w:szCs w:val="48"/>
        </w:rPr>
        <w:fldChar w:fldCharType="end"/>
      </w:r>
    </w:p>
    <w:p>
      <w:pPr>
        <w:rPr>
          <w:szCs w:val="48"/>
        </w:rPr>
      </w:pPr>
      <w:r>
        <w:rPr>
          <w:szCs w:val="48"/>
        </w:rPr>
        <w:fldChar w:fldCharType="end"/>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229"/>
        </w:tabs>
        <w:bidi w:val="0"/>
        <w:jc w:val="left"/>
        <w:sectPr>
          <w:pgSz w:w="11906" w:h="16838"/>
          <w:pgMar w:top="1247" w:right="1418" w:bottom="1134" w:left="1418" w:header="851" w:footer="992" w:gutter="0"/>
          <w:pgNumType w:fmt="decimal"/>
          <w:cols w:space="720" w:num="1"/>
          <w:docGrid w:type="linesAndChars" w:linePitch="312" w:charSpace="0"/>
        </w:sectPr>
      </w:pPr>
      <w:r>
        <w:rPr>
          <w:rFonts w:hint="eastAsia"/>
          <w:lang w:val="en-US" w:eastAsia="zh-CN"/>
        </w:rPr>
        <w:tab/>
      </w:r>
    </w:p>
    <w:p>
      <w:pPr>
        <w:pStyle w:val="2"/>
        <w:jc w:val="center"/>
        <w:rPr>
          <w:rFonts w:hint="eastAsia" w:eastAsia="宋体"/>
          <w:lang w:eastAsia="zh-CN"/>
        </w:rPr>
      </w:pPr>
      <w:bookmarkStart w:id="4" w:name="_Toc19260"/>
      <w:bookmarkStart w:id="5" w:name="_Toc387526362"/>
      <w:bookmarkStart w:id="6" w:name="_Toc5291"/>
      <w:bookmarkStart w:id="7" w:name="_Toc9830"/>
      <w:r>
        <w:rPr>
          <w:rFonts w:hint="eastAsia"/>
        </w:rPr>
        <w:t xml:space="preserve">第一章  </w:t>
      </w:r>
      <w:r>
        <w:t>招标公告</w:t>
      </w:r>
      <w:bookmarkEnd w:id="0"/>
      <w:bookmarkEnd w:id="1"/>
      <w:bookmarkEnd w:id="2"/>
      <w:bookmarkEnd w:id="3"/>
      <w:bookmarkEnd w:id="4"/>
      <w:bookmarkEnd w:id="5"/>
      <w:bookmarkEnd w:id="6"/>
      <w:bookmarkEnd w:id="7"/>
    </w:p>
    <w:p>
      <w:pPr>
        <w:widowControl/>
        <w:snapToGrid w:val="0"/>
        <w:spacing w:before="100" w:beforeAutospacing="1" w:after="100" w:afterAutospacing="1" w:line="360" w:lineRule="auto"/>
        <w:ind w:left="210" w:leftChars="100" w:firstLine="270" w:firstLineChars="129"/>
        <w:jc w:val="left"/>
        <w:rPr>
          <w:rFonts w:ascii="宋体" w:hAnsi="宋体" w:cs="宋体"/>
          <w:kern w:val="0"/>
          <w:szCs w:val="21"/>
        </w:rPr>
      </w:pPr>
      <w:bookmarkStart w:id="8" w:name="_Toc369077550"/>
      <w:bookmarkStart w:id="9" w:name="_Toc368759511"/>
      <w:r>
        <w:rPr>
          <w:rFonts w:hint="eastAsia" w:ascii="宋体" w:hAnsi="宋体" w:cs="宋体"/>
          <w:color w:val="000000"/>
          <w:kern w:val="0"/>
          <w:szCs w:val="21"/>
        </w:rPr>
        <w:t>一、根据《中华人民共和国政府采购法》、《中华人民共和国招标投标法》等有关法律规定，</w:t>
      </w:r>
      <w:r>
        <w:rPr>
          <w:rFonts w:hint="eastAsia" w:ascii="宋体" w:hAnsi="宋体" w:cs="宋体"/>
          <w:color w:val="000000"/>
          <w:kern w:val="0"/>
          <w:szCs w:val="21"/>
          <w:u w:val="single"/>
        </w:rPr>
        <w:t>南京琼斯工程管理有限公司</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受</w:t>
      </w:r>
      <w:r>
        <w:rPr>
          <w:rFonts w:hint="eastAsia" w:ascii="宋体" w:hAnsi="宋体" w:cs="宋体"/>
          <w:color w:val="000000"/>
          <w:kern w:val="0"/>
          <w:szCs w:val="21"/>
          <w:u w:val="single"/>
        </w:rPr>
        <w:t>盐城市大丰区幸福路小学</w:t>
      </w:r>
      <w:r>
        <w:rPr>
          <w:rFonts w:hint="eastAsia" w:ascii="宋体" w:hAnsi="宋体" w:cs="宋体"/>
          <w:color w:val="000000"/>
          <w:kern w:val="0"/>
          <w:szCs w:val="21"/>
        </w:rPr>
        <w:t>委托，就下列项目进行</w:t>
      </w:r>
      <w:r>
        <w:rPr>
          <w:rFonts w:hint="eastAsia" w:ascii="宋体" w:hAnsi="宋体" w:cs="宋体"/>
          <w:color w:val="000000"/>
          <w:kern w:val="0"/>
          <w:szCs w:val="21"/>
          <w:u w:val="single"/>
        </w:rPr>
        <w:t>公开招标</w:t>
      </w:r>
      <w:r>
        <w:rPr>
          <w:rFonts w:hint="eastAsia" w:ascii="宋体" w:hAnsi="宋体" w:cs="宋体"/>
          <w:color w:val="000000"/>
          <w:kern w:val="0"/>
          <w:szCs w:val="21"/>
        </w:rPr>
        <w:t>，诚邀合格的企业前来报名参加。</w:t>
      </w:r>
    </w:p>
    <w:p>
      <w:pPr>
        <w:widowControl/>
        <w:snapToGrid w:val="0"/>
        <w:spacing w:before="100" w:beforeAutospacing="1" w:after="100" w:afterAutospacing="1" w:line="360" w:lineRule="auto"/>
        <w:ind w:firstLine="480"/>
        <w:jc w:val="left"/>
        <w:rPr>
          <w:rFonts w:ascii="宋体" w:hAnsi="宋体" w:cs="宋体"/>
          <w:b/>
          <w:kern w:val="0"/>
          <w:szCs w:val="21"/>
        </w:rPr>
      </w:pPr>
      <w:r>
        <w:rPr>
          <w:rFonts w:hint="eastAsia" w:ascii="宋体" w:hAnsi="宋体" w:cs="宋体"/>
          <w:b/>
          <w:color w:val="000000"/>
          <w:kern w:val="0"/>
          <w:szCs w:val="21"/>
        </w:rPr>
        <w:t>二、项目概况</w:t>
      </w:r>
    </w:p>
    <w:p>
      <w:pPr>
        <w:widowControl/>
        <w:snapToGrid w:val="0"/>
        <w:spacing w:before="100" w:beforeAutospacing="1" w:after="100" w:afterAutospacing="1" w:line="360" w:lineRule="auto"/>
        <w:ind w:firstLine="480"/>
        <w:jc w:val="left"/>
        <w:rPr>
          <w:rFonts w:ascii="宋体" w:hAnsi="宋体" w:cs="宋体"/>
          <w:kern w:val="0"/>
          <w:szCs w:val="21"/>
        </w:rPr>
      </w:pPr>
      <w:r>
        <w:rPr>
          <w:rFonts w:hint="eastAsia" w:ascii="宋体" w:hAnsi="宋体" w:cs="宋体"/>
          <w:color w:val="000000"/>
          <w:kern w:val="0"/>
          <w:szCs w:val="21"/>
        </w:rPr>
        <w:t>（1）项目名称：</w:t>
      </w:r>
      <w:r>
        <w:rPr>
          <w:rFonts w:hint="eastAsia" w:ascii="宋体" w:hAnsi="宋体" w:cs="宋体"/>
          <w:color w:val="000000"/>
          <w:kern w:val="0"/>
          <w:szCs w:val="21"/>
          <w:u w:val="single"/>
        </w:rPr>
        <w:t>盐城市大丰区幸福路小学校园监控系统设备采购安装及伴随服务项目</w:t>
      </w:r>
    </w:p>
    <w:p>
      <w:pPr>
        <w:widowControl/>
        <w:snapToGrid w:val="0"/>
        <w:spacing w:before="100" w:beforeAutospacing="1" w:after="100" w:afterAutospacing="1" w:line="360" w:lineRule="auto"/>
        <w:ind w:firstLine="480"/>
        <w:jc w:val="left"/>
        <w:rPr>
          <w:rFonts w:hint="default" w:ascii="宋体" w:hAnsi="宋体" w:eastAsia="宋体" w:cs="宋体"/>
          <w:kern w:val="0"/>
          <w:szCs w:val="21"/>
          <w:lang w:val="en-US" w:eastAsia="zh-CN"/>
        </w:rPr>
      </w:pPr>
      <w:r>
        <w:rPr>
          <w:rFonts w:hint="eastAsia" w:ascii="宋体" w:hAnsi="宋体" w:cs="宋体"/>
          <w:color w:val="000000"/>
          <w:kern w:val="0"/>
          <w:szCs w:val="21"/>
        </w:rPr>
        <w:t>（2）项目编号：</w:t>
      </w:r>
      <w:r>
        <w:rPr>
          <w:rFonts w:hint="eastAsia" w:ascii="宋体" w:hAnsi="宋体" w:cs="宋体"/>
          <w:color w:val="000000"/>
          <w:kern w:val="0"/>
          <w:szCs w:val="21"/>
          <w:highlight w:val="none"/>
          <w:u w:val="single"/>
        </w:rPr>
        <w:t>DFCG20190095</w:t>
      </w:r>
      <w:r>
        <w:rPr>
          <w:rFonts w:hint="eastAsia" w:ascii="宋体" w:hAnsi="宋体" w:cs="宋体"/>
          <w:color w:val="000000"/>
          <w:kern w:val="0"/>
          <w:szCs w:val="21"/>
          <w:highlight w:val="none"/>
          <w:u w:val="single"/>
          <w:lang w:val="en-US" w:eastAsia="zh-CN"/>
        </w:rPr>
        <w:t>-1</w:t>
      </w:r>
    </w:p>
    <w:p>
      <w:pPr>
        <w:widowControl/>
        <w:snapToGrid w:val="0"/>
        <w:spacing w:before="100" w:beforeAutospacing="1" w:after="100" w:afterAutospacing="1" w:line="360" w:lineRule="auto"/>
        <w:ind w:firstLine="482"/>
        <w:jc w:val="left"/>
        <w:rPr>
          <w:rFonts w:ascii="宋体" w:hAnsi="宋体" w:cs="宋体"/>
          <w:kern w:val="0"/>
          <w:szCs w:val="21"/>
        </w:rPr>
      </w:pPr>
      <w:r>
        <w:rPr>
          <w:rFonts w:hint="eastAsia" w:ascii="宋体" w:hAnsi="宋体" w:cs="宋体"/>
          <w:color w:val="000000"/>
          <w:kern w:val="0"/>
          <w:szCs w:val="21"/>
        </w:rPr>
        <w:t>（3）招标方式：</w:t>
      </w:r>
      <w:r>
        <w:rPr>
          <w:rFonts w:hint="eastAsia" w:ascii="宋体" w:hAnsi="宋体" w:cs="宋体"/>
          <w:color w:val="000000"/>
          <w:kern w:val="0"/>
          <w:szCs w:val="21"/>
          <w:u w:val="single"/>
        </w:rPr>
        <w:t>公开招标</w:t>
      </w:r>
    </w:p>
    <w:p>
      <w:pPr>
        <w:widowControl/>
        <w:snapToGrid w:val="0"/>
        <w:spacing w:before="100" w:beforeAutospacing="1" w:after="100" w:afterAutospacing="1" w:line="360" w:lineRule="auto"/>
        <w:ind w:firstLine="482"/>
        <w:jc w:val="left"/>
        <w:rPr>
          <w:rFonts w:ascii="宋体" w:hAnsi="宋体" w:cs="宋体"/>
          <w:kern w:val="0"/>
          <w:szCs w:val="21"/>
        </w:rPr>
      </w:pPr>
      <w:r>
        <w:rPr>
          <w:rFonts w:hint="eastAsia" w:ascii="宋体" w:hAnsi="宋体" w:cs="宋体"/>
          <w:color w:val="000000"/>
          <w:kern w:val="0"/>
          <w:szCs w:val="21"/>
        </w:rPr>
        <w:t>（4）采购内容：</w:t>
      </w:r>
      <w:r>
        <w:rPr>
          <w:rFonts w:hint="eastAsia" w:ascii="宋体" w:hAnsi="宋体" w:cs="宋体"/>
          <w:color w:val="000000"/>
          <w:kern w:val="0"/>
          <w:szCs w:val="21"/>
          <w:u w:val="single"/>
        </w:rPr>
        <w:t>校园</w:t>
      </w:r>
      <w:r>
        <w:rPr>
          <w:rFonts w:hint="eastAsia" w:ascii="宋体" w:hAnsi="宋体" w:cs="宋体"/>
          <w:color w:val="000000"/>
          <w:kern w:val="0"/>
          <w:szCs w:val="21"/>
          <w:u w:val="single"/>
          <w:lang w:val="en-US" w:eastAsia="zh-CN"/>
        </w:rPr>
        <w:t>视频</w:t>
      </w:r>
      <w:r>
        <w:rPr>
          <w:rFonts w:hint="eastAsia" w:ascii="宋体" w:hAnsi="宋体" w:cs="宋体"/>
          <w:color w:val="000000"/>
          <w:kern w:val="0"/>
          <w:szCs w:val="21"/>
          <w:u w:val="single"/>
        </w:rPr>
        <w:t>监控系统设备采购（主要包括设备硬件及系统软件采购、安装、集成调试、运输保险、检测取得运行合格证、试运行直至竣工验收合格，还包括提供技术资料、技术服务、售前售后服务、维修保养、业务培训、系统升级等伴随服务等，具体以招标人提供的货物清单及技术需求书为准）。</w:t>
      </w:r>
    </w:p>
    <w:p>
      <w:pPr>
        <w:widowControl/>
        <w:snapToGrid w:val="0"/>
        <w:spacing w:before="100" w:beforeAutospacing="1" w:after="100" w:afterAutospacing="1" w:line="360" w:lineRule="auto"/>
        <w:ind w:firstLine="482"/>
        <w:jc w:val="left"/>
        <w:rPr>
          <w:rFonts w:ascii="宋体" w:hAnsi="宋体" w:cs="宋体"/>
          <w:kern w:val="0"/>
          <w:szCs w:val="21"/>
        </w:rPr>
      </w:pPr>
      <w:r>
        <w:rPr>
          <w:rFonts w:hint="eastAsia" w:ascii="宋体" w:hAnsi="宋体" w:cs="宋体"/>
          <w:color w:val="000000"/>
          <w:kern w:val="0"/>
          <w:szCs w:val="21"/>
        </w:rPr>
        <w:t>（5）资金来源：</w:t>
      </w:r>
      <w:r>
        <w:rPr>
          <w:rFonts w:hint="eastAsia" w:ascii="宋体" w:hAnsi="宋体" w:cs="宋体"/>
          <w:color w:val="000000"/>
          <w:kern w:val="0"/>
          <w:szCs w:val="21"/>
          <w:u w:val="single"/>
        </w:rPr>
        <w:t xml:space="preserve"> 财政性资金 </w:t>
      </w:r>
    </w:p>
    <w:p>
      <w:pPr>
        <w:widowControl/>
        <w:snapToGrid w:val="0"/>
        <w:spacing w:before="100" w:beforeAutospacing="1" w:after="100" w:afterAutospacing="1" w:line="360" w:lineRule="auto"/>
        <w:ind w:firstLine="480"/>
        <w:jc w:val="left"/>
        <w:rPr>
          <w:rFonts w:ascii="宋体" w:hAnsi="宋体" w:cs="宋体"/>
          <w:kern w:val="0"/>
          <w:szCs w:val="21"/>
        </w:rPr>
      </w:pPr>
      <w:r>
        <w:rPr>
          <w:rFonts w:hint="eastAsia" w:ascii="宋体" w:hAnsi="宋体" w:cs="宋体"/>
          <w:color w:val="000000"/>
          <w:kern w:val="0"/>
          <w:szCs w:val="21"/>
        </w:rPr>
        <w:t>（6）</w:t>
      </w:r>
      <w:r>
        <w:rPr>
          <w:rFonts w:hint="eastAsia" w:ascii="宋体" w:hAnsi="宋体" w:cs="宋体"/>
          <w:color w:val="000000"/>
          <w:kern w:val="0"/>
          <w:szCs w:val="21"/>
          <w:lang w:val="en-US" w:eastAsia="zh-CN"/>
        </w:rPr>
        <w:t>最高限价</w:t>
      </w:r>
      <w:r>
        <w:rPr>
          <w:rFonts w:hint="eastAsia" w:ascii="宋体" w:hAnsi="宋体" w:cs="宋体"/>
          <w:color w:val="000000"/>
          <w:kern w:val="0"/>
          <w:szCs w:val="21"/>
        </w:rPr>
        <w:t>：</w:t>
      </w:r>
      <w:r>
        <w:rPr>
          <w:rFonts w:hint="eastAsia" w:ascii="宋体" w:hAnsi="宋体" w:cs="宋体"/>
          <w:color w:val="000000"/>
          <w:kern w:val="0"/>
          <w:szCs w:val="21"/>
          <w:u w:val="single"/>
        </w:rPr>
        <w:t xml:space="preserve">  24.99 万元  </w:t>
      </w:r>
    </w:p>
    <w:p>
      <w:pPr>
        <w:widowControl/>
        <w:snapToGrid w:val="0"/>
        <w:spacing w:before="100" w:beforeAutospacing="1" w:after="100" w:afterAutospacing="1" w:line="360" w:lineRule="auto"/>
        <w:ind w:firstLine="480"/>
        <w:jc w:val="left"/>
        <w:rPr>
          <w:rFonts w:ascii="宋体" w:hAnsi="宋体" w:cs="宋体"/>
          <w:color w:val="000000"/>
          <w:kern w:val="0"/>
          <w:szCs w:val="21"/>
          <w:u w:val="single"/>
        </w:rPr>
      </w:pPr>
      <w:r>
        <w:rPr>
          <w:rFonts w:hint="eastAsia" w:ascii="宋体" w:hAnsi="宋体" w:cs="宋体"/>
          <w:color w:val="000000"/>
          <w:kern w:val="0"/>
          <w:szCs w:val="21"/>
        </w:rPr>
        <w:t>（7）供货期限要求:</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合</w:t>
      </w:r>
      <w:r>
        <w:rPr>
          <w:rFonts w:hint="eastAsia" w:ascii="宋体" w:hAnsi="宋体" w:cs="宋体"/>
          <w:color w:val="000000"/>
          <w:kern w:val="0"/>
          <w:szCs w:val="21"/>
          <w:u w:val="single"/>
        </w:rPr>
        <w:t>同签订后45日历天内完成所有设备的供货、安装、调试并经验收合格。</w:t>
      </w:r>
    </w:p>
    <w:p>
      <w:pPr>
        <w:widowControl/>
        <w:snapToGrid w:val="0"/>
        <w:spacing w:before="100" w:beforeAutospacing="1" w:after="100" w:afterAutospacing="1" w:line="360" w:lineRule="auto"/>
        <w:ind w:firstLine="480"/>
        <w:jc w:val="left"/>
        <w:rPr>
          <w:rFonts w:ascii="宋体" w:hAnsi="宋体" w:cs="宋体"/>
          <w:color w:val="000000"/>
          <w:kern w:val="0"/>
          <w:szCs w:val="21"/>
          <w:u w:val="single"/>
        </w:rPr>
      </w:pPr>
      <w:r>
        <w:rPr>
          <w:rFonts w:hint="eastAsia" w:ascii="宋体" w:hAnsi="宋体" w:cs="宋体"/>
          <w:color w:val="000000"/>
          <w:kern w:val="0"/>
          <w:szCs w:val="21"/>
        </w:rPr>
        <w:t>（8）质保期：三年</w:t>
      </w:r>
    </w:p>
    <w:p>
      <w:pPr>
        <w:widowControl/>
        <w:snapToGrid w:val="0"/>
        <w:spacing w:before="100" w:beforeAutospacing="1" w:after="100" w:afterAutospacing="1" w:line="360" w:lineRule="auto"/>
        <w:ind w:firstLine="480"/>
        <w:jc w:val="left"/>
        <w:rPr>
          <w:rFonts w:ascii="宋体" w:hAnsi="宋体" w:cs="宋体"/>
          <w:color w:val="000000"/>
          <w:kern w:val="0"/>
          <w:szCs w:val="21"/>
        </w:rPr>
      </w:pPr>
      <w:r>
        <w:rPr>
          <w:rFonts w:hint="eastAsia" w:ascii="宋体" w:hAnsi="宋体" w:cs="宋体"/>
          <w:b/>
          <w:color w:val="000000"/>
          <w:kern w:val="0"/>
          <w:szCs w:val="21"/>
        </w:rPr>
        <w:t>三、标段划分：</w:t>
      </w:r>
      <w:r>
        <w:rPr>
          <w:rFonts w:hint="eastAsia" w:ascii="宋体" w:hAnsi="宋体" w:cs="宋体"/>
          <w:color w:val="000000"/>
          <w:kern w:val="0"/>
          <w:szCs w:val="21"/>
        </w:rPr>
        <w:t>本招标项目共分</w:t>
      </w:r>
      <w:r>
        <w:rPr>
          <w:rFonts w:hint="eastAsia" w:ascii="宋体" w:hAnsi="宋体" w:cs="宋体"/>
          <w:color w:val="000000"/>
          <w:kern w:val="0"/>
          <w:szCs w:val="21"/>
          <w:u w:val="single"/>
        </w:rPr>
        <w:t xml:space="preserve">  1  </w:t>
      </w:r>
      <w:r>
        <w:rPr>
          <w:rFonts w:hint="eastAsia" w:ascii="宋体" w:hAnsi="宋体" w:cs="宋体"/>
          <w:color w:val="000000"/>
          <w:kern w:val="0"/>
          <w:szCs w:val="21"/>
        </w:rPr>
        <w:t>个标段，招标内容如下：</w:t>
      </w:r>
    </w:p>
    <w:tbl>
      <w:tblPr>
        <w:tblStyle w:val="48"/>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66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60" w:type="dxa"/>
            <w:vAlign w:val="center"/>
          </w:tcPr>
          <w:p>
            <w:pPr>
              <w:spacing w:line="360" w:lineRule="auto"/>
              <w:jc w:val="center"/>
              <w:rPr>
                <w:rFonts w:ascii="宋体" w:hAnsi="宋体"/>
                <w:szCs w:val="21"/>
              </w:rPr>
            </w:pPr>
            <w:r>
              <w:rPr>
                <w:rFonts w:hint="eastAsia" w:ascii="宋体" w:hAnsi="宋体"/>
                <w:szCs w:val="21"/>
              </w:rPr>
              <w:t>序号</w:t>
            </w:r>
          </w:p>
        </w:tc>
        <w:tc>
          <w:tcPr>
            <w:tcW w:w="5669" w:type="dxa"/>
            <w:vAlign w:val="center"/>
          </w:tcPr>
          <w:p>
            <w:pPr>
              <w:spacing w:line="360" w:lineRule="auto"/>
              <w:jc w:val="center"/>
              <w:rPr>
                <w:rFonts w:ascii="宋体" w:hAnsi="宋体"/>
                <w:szCs w:val="21"/>
              </w:rPr>
            </w:pPr>
            <w:r>
              <w:rPr>
                <w:rFonts w:hint="eastAsia" w:ascii="宋体" w:hAnsi="宋体"/>
                <w:szCs w:val="21"/>
              </w:rPr>
              <w:t>项目名称</w:t>
            </w:r>
          </w:p>
        </w:tc>
        <w:tc>
          <w:tcPr>
            <w:tcW w:w="2657" w:type="dxa"/>
            <w:vAlign w:val="center"/>
          </w:tcPr>
          <w:p>
            <w:pPr>
              <w:spacing w:line="360" w:lineRule="auto"/>
              <w:jc w:val="center"/>
              <w:rPr>
                <w:rFonts w:ascii="宋体" w:hAnsi="宋体"/>
                <w:szCs w:val="21"/>
              </w:rPr>
            </w:pPr>
            <w:r>
              <w:rPr>
                <w:rFonts w:hint="eastAsia" w:ascii="宋体" w:hAnsi="宋体"/>
                <w:szCs w:val="21"/>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60" w:type="dxa"/>
            <w:vAlign w:val="center"/>
          </w:tcPr>
          <w:p>
            <w:pPr>
              <w:spacing w:line="360" w:lineRule="auto"/>
              <w:jc w:val="center"/>
              <w:rPr>
                <w:rFonts w:ascii="宋体" w:hAnsi="宋体"/>
                <w:szCs w:val="21"/>
              </w:rPr>
            </w:pPr>
            <w:r>
              <w:rPr>
                <w:rFonts w:hint="eastAsia" w:ascii="宋体" w:hAnsi="宋体"/>
                <w:szCs w:val="21"/>
              </w:rPr>
              <w:t>1</w:t>
            </w:r>
          </w:p>
        </w:tc>
        <w:tc>
          <w:tcPr>
            <w:tcW w:w="5669" w:type="dxa"/>
            <w:vAlign w:val="center"/>
          </w:tcPr>
          <w:p>
            <w:pPr>
              <w:widowControl/>
              <w:snapToGrid w:val="0"/>
              <w:spacing w:before="156" w:beforeLines="50" w:after="100" w:afterAutospacing="1" w:line="360" w:lineRule="auto"/>
              <w:jc w:val="center"/>
              <w:rPr>
                <w:rFonts w:ascii="宋体" w:hAnsi="宋体" w:cs="宋体"/>
                <w:kern w:val="0"/>
                <w:szCs w:val="21"/>
              </w:rPr>
            </w:pPr>
            <w:r>
              <w:rPr>
                <w:rFonts w:hint="eastAsia" w:ascii="宋体" w:hAnsi="宋体" w:cs="宋体"/>
                <w:color w:val="000000"/>
                <w:kern w:val="0"/>
                <w:szCs w:val="21"/>
              </w:rPr>
              <w:t>盐城市大丰区幸福路小学校园监控系统设备采购安装及伴随服务项目</w:t>
            </w:r>
          </w:p>
        </w:tc>
        <w:tc>
          <w:tcPr>
            <w:tcW w:w="2657" w:type="dxa"/>
            <w:vAlign w:val="center"/>
          </w:tcPr>
          <w:p>
            <w:pPr>
              <w:spacing w:line="360" w:lineRule="auto"/>
              <w:jc w:val="center"/>
              <w:rPr>
                <w:rFonts w:ascii="宋体" w:hAnsi="宋体"/>
                <w:szCs w:val="21"/>
              </w:rPr>
            </w:pPr>
            <w:r>
              <w:rPr>
                <w:rFonts w:hint="eastAsia" w:ascii="宋体" w:hAnsi="宋体"/>
                <w:szCs w:val="21"/>
              </w:rPr>
              <w:t>24.99万元</w:t>
            </w:r>
          </w:p>
        </w:tc>
      </w:tr>
    </w:tbl>
    <w:p>
      <w:pPr>
        <w:widowControl/>
        <w:snapToGrid w:val="0"/>
        <w:spacing w:before="100" w:beforeAutospacing="1" w:after="100" w:afterAutospacing="1" w:line="360" w:lineRule="auto"/>
        <w:ind w:firstLine="472"/>
        <w:jc w:val="left"/>
        <w:rPr>
          <w:rFonts w:ascii="宋体" w:hAnsi="宋体" w:cs="宋体"/>
          <w:b/>
          <w:color w:val="000000"/>
          <w:kern w:val="0"/>
          <w:szCs w:val="21"/>
        </w:rPr>
      </w:pPr>
      <w:r>
        <w:rPr>
          <w:rFonts w:hint="eastAsia"/>
          <w:color w:val="000000"/>
          <w:szCs w:val="21"/>
          <w:shd w:val="clear" w:color="auto" w:fill="FFFFFF"/>
        </w:rPr>
        <w:t>品质要求：投标产品必须为国内外生产企业生产的技术领先、市场占有率高的产品，招标人参考品牌：详见招标文件设备技术参数及要求 ，投标人可选择相当于或高于上述品牌性能、市场占有率的品牌产品进行投标。</w:t>
      </w:r>
    </w:p>
    <w:p>
      <w:pPr>
        <w:widowControl/>
        <w:numPr>
          <w:ilvl w:val="0"/>
          <w:numId w:val="1"/>
        </w:numPr>
        <w:snapToGrid w:val="0"/>
        <w:spacing w:before="100" w:beforeAutospacing="1" w:after="100" w:afterAutospacing="1" w:line="500" w:lineRule="exact"/>
        <w:ind w:firstLine="472"/>
        <w:jc w:val="left"/>
        <w:rPr>
          <w:rFonts w:hint="eastAsia" w:ascii="宋体" w:hAnsi="宋体" w:cs="宋体"/>
          <w:b/>
          <w:color w:val="000000"/>
          <w:kern w:val="0"/>
          <w:szCs w:val="21"/>
        </w:rPr>
      </w:pPr>
      <w:r>
        <w:rPr>
          <w:rFonts w:hint="eastAsia" w:ascii="宋体" w:hAnsi="宋体" w:cs="宋体"/>
          <w:b/>
          <w:color w:val="000000"/>
          <w:kern w:val="0"/>
          <w:szCs w:val="21"/>
        </w:rPr>
        <w:t>申请人应当具备的主要资格条件及要求：</w:t>
      </w:r>
    </w:p>
    <w:p>
      <w:pPr>
        <w:widowControl/>
        <w:numPr>
          <w:ilvl w:val="0"/>
          <w:numId w:val="2"/>
        </w:numPr>
        <w:snapToGrid w:val="0"/>
        <w:spacing w:before="100" w:beforeAutospacing="1" w:after="100" w:afterAutospacing="1"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rPr>
        <w:t>投标申请人须在中国境内注册，具有独立法人资格，具有独立订立合同的能力，近三年内没有严重违约和重大质量问题</w:t>
      </w:r>
      <w:r>
        <w:rPr>
          <w:rFonts w:hint="eastAsia" w:ascii="宋体" w:hAnsi="宋体" w:cs="宋体"/>
          <w:kern w:val="0"/>
          <w:szCs w:val="21"/>
          <w:highlight w:val="none"/>
        </w:rPr>
        <w:t>，未处于被责令停业、财产被接管、冻结、破产等状态；</w:t>
      </w:r>
    </w:p>
    <w:p>
      <w:pPr>
        <w:widowControl/>
        <w:numPr>
          <w:ilvl w:val="0"/>
          <w:numId w:val="2"/>
        </w:numPr>
        <w:snapToGrid w:val="0"/>
        <w:spacing w:before="100" w:beforeAutospacing="1" w:after="100" w:afterAutospacing="1" w:line="500" w:lineRule="exact"/>
        <w:ind w:firstLine="420" w:firstLineChars="200"/>
        <w:jc w:val="left"/>
        <w:rPr>
          <w:rFonts w:ascii="宋体" w:hAnsi="宋体" w:cs="宋体"/>
          <w:kern w:val="0"/>
          <w:szCs w:val="21"/>
        </w:rPr>
      </w:pPr>
      <w:r>
        <w:rPr>
          <w:rFonts w:hint="eastAsia" w:ascii="宋体" w:hAnsi="宋体" w:cs="宋体"/>
          <w:kern w:val="0"/>
          <w:szCs w:val="21"/>
          <w:highlight w:val="none"/>
        </w:rPr>
        <w:t>投标申请人须具备上述相关产品的经营资格</w:t>
      </w:r>
      <w:r>
        <w:rPr>
          <w:rFonts w:hint="eastAsia" w:ascii="宋体" w:hAnsi="宋体" w:cs="宋体"/>
          <w:kern w:val="0"/>
          <w:szCs w:val="21"/>
          <w:highlight w:val="none"/>
          <w:lang w:eastAsia="zh-CN"/>
        </w:rPr>
        <w:t>；</w:t>
      </w:r>
    </w:p>
    <w:p>
      <w:pPr>
        <w:widowControl/>
        <w:numPr>
          <w:ilvl w:val="0"/>
          <w:numId w:val="2"/>
        </w:numPr>
        <w:snapToGrid w:val="0"/>
        <w:spacing w:before="100" w:beforeAutospacing="1" w:after="100" w:afterAutospacing="1" w:line="500" w:lineRule="exact"/>
        <w:ind w:firstLine="420" w:firstLineChars="200"/>
        <w:jc w:val="left"/>
        <w:rPr>
          <w:rFonts w:hint="eastAsia" w:ascii="宋体" w:hAnsi="宋体" w:cs="宋体"/>
          <w:kern w:val="0"/>
          <w:szCs w:val="21"/>
        </w:rPr>
      </w:pPr>
      <w:r>
        <w:rPr>
          <w:rFonts w:hint="eastAsia" w:ascii="宋体" w:hAnsi="宋体" w:cs="宋体"/>
          <w:kern w:val="0"/>
          <w:szCs w:val="21"/>
        </w:rPr>
        <w:t>投标人应保证招标人在使用该采购项目软硬件设备或其任何一部分时不受第三方提出侵犯其专利权、版权、商标权和工业设计权等知识产权的起诉。一旦出现侵权，一律由投标人承担全部责任；</w:t>
      </w:r>
    </w:p>
    <w:p>
      <w:pPr>
        <w:widowControl/>
        <w:numPr>
          <w:ilvl w:val="0"/>
          <w:numId w:val="2"/>
        </w:numPr>
        <w:snapToGrid w:val="0"/>
        <w:spacing w:before="100" w:beforeAutospacing="1" w:after="100" w:afterAutospacing="1" w:line="500" w:lineRule="exact"/>
        <w:ind w:firstLine="420" w:firstLineChars="200"/>
        <w:jc w:val="left"/>
        <w:rPr>
          <w:rFonts w:hint="eastAsia" w:ascii="宋体" w:hAnsi="宋体" w:cs="宋体"/>
          <w:kern w:val="0"/>
          <w:szCs w:val="21"/>
        </w:rPr>
      </w:pPr>
      <w:r>
        <w:rPr>
          <w:rFonts w:hint="eastAsia" w:ascii="宋体" w:hAnsi="宋体" w:cs="宋体"/>
          <w:kern w:val="0"/>
          <w:szCs w:val="21"/>
        </w:rPr>
        <w:t>投标人须具有良好的商业信誉和健全的财务会计制度，具有良好的经营业绩，有提供优质</w:t>
      </w:r>
      <w:r>
        <w:rPr>
          <w:rFonts w:hint="eastAsia" w:ascii="宋体" w:hAnsi="宋体" w:cs="宋体"/>
          <w:kern w:val="0"/>
          <w:szCs w:val="21"/>
          <w:lang w:val="en-US" w:eastAsia="zh-CN"/>
        </w:rPr>
        <w:t>售后</w:t>
      </w:r>
      <w:r>
        <w:rPr>
          <w:rFonts w:hint="eastAsia" w:ascii="宋体" w:hAnsi="宋体" w:cs="宋体"/>
          <w:kern w:val="0"/>
          <w:szCs w:val="21"/>
        </w:rPr>
        <w:t>服务的专业技术能力；</w:t>
      </w:r>
    </w:p>
    <w:p>
      <w:pPr>
        <w:widowControl/>
        <w:numPr>
          <w:ilvl w:val="0"/>
          <w:numId w:val="2"/>
        </w:numPr>
        <w:snapToGrid w:val="0"/>
        <w:spacing w:before="100" w:beforeAutospacing="1" w:after="100" w:afterAutospacing="1" w:line="500" w:lineRule="exact"/>
        <w:ind w:firstLine="420" w:firstLineChars="200"/>
        <w:jc w:val="left"/>
        <w:rPr>
          <w:rFonts w:ascii="宋体" w:hAnsi="宋体" w:cs="宋体"/>
          <w:kern w:val="0"/>
          <w:szCs w:val="21"/>
        </w:rPr>
      </w:pPr>
      <w:r>
        <w:rPr>
          <w:rFonts w:hint="eastAsia" w:ascii="宋体" w:hAnsi="宋体" w:cs="宋体"/>
          <w:kern w:val="0"/>
          <w:szCs w:val="21"/>
        </w:rPr>
        <w:t>被"信用中国"网站（www.creditchina.gov.cn）、"中国政府采购网"(www.ccgp.gov.cn)列入失信被执行人、重大税收违法案件当事人名单、政府采购严重违法失信行为记录名单的不得参加本项目</w:t>
      </w:r>
      <w:r>
        <w:rPr>
          <w:rFonts w:hint="eastAsia" w:ascii="宋体" w:hAnsi="宋体" w:cs="宋体"/>
          <w:kern w:val="0"/>
          <w:szCs w:val="21"/>
          <w:lang w:val="en-US" w:eastAsia="zh-CN"/>
        </w:rPr>
        <w:t>投标</w:t>
      </w:r>
      <w:r>
        <w:rPr>
          <w:rFonts w:hint="eastAsia" w:ascii="宋体" w:hAnsi="宋体" w:cs="宋体"/>
          <w:kern w:val="0"/>
          <w:szCs w:val="21"/>
        </w:rPr>
        <w:t>活动</w:t>
      </w:r>
      <w:r>
        <w:rPr>
          <w:rFonts w:hint="eastAsia" w:ascii="宋体" w:hAnsi="宋体" w:cs="宋体"/>
          <w:kern w:val="0"/>
          <w:szCs w:val="21"/>
          <w:lang w:eastAsia="zh-CN"/>
        </w:rPr>
        <w:t>；</w:t>
      </w:r>
    </w:p>
    <w:p>
      <w:pPr>
        <w:widowControl/>
        <w:numPr>
          <w:ilvl w:val="0"/>
          <w:numId w:val="2"/>
        </w:numPr>
        <w:snapToGrid w:val="0"/>
        <w:spacing w:before="100" w:beforeAutospacing="1" w:after="100" w:afterAutospacing="1" w:line="500" w:lineRule="exact"/>
        <w:ind w:firstLine="420" w:firstLineChars="200"/>
        <w:jc w:val="left"/>
        <w:rPr>
          <w:rFonts w:ascii="宋体" w:hAnsi="宋体" w:cs="宋体"/>
          <w:kern w:val="0"/>
          <w:szCs w:val="21"/>
        </w:rPr>
      </w:pPr>
      <w:r>
        <w:rPr>
          <w:rFonts w:hint="eastAsia" w:ascii="宋体" w:hAnsi="宋体" w:cs="宋体"/>
          <w:kern w:val="0"/>
          <w:szCs w:val="21"/>
        </w:rPr>
        <w:t>投标申请人应当满足《中华人民共和国政府采购法》第22条之规定的各项条件</w:t>
      </w:r>
      <w:r>
        <w:rPr>
          <w:rFonts w:hint="eastAsia" w:ascii="宋体" w:hAnsi="宋体" w:cs="宋体"/>
          <w:kern w:val="0"/>
          <w:szCs w:val="21"/>
          <w:lang w:eastAsia="zh-CN"/>
        </w:rPr>
        <w:t>；</w:t>
      </w:r>
    </w:p>
    <w:p>
      <w:pPr>
        <w:widowControl/>
        <w:numPr>
          <w:ilvl w:val="0"/>
          <w:numId w:val="2"/>
        </w:numPr>
        <w:snapToGrid w:val="0"/>
        <w:spacing w:before="100" w:beforeAutospacing="1" w:after="100" w:afterAutospacing="1" w:line="500" w:lineRule="exact"/>
        <w:ind w:firstLine="420" w:firstLineChars="200"/>
        <w:jc w:val="left"/>
        <w:rPr>
          <w:rFonts w:ascii="宋体" w:hAnsi="宋体" w:cs="宋体"/>
          <w:b/>
          <w:kern w:val="0"/>
          <w:szCs w:val="21"/>
        </w:rPr>
      </w:pPr>
      <w:r>
        <w:rPr>
          <w:rFonts w:hint="eastAsia" w:ascii="宋体" w:hAnsi="宋体" w:cs="宋体"/>
          <w:kern w:val="0"/>
          <w:szCs w:val="21"/>
        </w:rPr>
        <w:t>本次招标不接受联合体投标</w:t>
      </w:r>
      <w:r>
        <w:rPr>
          <w:rFonts w:hint="eastAsia" w:ascii="宋体" w:hAnsi="宋体" w:cs="宋体"/>
          <w:kern w:val="0"/>
          <w:szCs w:val="21"/>
          <w:lang w:eastAsia="zh-CN"/>
        </w:rPr>
        <w:t>；</w:t>
      </w:r>
    </w:p>
    <w:p>
      <w:pPr>
        <w:widowControl/>
        <w:numPr>
          <w:ilvl w:val="0"/>
          <w:numId w:val="2"/>
        </w:numPr>
        <w:snapToGrid w:val="0"/>
        <w:spacing w:before="100" w:beforeAutospacing="1" w:after="100" w:afterAutospacing="1" w:line="500" w:lineRule="exact"/>
        <w:ind w:firstLine="420" w:firstLineChars="200"/>
        <w:jc w:val="left"/>
        <w:rPr>
          <w:rFonts w:ascii="宋体" w:hAnsi="宋体" w:cs="宋体"/>
          <w:b/>
          <w:kern w:val="0"/>
          <w:szCs w:val="21"/>
        </w:rPr>
      </w:pPr>
      <w:r>
        <w:rPr>
          <w:rFonts w:hint="eastAsia" w:ascii="宋体" w:hAnsi="宋体" w:cs="宋体"/>
          <w:kern w:val="0"/>
          <w:szCs w:val="21"/>
        </w:rPr>
        <w:t>符合相关法律、法规规定的其他要求。</w:t>
      </w:r>
    </w:p>
    <w:p>
      <w:pPr>
        <w:widowControl/>
        <w:numPr>
          <w:ilvl w:val="0"/>
          <w:numId w:val="1"/>
        </w:numPr>
        <w:snapToGrid w:val="0"/>
        <w:spacing w:before="100" w:beforeAutospacing="1" w:after="100" w:afterAutospacing="1" w:line="500" w:lineRule="exact"/>
        <w:ind w:left="0" w:leftChars="0" w:firstLine="472" w:firstLineChars="0"/>
        <w:jc w:val="left"/>
        <w:rPr>
          <w:rFonts w:hint="eastAsia" w:ascii="宋体" w:hAnsi="宋体" w:cs="宋体"/>
          <w:b/>
          <w:color w:val="000000"/>
          <w:kern w:val="0"/>
          <w:szCs w:val="21"/>
        </w:rPr>
      </w:pPr>
      <w:r>
        <w:rPr>
          <w:rFonts w:hint="eastAsia" w:ascii="宋体" w:hAnsi="宋体" w:cs="宋体"/>
          <w:b/>
          <w:color w:val="000000"/>
          <w:kern w:val="0"/>
          <w:szCs w:val="21"/>
        </w:rPr>
        <w:t>投标保证金</w:t>
      </w:r>
    </w:p>
    <w:p>
      <w:pPr>
        <w:widowControl/>
        <w:numPr>
          <w:ilvl w:val="0"/>
          <w:numId w:val="0"/>
        </w:numPr>
        <w:snapToGrid w:val="0"/>
        <w:spacing w:before="100" w:beforeAutospacing="1" w:after="100" w:afterAutospacing="1" w:line="360" w:lineRule="auto"/>
        <w:ind w:firstLine="420" w:firstLineChars="200"/>
        <w:jc w:val="both"/>
        <w:rPr>
          <w:rFonts w:hint="eastAsia" w:ascii="宋体" w:hAnsi="宋体" w:cs="宋体"/>
          <w:b/>
          <w:bCs/>
          <w:kern w:val="0"/>
          <w:szCs w:val="21"/>
          <w:highlight w:val="none"/>
          <w:lang w:val="en-US" w:eastAsia="zh-CN"/>
        </w:rPr>
      </w:pPr>
      <w:r>
        <w:rPr>
          <w:rFonts w:hint="eastAsia" w:ascii="宋体" w:hAnsi="宋体" w:cs="宋体"/>
          <w:kern w:val="0"/>
          <w:szCs w:val="21"/>
        </w:rPr>
        <w:t>本项目投标保证金人民币：</w:t>
      </w:r>
      <w:r>
        <w:rPr>
          <w:rFonts w:hint="eastAsia" w:ascii="宋体" w:hAnsi="宋体" w:cs="宋体"/>
          <w:kern w:val="0"/>
          <w:szCs w:val="21"/>
          <w:u w:val="single"/>
          <w:lang w:val="en-US" w:eastAsia="zh-CN"/>
        </w:rPr>
        <w:t xml:space="preserve"> </w:t>
      </w:r>
      <w:r>
        <w:rPr>
          <w:rFonts w:hint="eastAsia" w:ascii="宋体" w:hAnsi="宋体" w:cs="宋体"/>
          <w:kern w:val="0"/>
          <w:szCs w:val="21"/>
          <w:u w:val="single"/>
          <w:lang w:eastAsia="zh-CN"/>
        </w:rPr>
        <w:t>贰仟肆佰</w:t>
      </w:r>
      <w:r>
        <w:rPr>
          <w:rFonts w:hint="eastAsia" w:ascii="宋体" w:hAnsi="宋体" w:cs="宋体"/>
          <w:kern w:val="0"/>
          <w:szCs w:val="21"/>
          <w:u w:val="single"/>
        </w:rPr>
        <w:t>元</w:t>
      </w:r>
      <w:r>
        <w:rPr>
          <w:rFonts w:hint="eastAsia" w:ascii="宋体" w:hAnsi="宋体" w:cs="宋体"/>
          <w:kern w:val="0"/>
          <w:szCs w:val="21"/>
          <w:u w:val="single"/>
          <w:lang w:val="en-US" w:eastAsia="zh-CN"/>
        </w:rPr>
        <w:t xml:space="preserve"> </w:t>
      </w:r>
      <w:r>
        <w:rPr>
          <w:rFonts w:hint="eastAsia" w:ascii="宋体" w:hAnsi="宋体" w:cs="宋体"/>
          <w:kern w:val="0"/>
          <w:szCs w:val="21"/>
        </w:rPr>
        <w:t>整（</w:t>
      </w:r>
      <w:r>
        <w:rPr>
          <w:rFonts w:hint="eastAsia" w:ascii="宋体" w:hAnsi="宋体" w:cs="宋体"/>
          <w:kern w:val="0"/>
          <w:szCs w:val="21"/>
          <w:u w:val="single"/>
          <w:lang w:val="en-US" w:eastAsia="zh-CN"/>
        </w:rPr>
        <w:t xml:space="preserve"> 2400.00 </w:t>
      </w:r>
      <w:r>
        <w:rPr>
          <w:rFonts w:hint="eastAsia" w:ascii="宋体" w:hAnsi="宋体" w:cs="宋体"/>
          <w:kern w:val="0"/>
          <w:szCs w:val="21"/>
        </w:rPr>
        <w:t>元），投标人必须在投标文件递交截止时间前将投标保证金从投标人本单位的基本账户上直接转（汇）至盐城市大丰区公共资源交易中心投标保证金标段子帐户</w:t>
      </w:r>
      <w:r>
        <w:rPr>
          <w:rFonts w:hint="eastAsia" w:ascii="宋体" w:hAnsi="宋体" w:cs="宋体"/>
          <w:kern w:val="0"/>
          <w:szCs w:val="21"/>
          <w:lang w:eastAsia="zh-CN"/>
        </w:rPr>
        <w:t>（</w:t>
      </w:r>
      <w:r>
        <w:rPr>
          <w:rFonts w:hint="eastAsia" w:ascii="宋体" w:hAnsi="宋体" w:cs="宋体"/>
          <w:b/>
          <w:bCs/>
          <w:kern w:val="0"/>
          <w:szCs w:val="21"/>
          <w:highlight w:val="none"/>
        </w:rPr>
        <w:t>收款单位：盐城市大丰区公共资源交易中心</w:t>
      </w:r>
      <w:r>
        <w:rPr>
          <w:rFonts w:hint="eastAsia" w:ascii="宋体" w:hAnsi="宋体" w:cs="宋体"/>
          <w:b/>
          <w:bCs/>
          <w:kern w:val="0"/>
          <w:szCs w:val="21"/>
          <w:highlight w:val="none"/>
          <w:lang w:val="en-US" w:eastAsia="zh-CN"/>
        </w:rPr>
        <w:t xml:space="preserve"> ；</w:t>
      </w:r>
      <w:r>
        <w:rPr>
          <w:rFonts w:hint="eastAsia" w:ascii="宋体" w:hAnsi="宋体" w:cs="宋体"/>
          <w:b/>
          <w:bCs/>
          <w:kern w:val="0"/>
          <w:szCs w:val="21"/>
          <w:highlight w:val="none"/>
        </w:rPr>
        <w:t>开户银行：大丰农村商业银行创业支行</w:t>
      </w:r>
      <w:r>
        <w:rPr>
          <w:rFonts w:hint="eastAsia" w:ascii="宋体" w:hAnsi="宋体" w:cs="宋体"/>
          <w:b/>
          <w:bCs/>
          <w:kern w:val="0"/>
          <w:szCs w:val="21"/>
          <w:highlight w:val="none"/>
          <w:lang w:val="en-US" w:eastAsia="zh-CN"/>
        </w:rPr>
        <w:t xml:space="preserve"> ；</w:t>
      </w:r>
      <w:r>
        <w:rPr>
          <w:rFonts w:hint="eastAsia" w:ascii="宋体" w:hAnsi="宋体" w:cs="宋体"/>
          <w:b/>
          <w:bCs/>
          <w:kern w:val="0"/>
          <w:szCs w:val="21"/>
          <w:highlight w:val="none"/>
        </w:rPr>
        <w:t>账号：</w:t>
      </w:r>
      <w:r>
        <w:rPr>
          <w:rFonts w:hint="eastAsia" w:ascii="宋体" w:hAnsi="宋体" w:cs="宋体"/>
          <w:b/>
          <w:bCs/>
          <w:kern w:val="0"/>
          <w:szCs w:val="21"/>
          <w:highlight w:val="none"/>
          <w:u w:val="single"/>
        </w:rPr>
        <w:t>3209820531010000086680</w:t>
      </w:r>
      <w:r>
        <w:rPr>
          <w:rFonts w:hint="eastAsia" w:ascii="宋体" w:hAnsi="宋体" w:cs="宋体"/>
          <w:b/>
          <w:bCs/>
          <w:kern w:val="0"/>
          <w:szCs w:val="21"/>
          <w:highlight w:val="none"/>
          <w:lang w:val="en-US" w:eastAsia="zh-CN"/>
        </w:rPr>
        <w:t>）</w:t>
      </w:r>
    </w:p>
    <w:p>
      <w:pPr>
        <w:widowControl/>
        <w:numPr>
          <w:ilvl w:val="0"/>
          <w:numId w:val="0"/>
        </w:numPr>
        <w:snapToGrid w:val="0"/>
        <w:spacing w:before="100" w:beforeAutospacing="1" w:after="100" w:afterAutospacing="1" w:line="360" w:lineRule="auto"/>
        <w:jc w:val="both"/>
        <w:rPr>
          <w:rFonts w:hint="eastAsia" w:ascii="宋体" w:hAnsi="宋体" w:cs="宋体"/>
          <w:kern w:val="0"/>
          <w:szCs w:val="21"/>
        </w:rPr>
      </w:pPr>
      <w:r>
        <w:rPr>
          <w:rFonts w:hint="eastAsia" w:ascii="宋体" w:hAnsi="宋体" w:cs="宋体"/>
          <w:kern w:val="0"/>
          <w:szCs w:val="21"/>
        </w:rPr>
        <w:t>联系电话：0515-83927046</w:t>
      </w:r>
    </w:p>
    <w:p>
      <w:pPr>
        <w:widowControl/>
        <w:numPr>
          <w:ilvl w:val="0"/>
          <w:numId w:val="0"/>
        </w:numPr>
        <w:snapToGrid w:val="0"/>
        <w:spacing w:before="100" w:beforeAutospacing="1" w:after="100" w:afterAutospacing="1" w:line="360" w:lineRule="auto"/>
        <w:ind w:firstLine="422" w:firstLineChars="200"/>
        <w:jc w:val="both"/>
        <w:rPr>
          <w:rFonts w:hint="eastAsia" w:ascii="宋体" w:hAnsi="宋体" w:cs="宋体"/>
          <w:b/>
          <w:bCs/>
          <w:kern w:val="0"/>
          <w:szCs w:val="21"/>
        </w:rPr>
      </w:pPr>
      <w:r>
        <w:rPr>
          <w:rFonts w:hint="eastAsia" w:ascii="宋体" w:hAnsi="宋体" w:cs="宋体"/>
          <w:b/>
          <w:bCs/>
          <w:kern w:val="0"/>
          <w:szCs w:val="21"/>
        </w:rPr>
        <w:t>投标保证金采用电汇方式，投标保证金汇出单位必须与投标报名单位名称完全一致。未按招标文件约定要求缴纳投标保证金，其投标文件不予接收。</w:t>
      </w:r>
    </w:p>
    <w:p>
      <w:pPr>
        <w:widowControl/>
        <w:numPr>
          <w:ilvl w:val="0"/>
          <w:numId w:val="0"/>
        </w:numPr>
        <w:snapToGrid w:val="0"/>
        <w:spacing w:before="100" w:beforeAutospacing="1" w:after="100" w:afterAutospacing="1" w:line="360" w:lineRule="auto"/>
        <w:ind w:firstLine="422" w:firstLineChars="200"/>
        <w:jc w:val="both"/>
        <w:rPr>
          <w:rFonts w:hint="eastAsia" w:ascii="宋体" w:hAnsi="宋体" w:cs="宋体"/>
          <w:b/>
          <w:bCs/>
          <w:kern w:val="0"/>
          <w:szCs w:val="21"/>
        </w:rPr>
      </w:pPr>
      <w:r>
        <w:rPr>
          <w:rFonts w:hint="eastAsia" w:ascii="宋体" w:hAnsi="宋体" w:cs="宋体"/>
          <w:b/>
          <w:bCs/>
          <w:kern w:val="0"/>
          <w:szCs w:val="21"/>
        </w:rPr>
        <w:t>特别提醒：投标人在缴纳保证金后，请至会员系统“保证金到账查看”中自行查询，选中该标段点击"查看"按钮，在弹出页面中确认付款账号和诚信库中录入的基本户开户账号是否一致(请确保基本户开户账号中没有空格)。因开标现场不再核验保证金收据，以开标现场会员系统“保证金查询”显示的信息为准。如开标现场会员系统未显示保证金已缴纳，一律视为投标保证金未按招标文件约定要求缴纳，其投标文件为无效投标文件。</w:t>
      </w:r>
    </w:p>
    <w:p>
      <w:pPr>
        <w:widowControl/>
        <w:numPr>
          <w:ilvl w:val="0"/>
          <w:numId w:val="0"/>
        </w:numPr>
        <w:snapToGrid w:val="0"/>
        <w:spacing w:before="100" w:beforeAutospacing="1" w:after="100" w:afterAutospacing="1" w:line="360" w:lineRule="auto"/>
        <w:ind w:firstLine="422" w:firstLineChars="200"/>
        <w:jc w:val="both"/>
        <w:rPr>
          <w:rFonts w:ascii="宋体" w:hAnsi="宋体" w:cs="宋体"/>
          <w:b/>
          <w:kern w:val="0"/>
          <w:szCs w:val="21"/>
        </w:rPr>
      </w:pPr>
      <w:r>
        <w:rPr>
          <w:rFonts w:hint="eastAsia" w:ascii="宋体" w:hAnsi="宋体" w:cs="宋体"/>
          <w:b/>
          <w:kern w:val="0"/>
          <w:szCs w:val="21"/>
        </w:rPr>
        <w:t>六、报名及招标文件的获取</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1、各潜在投标人（供应商）采用网上方式报名及下载招标文件，具体步骤如下：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（1）各潜在投标人（供应商）下载采购类项目网上报名操作指南（</w:t>
      </w:r>
      <w:r>
        <w:rPr>
          <w:rFonts w:hint="eastAsia" w:ascii="宋体" w:hAnsi="宋体" w:cs="宋体"/>
          <w:kern w:val="0"/>
          <w:szCs w:val="21"/>
          <w:lang w:val="en-US" w:eastAsia="zh-CN"/>
        </w:rPr>
        <w:t>网址</w:t>
      </w:r>
      <w:r>
        <w:rPr>
          <w:rFonts w:hint="eastAsia" w:ascii="宋体" w:hAnsi="宋体" w:cs="宋体"/>
          <w:kern w:val="0"/>
          <w:szCs w:val="21"/>
        </w:rPr>
        <w:t>http://ggzy.dafeng.gov.cn/dfweb/infodetail/?infoid=8a98b92b-4bd3-4d80-afcf-ddb1d664dfbf&amp;categoryNum=029）；</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（2）各潜在投标人（供应商）根据网上报名操作指南进行操作，仔细阅读采购类项目网上报名操作指南，认真掌握操作方法(请牢记登录名和密码)，确保信息准确无误，如填报错误,后果由投标单位自行承担；</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（3）各潜在投标人（供应商）在交纳招标文件工本费后，报名视为成功。若未交纳招标文件工本费，视为未报名。</w:t>
      </w:r>
    </w:p>
    <w:p>
      <w:pPr>
        <w:widowControl/>
        <w:snapToGrid w:val="0"/>
        <w:spacing w:line="360" w:lineRule="auto"/>
        <w:ind w:firstLine="480"/>
        <w:jc w:val="left"/>
        <w:rPr>
          <w:rFonts w:ascii="宋体" w:hAnsi="宋体" w:cs="宋体"/>
          <w:b/>
          <w:kern w:val="0"/>
          <w:szCs w:val="21"/>
        </w:rPr>
      </w:pPr>
      <w:r>
        <w:rPr>
          <w:rFonts w:hint="eastAsia" w:ascii="宋体" w:hAnsi="宋体" w:cs="宋体"/>
          <w:b/>
          <w:kern w:val="0"/>
          <w:szCs w:val="21"/>
        </w:rPr>
        <w:t>2、请各投标申请人于2019年</w:t>
      </w:r>
      <w:r>
        <w:rPr>
          <w:rFonts w:hint="eastAsia" w:ascii="宋体" w:hAnsi="宋体" w:cs="宋体"/>
          <w:b/>
          <w:kern w:val="0"/>
          <w:szCs w:val="21"/>
          <w:u w:val="single"/>
          <w:lang w:val="en-US" w:eastAsia="zh-CN"/>
        </w:rPr>
        <w:t xml:space="preserve"> 5 </w:t>
      </w:r>
      <w:r>
        <w:rPr>
          <w:rFonts w:hint="eastAsia" w:ascii="宋体" w:hAnsi="宋体" w:cs="宋体"/>
          <w:b/>
          <w:kern w:val="0"/>
          <w:szCs w:val="21"/>
          <w:highlight w:val="none"/>
        </w:rPr>
        <w:t>月</w:t>
      </w:r>
      <w:r>
        <w:rPr>
          <w:rFonts w:hint="eastAsia" w:ascii="宋体" w:hAnsi="宋体" w:cs="宋体"/>
          <w:b/>
          <w:kern w:val="0"/>
          <w:szCs w:val="21"/>
          <w:highlight w:val="none"/>
          <w:u w:val="single"/>
          <w:lang w:val="en-US" w:eastAsia="zh-CN"/>
        </w:rPr>
        <w:t xml:space="preserve"> 10 </w:t>
      </w:r>
      <w:r>
        <w:rPr>
          <w:rFonts w:hint="eastAsia" w:ascii="宋体" w:hAnsi="宋体" w:cs="宋体"/>
          <w:b/>
          <w:kern w:val="0"/>
          <w:szCs w:val="21"/>
          <w:highlight w:val="none"/>
        </w:rPr>
        <w:t>日</w:t>
      </w:r>
      <w:r>
        <w:rPr>
          <w:rFonts w:hint="eastAsia" w:ascii="宋体" w:hAnsi="宋体" w:cs="宋体"/>
          <w:b/>
          <w:kern w:val="0"/>
          <w:szCs w:val="21"/>
        </w:rPr>
        <w:t>至2019年</w:t>
      </w:r>
      <w:r>
        <w:rPr>
          <w:rFonts w:hint="eastAsia" w:ascii="宋体" w:hAnsi="宋体" w:cs="宋体"/>
          <w:b/>
          <w:kern w:val="0"/>
          <w:szCs w:val="21"/>
          <w:u w:val="single"/>
          <w:lang w:val="en-US" w:eastAsia="zh-CN"/>
        </w:rPr>
        <w:t xml:space="preserve"> 5 </w:t>
      </w:r>
      <w:r>
        <w:rPr>
          <w:rFonts w:hint="eastAsia" w:ascii="宋体" w:hAnsi="宋体" w:cs="宋体"/>
          <w:b/>
          <w:kern w:val="0"/>
          <w:szCs w:val="21"/>
          <w:highlight w:val="none"/>
        </w:rPr>
        <w:t>月</w:t>
      </w:r>
      <w:r>
        <w:rPr>
          <w:rFonts w:hint="eastAsia" w:ascii="宋体" w:hAnsi="宋体" w:cs="宋体"/>
          <w:b/>
          <w:kern w:val="0"/>
          <w:szCs w:val="21"/>
          <w:highlight w:val="none"/>
          <w:u w:val="single"/>
          <w:lang w:val="en-US" w:eastAsia="zh-CN"/>
        </w:rPr>
        <w:t xml:space="preserve"> 15 </w:t>
      </w:r>
      <w:r>
        <w:rPr>
          <w:rFonts w:hint="eastAsia" w:ascii="宋体" w:hAnsi="宋体" w:cs="宋体"/>
          <w:b/>
          <w:kern w:val="0"/>
          <w:szCs w:val="21"/>
          <w:highlight w:val="none"/>
        </w:rPr>
        <w:t>日</w:t>
      </w:r>
      <w:r>
        <w:rPr>
          <w:rFonts w:hint="eastAsia" w:ascii="宋体" w:hAnsi="宋体" w:cs="宋体"/>
          <w:b/>
          <w:kern w:val="0"/>
          <w:szCs w:val="21"/>
        </w:rPr>
        <w:t>进行网上报名及下载招标文件，如在规定时间内未下载招标文件，由此引起的责任自负。</w:t>
      </w:r>
    </w:p>
    <w:p>
      <w:pPr>
        <w:spacing w:line="500" w:lineRule="exact"/>
        <w:ind w:firstLine="420" w:firstLineChars="200"/>
        <w:jc w:val="left"/>
        <w:rPr>
          <w:rFonts w:ascii="宋体" w:hAnsi="宋体" w:cs="宋体"/>
          <w:kern w:val="0"/>
          <w:szCs w:val="21"/>
        </w:rPr>
      </w:pPr>
      <w:r>
        <w:rPr>
          <w:rFonts w:hint="eastAsia" w:ascii="宋体" w:hAnsi="宋体" w:cs="宋体"/>
          <w:kern w:val="0"/>
          <w:szCs w:val="21"/>
        </w:rPr>
        <w:t>七、本项目对投标申请人的资格审查采用资格后审方式，由评标委员会根据招标文件进行评定；报名时不进行报名资料的任何审查，由意向投标人自行判断是否符合投标资格。</w:t>
      </w:r>
    </w:p>
    <w:p>
      <w:pPr>
        <w:spacing w:line="500" w:lineRule="exact"/>
        <w:ind w:firstLine="422" w:firstLineChars="200"/>
        <w:jc w:val="left"/>
        <w:rPr>
          <w:rFonts w:ascii="宋体" w:hAnsi="宋体" w:cs="宋体"/>
          <w:kern w:val="0"/>
          <w:szCs w:val="21"/>
        </w:rPr>
      </w:pPr>
      <w:r>
        <w:rPr>
          <w:rFonts w:hint="eastAsia" w:ascii="宋体" w:hAnsi="宋体" w:cs="宋体"/>
          <w:b/>
          <w:bCs/>
          <w:kern w:val="0"/>
          <w:szCs w:val="21"/>
        </w:rPr>
        <w:t>八、本招标项目采用的评标方法：综合评分法。</w:t>
      </w:r>
    </w:p>
    <w:p>
      <w:pPr>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九、本招标项目招标公告发布媒介：</w:t>
      </w:r>
    </w:p>
    <w:p>
      <w:pPr>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盐城政府采购网(http://yccz.yancheng.gov.cn/col/col2383/index.html)、</w:t>
      </w:r>
    </w:p>
    <w:p>
      <w:pPr>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大丰公共资源交易平台(http://221.231.122.12/dfweb/default.aspx)</w:t>
      </w:r>
    </w:p>
    <w:p>
      <w:pPr>
        <w:spacing w:line="500" w:lineRule="exact"/>
        <w:ind w:firstLine="420" w:firstLineChars="200"/>
        <w:jc w:val="left"/>
        <w:rPr>
          <w:rFonts w:ascii="宋体" w:hAnsi="宋体" w:cs="宋体"/>
          <w:kern w:val="0"/>
          <w:szCs w:val="21"/>
        </w:rPr>
      </w:pPr>
      <w:r>
        <w:rPr>
          <w:rFonts w:hint="eastAsia" w:ascii="宋体" w:hAnsi="宋体" w:cs="宋体"/>
          <w:kern w:val="0"/>
          <w:szCs w:val="21"/>
        </w:rPr>
        <w:t>十、投标时间、开标时间和地点</w:t>
      </w:r>
    </w:p>
    <w:p>
      <w:pPr>
        <w:spacing w:line="500" w:lineRule="exact"/>
        <w:ind w:firstLine="420" w:firstLineChars="200"/>
        <w:jc w:val="left"/>
        <w:rPr>
          <w:rFonts w:ascii="宋体" w:hAnsi="宋体" w:cs="宋体"/>
          <w:kern w:val="0"/>
          <w:szCs w:val="21"/>
          <w:highlight w:val="none"/>
        </w:rPr>
      </w:pPr>
      <w:r>
        <w:rPr>
          <w:rFonts w:hint="eastAsia" w:ascii="宋体" w:hAnsi="宋体" w:cs="宋体"/>
          <w:kern w:val="0"/>
          <w:szCs w:val="21"/>
        </w:rPr>
        <w:t>1、投标时间段：2019年</w:t>
      </w:r>
      <w:r>
        <w:rPr>
          <w:rFonts w:hint="eastAsia" w:ascii="宋体" w:hAnsi="宋体" w:cs="宋体"/>
          <w:kern w:val="0"/>
          <w:szCs w:val="21"/>
          <w:u w:val="single"/>
          <w:lang w:val="en-US" w:eastAsia="zh-CN"/>
        </w:rPr>
        <w:t xml:space="preserve"> 6 </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 xml:space="preserve"> 3 </w:t>
      </w:r>
      <w:r>
        <w:rPr>
          <w:rFonts w:hint="eastAsia" w:ascii="宋体" w:hAnsi="宋体" w:cs="宋体"/>
          <w:kern w:val="0"/>
          <w:szCs w:val="21"/>
          <w:highlight w:val="none"/>
        </w:rPr>
        <w:t>日</w:t>
      </w:r>
      <w:r>
        <w:rPr>
          <w:rFonts w:hint="eastAsia" w:ascii="宋体" w:hAnsi="宋体" w:cs="宋体"/>
          <w:kern w:val="0"/>
          <w:szCs w:val="21"/>
          <w:highlight w:val="none"/>
          <w:u w:val="single"/>
          <w:lang w:val="en-US" w:eastAsia="zh-CN"/>
        </w:rPr>
        <w:t xml:space="preserve"> 15 </w:t>
      </w:r>
      <w:r>
        <w:rPr>
          <w:rFonts w:hint="eastAsia" w:ascii="宋体" w:hAnsi="宋体" w:cs="宋体"/>
          <w:kern w:val="0"/>
          <w:szCs w:val="21"/>
          <w:highlight w:val="none"/>
        </w:rPr>
        <w:t>时—</w:t>
      </w:r>
      <w:r>
        <w:rPr>
          <w:rFonts w:hint="eastAsia" w:ascii="宋体" w:hAnsi="宋体" w:cs="宋体"/>
          <w:kern w:val="0"/>
          <w:szCs w:val="21"/>
          <w:highlight w:val="none"/>
          <w:u w:val="single"/>
          <w:lang w:val="en-US" w:eastAsia="zh-CN"/>
        </w:rPr>
        <w:t xml:space="preserve"> 15 </w:t>
      </w:r>
      <w:r>
        <w:rPr>
          <w:rFonts w:hint="eastAsia" w:ascii="宋体" w:hAnsi="宋体" w:cs="宋体"/>
          <w:kern w:val="0"/>
          <w:szCs w:val="21"/>
          <w:highlight w:val="none"/>
        </w:rPr>
        <w:t>时</w:t>
      </w:r>
      <w:r>
        <w:rPr>
          <w:rFonts w:hint="eastAsia" w:ascii="宋体" w:hAnsi="宋体" w:cs="宋体"/>
          <w:kern w:val="0"/>
          <w:szCs w:val="21"/>
          <w:highlight w:val="none"/>
          <w:u w:val="single"/>
          <w:lang w:val="en-US" w:eastAsia="zh-CN"/>
        </w:rPr>
        <w:t xml:space="preserve"> 30 </w:t>
      </w:r>
      <w:r>
        <w:rPr>
          <w:rFonts w:hint="eastAsia" w:ascii="宋体" w:hAnsi="宋体" w:cs="宋体"/>
          <w:kern w:val="0"/>
          <w:szCs w:val="21"/>
          <w:highlight w:val="none"/>
        </w:rPr>
        <w:t>分</w:t>
      </w:r>
    </w:p>
    <w:p>
      <w:pPr>
        <w:spacing w:line="5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2、开标时间：2019年</w:t>
      </w:r>
      <w:r>
        <w:rPr>
          <w:rFonts w:hint="eastAsia" w:ascii="宋体" w:hAnsi="宋体" w:cs="宋体"/>
          <w:kern w:val="0"/>
          <w:szCs w:val="21"/>
          <w:highlight w:val="none"/>
          <w:u w:val="single"/>
          <w:lang w:val="en-US" w:eastAsia="zh-CN"/>
        </w:rPr>
        <w:t xml:space="preserve"> 6  </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 xml:space="preserve"> 3 </w:t>
      </w:r>
      <w:r>
        <w:rPr>
          <w:rFonts w:hint="eastAsia" w:ascii="宋体" w:hAnsi="宋体" w:cs="宋体"/>
          <w:kern w:val="0"/>
          <w:szCs w:val="21"/>
          <w:highlight w:val="none"/>
        </w:rPr>
        <w:t>日</w:t>
      </w:r>
      <w:r>
        <w:rPr>
          <w:rFonts w:hint="eastAsia" w:ascii="宋体" w:hAnsi="宋体" w:cs="宋体"/>
          <w:kern w:val="0"/>
          <w:szCs w:val="21"/>
          <w:highlight w:val="none"/>
          <w:u w:val="single"/>
          <w:lang w:val="en-US" w:eastAsia="zh-CN"/>
        </w:rPr>
        <w:t xml:space="preserve"> 15 </w:t>
      </w:r>
      <w:r>
        <w:rPr>
          <w:rFonts w:hint="eastAsia" w:ascii="宋体" w:hAnsi="宋体" w:cs="宋体"/>
          <w:kern w:val="0"/>
          <w:szCs w:val="21"/>
          <w:highlight w:val="none"/>
        </w:rPr>
        <w:t>时</w:t>
      </w:r>
      <w:r>
        <w:rPr>
          <w:rFonts w:hint="eastAsia" w:ascii="宋体" w:hAnsi="宋体" w:cs="宋体"/>
          <w:kern w:val="0"/>
          <w:szCs w:val="21"/>
          <w:highlight w:val="none"/>
          <w:u w:val="single"/>
          <w:lang w:val="en-US" w:eastAsia="zh-CN"/>
        </w:rPr>
        <w:t xml:space="preserve"> 30 </w:t>
      </w:r>
      <w:r>
        <w:rPr>
          <w:rFonts w:hint="eastAsia" w:ascii="宋体" w:hAnsi="宋体" w:cs="宋体"/>
          <w:kern w:val="0"/>
          <w:szCs w:val="21"/>
          <w:highlight w:val="none"/>
        </w:rPr>
        <w:t>分</w:t>
      </w:r>
    </w:p>
    <w:p>
      <w:pPr>
        <w:spacing w:line="500" w:lineRule="exact"/>
        <w:ind w:firstLine="420" w:firstLineChars="200"/>
        <w:jc w:val="left"/>
        <w:rPr>
          <w:rFonts w:ascii="宋体" w:hAnsi="宋体" w:cs="宋体"/>
          <w:kern w:val="0"/>
          <w:szCs w:val="21"/>
        </w:rPr>
      </w:pPr>
      <w:r>
        <w:rPr>
          <w:rFonts w:hint="eastAsia" w:ascii="宋体" w:hAnsi="宋体" w:cs="宋体"/>
          <w:kern w:val="0"/>
          <w:szCs w:val="21"/>
        </w:rPr>
        <w:t>3、投标文件提交地点：盐城市大丰区公共资源交易中心开标二室（大丰城东新区丰华国际大厦四楼,盐城市大丰区丰华路与飞达路交叉西150米）</w:t>
      </w:r>
    </w:p>
    <w:p>
      <w:pPr>
        <w:spacing w:line="500" w:lineRule="exact"/>
        <w:ind w:firstLine="420" w:firstLineChars="200"/>
        <w:jc w:val="left"/>
        <w:rPr>
          <w:rFonts w:ascii="宋体" w:hAnsi="宋体" w:cs="宋体"/>
          <w:kern w:val="0"/>
          <w:szCs w:val="21"/>
        </w:rPr>
      </w:pPr>
      <w:r>
        <w:rPr>
          <w:rFonts w:hint="eastAsia" w:ascii="宋体" w:hAnsi="宋体" w:cs="宋体"/>
          <w:kern w:val="0"/>
          <w:szCs w:val="21"/>
        </w:rPr>
        <w:t>十一、投标前请关注“大丰公共资源交易平台”的“政府采购”——“最高限价”和“答疑补充”栏目。及时了解到项目的“最高限价”和“答疑补充”等情况。</w:t>
      </w:r>
    </w:p>
    <w:p>
      <w:pPr>
        <w:spacing w:line="500" w:lineRule="exact"/>
        <w:ind w:firstLine="420" w:firstLineChars="200"/>
        <w:jc w:val="left"/>
        <w:rPr>
          <w:rFonts w:ascii="宋体" w:hAnsi="宋体" w:cs="宋体"/>
          <w:kern w:val="0"/>
          <w:szCs w:val="21"/>
        </w:rPr>
      </w:pPr>
      <w:r>
        <w:rPr>
          <w:rFonts w:hint="eastAsia" w:ascii="宋体" w:hAnsi="宋体" w:cs="宋体"/>
          <w:kern w:val="0"/>
          <w:szCs w:val="21"/>
        </w:rPr>
        <w:t>十二、联系方式</w:t>
      </w:r>
    </w:p>
    <w:p>
      <w:pPr>
        <w:spacing w:line="360" w:lineRule="auto"/>
        <w:ind w:firstLine="420" w:firstLineChars="200"/>
        <w:jc w:val="center"/>
        <w:rPr>
          <w:rFonts w:ascii="宋体" w:hAnsi="宋体" w:cs="宋体"/>
          <w:kern w:val="0"/>
          <w:szCs w:val="21"/>
        </w:rPr>
      </w:pPr>
      <w:r>
        <w:rPr>
          <w:rFonts w:hint="eastAsia" w:ascii="宋体" w:hAnsi="宋体" w:cs="宋体"/>
          <w:kern w:val="0"/>
          <w:szCs w:val="21"/>
        </w:rPr>
        <w:t>招  标  人</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招标人：盐城市大丰区幸福路小学 </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联系地址：大丰区幸福路小学 </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联系人：赵先生</w:t>
      </w:r>
      <w:r>
        <w:rPr>
          <w:rFonts w:hint="eastAsia" w:ascii="宋体" w:hAnsi="宋体" w:cs="宋体"/>
          <w:kern w:val="0"/>
          <w:szCs w:val="21"/>
          <w:lang w:val="en-US" w:eastAsia="zh-CN"/>
        </w:rPr>
        <w:t xml:space="preserve">   </w:t>
      </w:r>
      <w:r>
        <w:rPr>
          <w:rFonts w:hint="eastAsia" w:ascii="宋体" w:hAnsi="宋体" w:cs="宋体"/>
          <w:kern w:val="0"/>
          <w:szCs w:val="21"/>
        </w:rPr>
        <w:t>联系电话：13815567842</w:t>
      </w:r>
    </w:p>
    <w:p>
      <w:pPr>
        <w:spacing w:line="360" w:lineRule="auto"/>
        <w:ind w:firstLine="420" w:firstLineChars="200"/>
        <w:jc w:val="left"/>
        <w:rPr>
          <w:rFonts w:ascii="宋体" w:hAnsi="宋体" w:cs="宋体"/>
          <w:kern w:val="0"/>
          <w:szCs w:val="21"/>
        </w:rPr>
      </w:pPr>
      <w:bookmarkStart w:id="645" w:name="_GoBack"/>
      <w:bookmarkEnd w:id="645"/>
    </w:p>
    <w:p>
      <w:pPr>
        <w:spacing w:line="360" w:lineRule="auto"/>
        <w:ind w:firstLine="420" w:firstLineChars="200"/>
        <w:jc w:val="center"/>
        <w:rPr>
          <w:rFonts w:ascii="宋体" w:hAnsi="宋体" w:cs="宋体"/>
          <w:kern w:val="0"/>
          <w:szCs w:val="21"/>
        </w:rPr>
      </w:pPr>
      <w:r>
        <w:rPr>
          <w:rFonts w:hint="eastAsia" w:ascii="宋体" w:hAnsi="宋体" w:cs="宋体"/>
          <w:kern w:val="0"/>
          <w:szCs w:val="21"/>
        </w:rPr>
        <w:t>招标代理机构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招标代理：南京琼斯工程管理有限公司</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联系地址：大丰区疏港路北侧上川钢材市场2幢5</w:t>
      </w:r>
      <w:r>
        <w:rPr>
          <w:rFonts w:hint="eastAsia" w:ascii="宋体" w:hAnsi="宋体" w:cs="宋体"/>
          <w:kern w:val="0"/>
          <w:szCs w:val="21"/>
          <w:lang w:val="en-US" w:eastAsia="zh-CN"/>
        </w:rPr>
        <w:t>01室</w:t>
      </w:r>
      <w:r>
        <w:rPr>
          <w:rFonts w:hint="eastAsia" w:ascii="宋体" w:hAnsi="宋体" w:cs="宋体"/>
          <w:kern w:val="0"/>
          <w:szCs w:val="21"/>
        </w:rPr>
        <w:t xml:space="preserve"> </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联系人： 朱艳峰  联系电话：</w:t>
      </w:r>
      <w:r>
        <w:rPr>
          <w:rFonts w:hint="eastAsia" w:ascii="宋体" w:hAnsi="宋体" w:cs="宋体"/>
          <w:kern w:val="0"/>
          <w:szCs w:val="21"/>
          <w:lang w:val="en-US" w:eastAsia="zh-CN"/>
        </w:rPr>
        <w:t xml:space="preserve">0515-83283686 </w:t>
      </w:r>
      <w:r>
        <w:rPr>
          <w:rFonts w:hint="eastAsia" w:ascii="宋体" w:hAnsi="宋体" w:cs="宋体"/>
          <w:kern w:val="0"/>
          <w:szCs w:val="21"/>
        </w:rPr>
        <w:t>17300566180</w:t>
      </w: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p>
      <w:pPr>
        <w:spacing w:line="500" w:lineRule="exact"/>
        <w:ind w:firstLine="420" w:firstLineChars="200"/>
        <w:jc w:val="left"/>
        <w:rPr>
          <w:rFonts w:ascii="宋体" w:hAnsi="宋体" w:cs="宋体"/>
          <w:kern w:val="0"/>
          <w:szCs w:val="21"/>
        </w:rPr>
      </w:pPr>
    </w:p>
    <w:bookmarkEnd w:id="8"/>
    <w:bookmarkEnd w:id="9"/>
    <w:p>
      <w:pPr>
        <w:pStyle w:val="2"/>
      </w:pPr>
      <w:bookmarkStart w:id="10" w:name="_Toc368759512"/>
      <w:bookmarkStart w:id="11" w:name="_Toc1893"/>
      <w:bookmarkStart w:id="12" w:name="_Toc387526177"/>
      <w:bookmarkStart w:id="13" w:name="_Toc6770"/>
      <w:bookmarkStart w:id="14" w:name="_Toc387526373"/>
      <w:bookmarkStart w:id="15" w:name="_Toc184635069"/>
      <w:bookmarkStart w:id="16" w:name="_Toc387526281"/>
      <w:bookmarkStart w:id="17" w:name="_Toc31114"/>
      <w:bookmarkStart w:id="18" w:name="_Toc369077558"/>
      <w:bookmarkStart w:id="19" w:name="_Toc363326679"/>
      <w:r>
        <w:t>第二章  投标人须知</w:t>
      </w:r>
      <w:bookmarkEnd w:id="10"/>
      <w:bookmarkEnd w:id="11"/>
      <w:bookmarkEnd w:id="12"/>
      <w:bookmarkEnd w:id="13"/>
      <w:bookmarkEnd w:id="14"/>
      <w:bookmarkEnd w:id="15"/>
      <w:bookmarkEnd w:id="16"/>
      <w:bookmarkEnd w:id="17"/>
      <w:bookmarkEnd w:id="18"/>
      <w:bookmarkEnd w:id="19"/>
    </w:p>
    <w:p>
      <w:pPr>
        <w:pStyle w:val="159"/>
        <w:spacing w:line="240" w:lineRule="auto"/>
        <w:jc w:val="center"/>
        <w:rPr>
          <w:color w:val="auto"/>
        </w:rPr>
      </w:pPr>
      <w:bookmarkStart w:id="20" w:name="_Toc27642"/>
      <w:bookmarkStart w:id="21" w:name="_Toc387526282"/>
      <w:bookmarkStart w:id="22" w:name="_Toc387526374"/>
      <w:bookmarkStart w:id="23" w:name="_Toc387526178"/>
      <w:bookmarkStart w:id="24" w:name="_Toc369077559"/>
      <w:bookmarkStart w:id="25" w:name="_Toc16205"/>
      <w:bookmarkStart w:id="26" w:name="_Toc9502"/>
      <w:r>
        <w:rPr>
          <w:color w:val="auto"/>
        </w:rPr>
        <w:t>投标人须知前附表</w:t>
      </w:r>
      <w:bookmarkEnd w:id="20"/>
      <w:bookmarkEnd w:id="21"/>
      <w:bookmarkEnd w:id="22"/>
      <w:bookmarkEnd w:id="23"/>
      <w:bookmarkEnd w:id="24"/>
      <w:bookmarkEnd w:id="25"/>
      <w:bookmarkEnd w:id="26"/>
    </w:p>
    <w:tbl>
      <w:tblPr>
        <w:tblStyle w:val="48"/>
        <w:tblW w:w="9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72"/>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b/>
                <w:szCs w:val="21"/>
              </w:rPr>
            </w:pPr>
            <w:r>
              <w:rPr>
                <w:b/>
                <w:szCs w:val="21"/>
              </w:rPr>
              <w:t>条款号</w:t>
            </w:r>
          </w:p>
        </w:tc>
        <w:tc>
          <w:tcPr>
            <w:tcW w:w="3372" w:type="dxa"/>
            <w:vAlign w:val="center"/>
          </w:tcPr>
          <w:p>
            <w:pPr>
              <w:jc w:val="center"/>
              <w:rPr>
                <w:b/>
                <w:szCs w:val="21"/>
              </w:rPr>
            </w:pPr>
            <w:r>
              <w:rPr>
                <w:b/>
                <w:szCs w:val="21"/>
              </w:rPr>
              <w:t>条 款 名 称</w:t>
            </w:r>
          </w:p>
        </w:tc>
        <w:tc>
          <w:tcPr>
            <w:tcW w:w="5139" w:type="dxa"/>
            <w:vAlign w:val="center"/>
          </w:tcPr>
          <w:p>
            <w:pPr>
              <w:jc w:val="center"/>
              <w:rPr>
                <w:b/>
                <w:szCs w:val="21"/>
              </w:rPr>
            </w:pPr>
            <w:r>
              <w:rPr>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17" w:type="dxa"/>
            <w:vAlign w:val="center"/>
          </w:tcPr>
          <w:p>
            <w:pPr>
              <w:jc w:val="center"/>
              <w:rPr>
                <w:szCs w:val="21"/>
              </w:rPr>
            </w:pPr>
            <w:r>
              <w:rPr>
                <w:szCs w:val="21"/>
              </w:rPr>
              <w:t>1.1.2</w:t>
            </w:r>
          </w:p>
        </w:tc>
        <w:tc>
          <w:tcPr>
            <w:tcW w:w="3372" w:type="dxa"/>
            <w:vAlign w:val="center"/>
          </w:tcPr>
          <w:p>
            <w:pPr>
              <w:rPr>
                <w:szCs w:val="21"/>
              </w:rPr>
            </w:pPr>
            <w:r>
              <w:rPr>
                <w:szCs w:val="21"/>
              </w:rPr>
              <w:t>招标人</w:t>
            </w:r>
          </w:p>
        </w:tc>
        <w:tc>
          <w:tcPr>
            <w:tcW w:w="5139" w:type="dxa"/>
            <w:vAlign w:val="center"/>
          </w:tcPr>
          <w:p>
            <w:pPr>
              <w:rPr>
                <w:szCs w:val="21"/>
              </w:rPr>
            </w:pPr>
            <w:r>
              <w:rPr>
                <w:rFonts w:hint="eastAsia"/>
                <w:szCs w:val="21"/>
              </w:rPr>
              <w:t>招标人</w:t>
            </w:r>
            <w:r>
              <w:rPr>
                <w:szCs w:val="21"/>
              </w:rPr>
              <w:t>名称：</w:t>
            </w:r>
            <w:r>
              <w:rPr>
                <w:rFonts w:hint="eastAsia" w:ascii="宋体" w:hAnsi="宋体"/>
                <w:szCs w:val="21"/>
              </w:rPr>
              <w:t>盐城市大丰区幸福路小学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17" w:type="dxa"/>
            <w:vAlign w:val="center"/>
          </w:tcPr>
          <w:p>
            <w:pPr>
              <w:jc w:val="center"/>
              <w:rPr>
                <w:szCs w:val="21"/>
              </w:rPr>
            </w:pPr>
            <w:r>
              <w:rPr>
                <w:szCs w:val="21"/>
              </w:rPr>
              <w:t>1.1.3</w:t>
            </w:r>
          </w:p>
        </w:tc>
        <w:tc>
          <w:tcPr>
            <w:tcW w:w="3372" w:type="dxa"/>
            <w:vAlign w:val="center"/>
          </w:tcPr>
          <w:p>
            <w:pPr>
              <w:rPr>
                <w:szCs w:val="21"/>
              </w:rPr>
            </w:pPr>
            <w:r>
              <w:rPr>
                <w:szCs w:val="21"/>
              </w:rPr>
              <w:t>招标代理机构</w:t>
            </w:r>
          </w:p>
        </w:tc>
        <w:tc>
          <w:tcPr>
            <w:tcW w:w="5139" w:type="dxa"/>
            <w:vAlign w:val="center"/>
          </w:tcPr>
          <w:p>
            <w:pPr>
              <w:rPr>
                <w:szCs w:val="21"/>
              </w:rPr>
            </w:pPr>
            <w:r>
              <w:rPr>
                <w:szCs w:val="21"/>
              </w:rPr>
              <w:t>代理机构名称：</w:t>
            </w:r>
            <w:r>
              <w:rPr>
                <w:rFonts w:hint="eastAsia" w:ascii="宋体" w:hAnsi="宋体"/>
                <w:szCs w:val="21"/>
              </w:rPr>
              <w:t>南京琼斯工程管理有限公司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1.1.4</w:t>
            </w:r>
          </w:p>
        </w:tc>
        <w:tc>
          <w:tcPr>
            <w:tcW w:w="3372" w:type="dxa"/>
            <w:vAlign w:val="center"/>
          </w:tcPr>
          <w:p>
            <w:pPr>
              <w:rPr>
                <w:szCs w:val="21"/>
              </w:rPr>
            </w:pPr>
            <w:r>
              <w:rPr>
                <w:szCs w:val="21"/>
              </w:rPr>
              <w:t>项目名称</w:t>
            </w:r>
          </w:p>
        </w:tc>
        <w:tc>
          <w:tcPr>
            <w:tcW w:w="5139" w:type="dxa"/>
            <w:vAlign w:val="center"/>
          </w:tcPr>
          <w:p>
            <w:pPr>
              <w:rPr>
                <w:szCs w:val="21"/>
              </w:rPr>
            </w:pPr>
            <w:r>
              <w:rPr>
                <w:rFonts w:hint="eastAsia" w:ascii="宋体" w:hAnsi="宋体"/>
                <w:szCs w:val="21"/>
              </w:rPr>
              <w:t>盐城市大丰区幸福路小学校园监控系统设备采购安装及伴随服务项目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1.2.1</w:t>
            </w:r>
          </w:p>
        </w:tc>
        <w:tc>
          <w:tcPr>
            <w:tcW w:w="3372" w:type="dxa"/>
            <w:vAlign w:val="center"/>
          </w:tcPr>
          <w:p>
            <w:pPr>
              <w:rPr>
                <w:szCs w:val="21"/>
              </w:rPr>
            </w:pPr>
            <w:r>
              <w:rPr>
                <w:szCs w:val="21"/>
              </w:rPr>
              <w:t>资金来源</w:t>
            </w:r>
          </w:p>
        </w:tc>
        <w:tc>
          <w:tcPr>
            <w:tcW w:w="5139" w:type="dxa"/>
            <w:vAlign w:val="center"/>
          </w:tcPr>
          <w:p>
            <w:pPr>
              <w:rPr>
                <w:szCs w:val="21"/>
              </w:rPr>
            </w:pPr>
            <w:r>
              <w:rPr>
                <w:rFonts w:hint="eastAsia"/>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1.2.2</w:t>
            </w:r>
          </w:p>
        </w:tc>
        <w:tc>
          <w:tcPr>
            <w:tcW w:w="3372" w:type="dxa"/>
            <w:vAlign w:val="center"/>
          </w:tcPr>
          <w:p>
            <w:pPr>
              <w:rPr>
                <w:szCs w:val="21"/>
              </w:rPr>
            </w:pPr>
            <w:r>
              <w:rPr>
                <w:szCs w:val="21"/>
              </w:rPr>
              <w:t>出资比例</w:t>
            </w:r>
          </w:p>
        </w:tc>
        <w:tc>
          <w:tcPr>
            <w:tcW w:w="5139" w:type="dxa"/>
            <w:vAlign w:val="center"/>
          </w:tcPr>
          <w:p>
            <w:pP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1.2.3</w:t>
            </w:r>
          </w:p>
        </w:tc>
        <w:tc>
          <w:tcPr>
            <w:tcW w:w="3372" w:type="dxa"/>
            <w:vAlign w:val="center"/>
          </w:tcPr>
          <w:p>
            <w:pPr>
              <w:rPr>
                <w:szCs w:val="21"/>
              </w:rPr>
            </w:pPr>
            <w:r>
              <w:rPr>
                <w:szCs w:val="21"/>
              </w:rPr>
              <w:t>资金落实情况</w:t>
            </w:r>
          </w:p>
        </w:tc>
        <w:tc>
          <w:tcPr>
            <w:tcW w:w="5139" w:type="dxa"/>
            <w:vAlign w:val="center"/>
          </w:tcPr>
          <w:p>
            <w:pPr>
              <w:rPr>
                <w:szCs w:val="21"/>
              </w:rPr>
            </w:pPr>
            <w:r>
              <w:rPr>
                <w:rFonts w:hint="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917" w:type="dxa"/>
            <w:vAlign w:val="center"/>
          </w:tcPr>
          <w:p>
            <w:pPr>
              <w:jc w:val="center"/>
              <w:rPr>
                <w:szCs w:val="21"/>
              </w:rPr>
            </w:pPr>
            <w:r>
              <w:rPr>
                <w:szCs w:val="21"/>
              </w:rPr>
              <w:t>1.3.1</w:t>
            </w:r>
          </w:p>
        </w:tc>
        <w:tc>
          <w:tcPr>
            <w:tcW w:w="3372" w:type="dxa"/>
            <w:vAlign w:val="center"/>
          </w:tcPr>
          <w:p>
            <w:pPr>
              <w:rPr>
                <w:szCs w:val="21"/>
              </w:rPr>
            </w:pPr>
            <w:r>
              <w:rPr>
                <w:szCs w:val="21"/>
              </w:rPr>
              <w:t>招标范围</w:t>
            </w:r>
          </w:p>
        </w:tc>
        <w:tc>
          <w:tcPr>
            <w:tcW w:w="5139" w:type="dxa"/>
            <w:vAlign w:val="center"/>
          </w:tcPr>
          <w:p>
            <w:pPr>
              <w:rPr>
                <w:szCs w:val="21"/>
                <w:u w:val="single"/>
              </w:rPr>
            </w:pPr>
            <w:r>
              <w:rPr>
                <w:rFonts w:hint="eastAsia"/>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1.3.2</w:t>
            </w:r>
          </w:p>
        </w:tc>
        <w:tc>
          <w:tcPr>
            <w:tcW w:w="3372" w:type="dxa"/>
            <w:vAlign w:val="center"/>
          </w:tcPr>
          <w:p>
            <w:pPr>
              <w:rPr>
                <w:szCs w:val="21"/>
              </w:rPr>
            </w:pPr>
            <w:r>
              <w:rPr>
                <w:rFonts w:hint="eastAsia"/>
                <w:szCs w:val="21"/>
              </w:rPr>
              <w:t>工期</w:t>
            </w:r>
          </w:p>
        </w:tc>
        <w:tc>
          <w:tcPr>
            <w:tcW w:w="5139" w:type="dxa"/>
            <w:vAlign w:val="center"/>
          </w:tcPr>
          <w:p>
            <w:pPr>
              <w:rPr>
                <w:szCs w:val="21"/>
              </w:rPr>
            </w:pPr>
            <w:r>
              <w:rPr>
                <w:rFonts w:hint="eastAsia"/>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1.3.3</w:t>
            </w:r>
          </w:p>
        </w:tc>
        <w:tc>
          <w:tcPr>
            <w:tcW w:w="3372" w:type="dxa"/>
            <w:vAlign w:val="center"/>
          </w:tcPr>
          <w:p>
            <w:pPr>
              <w:rPr>
                <w:szCs w:val="21"/>
              </w:rPr>
            </w:pPr>
            <w:r>
              <w:rPr>
                <w:rFonts w:hint="eastAsia"/>
                <w:szCs w:val="21"/>
              </w:rPr>
              <w:t>工程</w:t>
            </w:r>
            <w:r>
              <w:rPr>
                <w:szCs w:val="21"/>
              </w:rPr>
              <w:t>地点</w:t>
            </w:r>
          </w:p>
        </w:tc>
        <w:tc>
          <w:tcPr>
            <w:tcW w:w="5139" w:type="dxa"/>
            <w:vAlign w:val="center"/>
          </w:tcPr>
          <w:p>
            <w:pPr>
              <w:rPr>
                <w:szCs w:val="21"/>
              </w:rPr>
            </w:pPr>
            <w:r>
              <w:rPr>
                <w:rFonts w:hint="eastAsia"/>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1.3.4</w:t>
            </w:r>
          </w:p>
        </w:tc>
        <w:tc>
          <w:tcPr>
            <w:tcW w:w="3372" w:type="dxa"/>
            <w:vAlign w:val="center"/>
          </w:tcPr>
          <w:p>
            <w:pPr>
              <w:rPr>
                <w:szCs w:val="21"/>
              </w:rPr>
            </w:pPr>
            <w:r>
              <w:rPr>
                <w:szCs w:val="21"/>
              </w:rPr>
              <w:t>质量</w:t>
            </w:r>
            <w:r>
              <w:rPr>
                <w:rFonts w:hint="eastAsia"/>
                <w:szCs w:val="21"/>
              </w:rPr>
              <w:t>要求及验收标准</w:t>
            </w:r>
          </w:p>
        </w:tc>
        <w:tc>
          <w:tcPr>
            <w:tcW w:w="5139" w:type="dxa"/>
            <w:vAlign w:val="center"/>
          </w:tcPr>
          <w:p>
            <w:pPr>
              <w:rPr>
                <w:rFonts w:hint="eastAsia"/>
                <w:szCs w:val="21"/>
              </w:rPr>
            </w:pPr>
            <w:r>
              <w:rPr>
                <w:rFonts w:hint="eastAsia"/>
                <w:szCs w:val="21"/>
              </w:rPr>
              <w:t>相关质量验收规范合格标准，本项目招标人或项目所在地质量技术监督部门或招标人委托的第三方检测机构可能对中标人的所供产品进行抽检，如抽检不合格导致的费用损失由中标人承担，所有返工、拆除、更换等费用均由中标人承担，给招标人造成损失的，招标人将依法追偿。</w:t>
            </w:r>
          </w:p>
          <w:p>
            <w:pPr>
              <w:rPr>
                <w:szCs w:val="21"/>
              </w:rPr>
            </w:pPr>
            <w:r>
              <w:rPr>
                <w:rFonts w:hint="eastAsia"/>
                <w:szCs w:val="21"/>
              </w:rPr>
              <w:t>验收执行标准：国家或行业最新标准、招标文件各项技术参数指标、投标文件投标承诺所达到的各项技术参数指标（招标文件、投标文件、国家或行业标准不一致处以最高标准执行）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1.4.1</w:t>
            </w:r>
          </w:p>
        </w:tc>
        <w:tc>
          <w:tcPr>
            <w:tcW w:w="3372" w:type="dxa"/>
            <w:vAlign w:val="center"/>
          </w:tcPr>
          <w:p>
            <w:pPr>
              <w:rPr>
                <w:szCs w:val="21"/>
              </w:rPr>
            </w:pPr>
            <w:r>
              <w:rPr>
                <w:szCs w:val="21"/>
              </w:rPr>
              <w:t>投标人资格要求</w:t>
            </w:r>
          </w:p>
        </w:tc>
        <w:tc>
          <w:tcPr>
            <w:tcW w:w="5139" w:type="dxa"/>
            <w:vAlign w:val="center"/>
          </w:tcPr>
          <w:p>
            <w:pPr>
              <w:rPr>
                <w:szCs w:val="21"/>
              </w:rPr>
            </w:pPr>
            <w:r>
              <w:rPr>
                <w:rFonts w:hint="eastAsia"/>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7" w:type="dxa"/>
            <w:vAlign w:val="center"/>
          </w:tcPr>
          <w:p>
            <w:pPr>
              <w:jc w:val="center"/>
              <w:rPr>
                <w:szCs w:val="21"/>
              </w:rPr>
            </w:pPr>
            <w:r>
              <w:rPr>
                <w:szCs w:val="21"/>
              </w:rPr>
              <w:t>1.4.2</w:t>
            </w:r>
          </w:p>
        </w:tc>
        <w:tc>
          <w:tcPr>
            <w:tcW w:w="3372" w:type="dxa"/>
            <w:vAlign w:val="center"/>
          </w:tcPr>
          <w:p>
            <w:pPr>
              <w:rPr>
                <w:szCs w:val="21"/>
              </w:rPr>
            </w:pPr>
            <w:r>
              <w:rPr>
                <w:szCs w:val="21"/>
              </w:rPr>
              <w:t>是否接受联合体投标</w:t>
            </w:r>
          </w:p>
        </w:tc>
        <w:tc>
          <w:tcPr>
            <w:tcW w:w="5139" w:type="dxa"/>
            <w:vAlign w:val="center"/>
          </w:tcPr>
          <w:p>
            <w:pPr>
              <w:rPr>
                <w:kern w:val="0"/>
                <w:szCs w:val="21"/>
              </w:rPr>
            </w:pPr>
            <w:r>
              <w:rPr>
                <w:rFonts w:hint="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17" w:type="dxa"/>
            <w:vAlign w:val="center"/>
          </w:tcPr>
          <w:p>
            <w:pPr>
              <w:jc w:val="center"/>
              <w:rPr>
                <w:rFonts w:ascii="宋体" w:hAnsi="宋体"/>
                <w:b/>
                <w:szCs w:val="21"/>
              </w:rPr>
            </w:pPr>
            <w:r>
              <w:rPr>
                <w:rFonts w:hint="eastAsia" w:ascii="宋体" w:hAnsi="宋体"/>
                <w:szCs w:val="21"/>
              </w:rPr>
              <w:t>1.9.1</w:t>
            </w:r>
          </w:p>
        </w:tc>
        <w:tc>
          <w:tcPr>
            <w:tcW w:w="3372" w:type="dxa"/>
            <w:vAlign w:val="center"/>
          </w:tcPr>
          <w:p>
            <w:pPr>
              <w:rPr>
                <w:rFonts w:ascii="宋体" w:hAnsi="宋体"/>
                <w:b/>
                <w:szCs w:val="21"/>
              </w:rPr>
            </w:pPr>
            <w:r>
              <w:rPr>
                <w:rFonts w:hint="eastAsia" w:ascii="宋体" w:cs="宋体"/>
                <w:kern w:val="0"/>
                <w:szCs w:val="21"/>
              </w:rPr>
              <w:t>踏勘现场</w:t>
            </w:r>
          </w:p>
        </w:tc>
        <w:tc>
          <w:tcPr>
            <w:tcW w:w="5139" w:type="dxa"/>
            <w:vAlign w:val="center"/>
          </w:tcPr>
          <w:p>
            <w:pPr>
              <w:rPr>
                <w:rFonts w:ascii="宋体" w:hAnsi="宋体"/>
                <w:b/>
                <w:szCs w:val="21"/>
                <w:u w:val="single"/>
              </w:rPr>
            </w:pPr>
            <w:r>
              <w:rPr>
                <w:rFonts w:hint="eastAsia"/>
                <w:color w:val="000000"/>
                <w:szCs w:val="21"/>
              </w:rPr>
              <w:t>投标人自行踏勘现场，招标人不组织集中踏勘</w:t>
            </w:r>
            <w:r>
              <w:rPr>
                <w:rFonts w:hint="eastAsia"/>
                <w:szCs w:val="21"/>
              </w:rPr>
              <w:t xml:space="preserve"> </w:t>
            </w:r>
            <w:r>
              <w:rPr>
                <w:rFonts w:hint="eastAsia" w:ascii="宋体" w:hAnsi="宋体" w:cs="宋体"/>
                <w:kern w:val="0"/>
                <w:szCs w:val="21"/>
              </w:rPr>
              <w:t xml:space="preserve">  </w:t>
            </w:r>
            <w:r>
              <w:rPr>
                <w:rFonts w:hint="eastAsia" w:ascii="宋体" w:hAnsi="TimesNewRomanPSMT"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17" w:type="dxa"/>
            <w:vAlign w:val="center"/>
          </w:tcPr>
          <w:p>
            <w:pPr>
              <w:jc w:val="center"/>
              <w:rPr>
                <w:szCs w:val="21"/>
              </w:rPr>
            </w:pPr>
            <w:r>
              <w:rPr>
                <w:szCs w:val="21"/>
              </w:rPr>
              <w:t>1.10</w:t>
            </w:r>
          </w:p>
        </w:tc>
        <w:tc>
          <w:tcPr>
            <w:tcW w:w="3372" w:type="dxa"/>
            <w:vAlign w:val="center"/>
          </w:tcPr>
          <w:p>
            <w:pPr>
              <w:rPr>
                <w:szCs w:val="21"/>
              </w:rPr>
            </w:pPr>
            <w:r>
              <w:rPr>
                <w:szCs w:val="21"/>
              </w:rPr>
              <w:t>投标预备会</w:t>
            </w:r>
          </w:p>
        </w:tc>
        <w:tc>
          <w:tcPr>
            <w:tcW w:w="5139" w:type="dxa"/>
            <w:vAlign w:val="center"/>
          </w:tcPr>
          <w:p>
            <w:pPr>
              <w:rPr>
                <w:szCs w:val="21"/>
              </w:rPr>
            </w:pPr>
            <w:r>
              <w:rPr>
                <w:rFonts w:ascii="宋体" w:hAnsi="宋体"/>
                <w:b/>
                <w:kern w:val="0"/>
                <w:szCs w:val="21"/>
                <w:bdr w:val="single" w:color="auto" w:sz="4" w:space="0"/>
              </w:rPr>
              <w:t>√</w:t>
            </w:r>
            <w:r>
              <w:rPr>
                <w:szCs w:val="21"/>
              </w:rPr>
              <w:t>不召开</w:t>
            </w:r>
          </w:p>
          <w:p>
            <w:pPr>
              <w:rPr>
                <w:szCs w:val="21"/>
              </w:rPr>
            </w:pPr>
            <w:r>
              <w:rPr>
                <w:rFonts w:ascii="宋体" w:hAnsi="宋体"/>
                <w:kern w:val="0"/>
                <w:szCs w:val="21"/>
              </w:rPr>
              <w:t>□</w:t>
            </w:r>
            <w:r>
              <w:rPr>
                <w:szCs w:val="21"/>
              </w:rPr>
              <w:t>召开，召开时间：</w:t>
            </w:r>
          </w:p>
          <w:p>
            <w:pPr>
              <w:ind w:firstLine="840" w:firstLineChars="400"/>
              <w:rPr>
                <w:szCs w:val="21"/>
              </w:rPr>
            </w:pPr>
            <w:r>
              <w:rPr>
                <w:szCs w:val="21"/>
              </w:rPr>
              <w:t>召开地点：</w:t>
            </w:r>
          </w:p>
        </w:tc>
      </w:tr>
      <w:tr>
        <w:tblPrEx>
          <w:tblLayout w:type="fixed"/>
          <w:tblCellMar>
            <w:top w:w="0" w:type="dxa"/>
            <w:left w:w="108" w:type="dxa"/>
            <w:bottom w:w="0" w:type="dxa"/>
            <w:right w:w="108" w:type="dxa"/>
          </w:tblCellMar>
        </w:tblPrEx>
        <w:trPr>
          <w:trHeight w:val="697" w:hRule="atLeast"/>
          <w:jc w:val="center"/>
        </w:trPr>
        <w:tc>
          <w:tcPr>
            <w:tcW w:w="917" w:type="dxa"/>
            <w:vAlign w:val="center"/>
          </w:tcPr>
          <w:p>
            <w:pPr>
              <w:jc w:val="center"/>
              <w:rPr>
                <w:szCs w:val="21"/>
                <w:highlight w:val="none"/>
              </w:rPr>
            </w:pPr>
            <w:r>
              <w:rPr>
                <w:szCs w:val="21"/>
                <w:highlight w:val="none"/>
              </w:rPr>
              <w:t>1.11</w:t>
            </w:r>
          </w:p>
        </w:tc>
        <w:tc>
          <w:tcPr>
            <w:tcW w:w="3372" w:type="dxa"/>
            <w:vAlign w:val="center"/>
          </w:tcPr>
          <w:p>
            <w:pPr>
              <w:rPr>
                <w:szCs w:val="21"/>
                <w:highlight w:val="none"/>
              </w:rPr>
            </w:pPr>
            <w:r>
              <w:rPr>
                <w:szCs w:val="21"/>
                <w:highlight w:val="none"/>
              </w:rPr>
              <w:t>偏离</w:t>
            </w:r>
          </w:p>
        </w:tc>
        <w:tc>
          <w:tcPr>
            <w:tcW w:w="5139" w:type="dxa"/>
            <w:vAlign w:val="center"/>
          </w:tcPr>
          <w:p>
            <w:pPr>
              <w:rPr>
                <w:szCs w:val="21"/>
              </w:rPr>
            </w:pPr>
            <w:r>
              <w:rPr>
                <w:rFonts w:ascii="宋体" w:hAnsi="宋体"/>
                <w:b/>
                <w:kern w:val="0"/>
                <w:szCs w:val="21"/>
                <w:bdr w:val="single" w:color="auto" w:sz="4" w:space="0"/>
              </w:rPr>
              <w:t>√</w:t>
            </w:r>
            <w:r>
              <w:rPr>
                <w:szCs w:val="21"/>
              </w:rPr>
              <w:t>不允许</w:t>
            </w:r>
          </w:p>
          <w:p>
            <w:pPr>
              <w:rPr>
                <w:szCs w:val="21"/>
              </w:rPr>
            </w:pPr>
            <w:r>
              <w:rPr>
                <w:rFonts w:ascii="宋体" w:hAnsi="宋体"/>
                <w:kern w:val="0"/>
                <w:szCs w:val="21"/>
              </w:rPr>
              <w:t>□</w:t>
            </w:r>
            <w:r>
              <w:rPr>
                <w:szCs w:val="21"/>
              </w:rPr>
              <w:t>允许</w:t>
            </w:r>
            <w:r>
              <w:rPr>
                <w:rFonts w:hint="eastAsia"/>
                <w:szCs w:val="21"/>
              </w:rPr>
              <w:t xml:space="preserve">      </w:t>
            </w:r>
            <w:r>
              <w:rPr>
                <w:szCs w:val="21"/>
              </w:rPr>
              <w:t>允许偏离幅度：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17" w:type="dxa"/>
            <w:vAlign w:val="center"/>
          </w:tcPr>
          <w:p>
            <w:pPr>
              <w:jc w:val="center"/>
              <w:rPr>
                <w:rFonts w:ascii="宋体" w:hAnsi="宋体" w:cs="宋体"/>
                <w:szCs w:val="21"/>
              </w:rPr>
            </w:pPr>
            <w:r>
              <w:rPr>
                <w:rFonts w:hint="eastAsia"/>
                <w:szCs w:val="21"/>
              </w:rPr>
              <w:t>2.1.1</w:t>
            </w:r>
          </w:p>
        </w:tc>
        <w:tc>
          <w:tcPr>
            <w:tcW w:w="3372" w:type="dxa"/>
            <w:vAlign w:val="center"/>
          </w:tcPr>
          <w:p>
            <w:pPr>
              <w:jc w:val="left"/>
              <w:rPr>
                <w:rFonts w:ascii="宋体" w:hAnsi="宋体" w:cs="宋体"/>
                <w:kern w:val="0"/>
                <w:szCs w:val="21"/>
              </w:rPr>
            </w:pPr>
            <w:r>
              <w:rPr>
                <w:rFonts w:hint="eastAsia" w:ascii="宋体" w:hAnsi="宋体" w:cs="宋体"/>
                <w:kern w:val="0"/>
                <w:szCs w:val="21"/>
              </w:rPr>
              <w:t>构成招标文件的其它材料</w:t>
            </w:r>
          </w:p>
        </w:tc>
        <w:tc>
          <w:tcPr>
            <w:tcW w:w="5139" w:type="dxa"/>
            <w:vAlign w:val="center"/>
          </w:tcPr>
          <w:p>
            <w:pPr>
              <w:rPr>
                <w:rFonts w:ascii="宋体" w:hAnsi="宋体"/>
                <w:kern w:val="0"/>
                <w:szCs w:val="21"/>
              </w:rPr>
            </w:pPr>
            <w:r>
              <w:rPr>
                <w:rFonts w:hint="eastAsia" w:ascii="宋体" w:hAnsi="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917" w:type="dxa"/>
            <w:vAlign w:val="center"/>
          </w:tcPr>
          <w:p>
            <w:pPr>
              <w:jc w:val="center"/>
              <w:rPr>
                <w:szCs w:val="21"/>
              </w:rPr>
            </w:pPr>
            <w:r>
              <w:rPr>
                <w:szCs w:val="21"/>
              </w:rPr>
              <w:t>2.2.1</w:t>
            </w:r>
          </w:p>
        </w:tc>
        <w:tc>
          <w:tcPr>
            <w:tcW w:w="3372" w:type="dxa"/>
            <w:vAlign w:val="center"/>
          </w:tcPr>
          <w:p>
            <w:pPr>
              <w:rPr>
                <w:rFonts w:ascii="宋体" w:hAnsi="宋体" w:cs="宋体"/>
                <w:kern w:val="0"/>
                <w:szCs w:val="21"/>
              </w:rPr>
            </w:pPr>
            <w:r>
              <w:rPr>
                <w:rFonts w:hint="eastAsia" w:ascii="宋体" w:hAnsi="宋体" w:cs="宋体"/>
                <w:kern w:val="0"/>
                <w:szCs w:val="21"/>
              </w:rPr>
              <w:t>要求招标人澄清招标文件截至时间</w:t>
            </w:r>
          </w:p>
        </w:tc>
        <w:tc>
          <w:tcPr>
            <w:tcW w:w="5139" w:type="dxa"/>
            <w:vAlign w:val="center"/>
          </w:tcPr>
          <w:p>
            <w:pPr>
              <w:rPr>
                <w:rFonts w:ascii="宋体" w:hAnsi="宋体" w:cs="宋体"/>
                <w:kern w:val="0"/>
                <w:szCs w:val="21"/>
              </w:rPr>
            </w:pPr>
            <w:r>
              <w:rPr>
                <w:rFonts w:hint="eastAsia" w:ascii="宋体" w:hAnsi="宋体" w:cs="宋体"/>
                <w:kern w:val="0"/>
                <w:szCs w:val="21"/>
                <w:highlight w:val="none"/>
                <w:lang w:val="en-US" w:eastAsia="zh-CN"/>
              </w:rPr>
              <w:t>2019</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17</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 xml:space="preserve">18 </w:t>
            </w:r>
            <w:r>
              <w:rPr>
                <w:rFonts w:hint="eastAsia" w:ascii="宋体" w:hAnsi="宋体" w:cs="宋体"/>
                <w:kern w:val="0"/>
                <w:szCs w:val="21"/>
                <w:highlight w:val="none"/>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917" w:type="dxa"/>
            <w:vAlign w:val="center"/>
          </w:tcPr>
          <w:p>
            <w:pPr>
              <w:jc w:val="center"/>
              <w:rPr>
                <w:szCs w:val="21"/>
              </w:rPr>
            </w:pPr>
            <w:r>
              <w:rPr>
                <w:szCs w:val="21"/>
              </w:rPr>
              <w:t>2.2.3</w:t>
            </w:r>
          </w:p>
        </w:tc>
        <w:tc>
          <w:tcPr>
            <w:tcW w:w="3372" w:type="dxa"/>
            <w:vAlign w:val="center"/>
          </w:tcPr>
          <w:p>
            <w:pPr>
              <w:rPr>
                <w:rFonts w:ascii="宋体" w:hAnsi="宋体" w:cs="宋体"/>
                <w:kern w:val="0"/>
                <w:szCs w:val="21"/>
              </w:rPr>
            </w:pPr>
            <w:r>
              <w:rPr>
                <w:rFonts w:ascii="宋体" w:hAnsi="宋体" w:cs="宋体"/>
                <w:kern w:val="0"/>
                <w:szCs w:val="21"/>
              </w:rPr>
              <w:t>投标人确认收到招标文件澄清时间</w:t>
            </w:r>
          </w:p>
        </w:tc>
        <w:tc>
          <w:tcPr>
            <w:tcW w:w="5139" w:type="dxa"/>
            <w:vAlign w:val="center"/>
          </w:tcPr>
          <w:p>
            <w:pPr>
              <w:rPr>
                <w:rFonts w:ascii="宋体" w:hAnsi="宋体" w:cs="宋体"/>
                <w:kern w:val="0"/>
                <w:szCs w:val="21"/>
              </w:rPr>
            </w:pPr>
            <w:r>
              <w:rPr>
                <w:rFonts w:hint="eastAsia" w:ascii="宋体" w:hAnsi="宋体" w:cs="宋体"/>
                <w:kern w:val="0"/>
                <w:szCs w:val="21"/>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17" w:type="dxa"/>
            <w:vAlign w:val="center"/>
          </w:tcPr>
          <w:p>
            <w:pPr>
              <w:jc w:val="center"/>
              <w:rPr>
                <w:szCs w:val="21"/>
              </w:rPr>
            </w:pPr>
            <w:r>
              <w:rPr>
                <w:szCs w:val="21"/>
              </w:rPr>
              <w:t>2.3.2</w:t>
            </w:r>
          </w:p>
        </w:tc>
        <w:tc>
          <w:tcPr>
            <w:tcW w:w="3372" w:type="dxa"/>
            <w:vAlign w:val="center"/>
          </w:tcPr>
          <w:p>
            <w:pPr>
              <w:rPr>
                <w:rFonts w:ascii="宋体" w:hAnsi="宋体" w:cs="宋体"/>
                <w:kern w:val="0"/>
                <w:szCs w:val="21"/>
              </w:rPr>
            </w:pPr>
            <w:r>
              <w:rPr>
                <w:rFonts w:ascii="宋体" w:hAnsi="宋体" w:cs="宋体"/>
                <w:kern w:val="0"/>
                <w:szCs w:val="21"/>
              </w:rPr>
              <w:t>投标人确认收到招标文件修改时间</w:t>
            </w:r>
          </w:p>
        </w:tc>
        <w:tc>
          <w:tcPr>
            <w:tcW w:w="5139" w:type="dxa"/>
            <w:vAlign w:val="center"/>
          </w:tcPr>
          <w:p>
            <w:pPr>
              <w:rPr>
                <w:rFonts w:ascii="宋体" w:hAnsi="宋体" w:cs="宋体"/>
                <w:kern w:val="0"/>
                <w:szCs w:val="21"/>
              </w:rPr>
            </w:pPr>
            <w:r>
              <w:rPr>
                <w:rFonts w:hint="eastAsia" w:ascii="宋体" w:hAnsi="宋体" w:cs="宋体"/>
                <w:kern w:val="0"/>
                <w:szCs w:val="21"/>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17" w:type="dxa"/>
            <w:vAlign w:val="center"/>
          </w:tcPr>
          <w:p>
            <w:pPr>
              <w:jc w:val="center"/>
              <w:rPr>
                <w:szCs w:val="21"/>
              </w:rPr>
            </w:pPr>
            <w:r>
              <w:rPr>
                <w:rFonts w:hint="eastAsia"/>
                <w:szCs w:val="21"/>
              </w:rPr>
              <w:t>3.1.1</w:t>
            </w:r>
          </w:p>
        </w:tc>
        <w:tc>
          <w:tcPr>
            <w:tcW w:w="3372" w:type="dxa"/>
            <w:vAlign w:val="center"/>
          </w:tcPr>
          <w:p>
            <w:pPr>
              <w:rPr>
                <w:szCs w:val="21"/>
              </w:rPr>
            </w:pPr>
            <w:r>
              <w:rPr>
                <w:rFonts w:hint="eastAsia"/>
                <w:szCs w:val="21"/>
              </w:rPr>
              <w:t>投标文件的组成</w:t>
            </w:r>
          </w:p>
        </w:tc>
        <w:tc>
          <w:tcPr>
            <w:tcW w:w="5139" w:type="dxa"/>
            <w:vAlign w:val="center"/>
          </w:tcPr>
          <w:p>
            <w:pPr>
              <w:rPr>
                <w:rFonts w:ascii="宋体" w:hAnsi="宋体" w:cs="宋体"/>
                <w:szCs w:val="21"/>
              </w:rPr>
            </w:pPr>
            <w:r>
              <w:rPr>
                <w:rFonts w:hint="eastAsia" w:ascii="宋体" w:hAnsi="宋体" w:cs="宋体"/>
                <w:szCs w:val="21"/>
              </w:rPr>
              <w:t>投标文件由下列三部分组成：</w:t>
            </w:r>
          </w:p>
          <w:p>
            <w:pPr>
              <w:rPr>
                <w:rFonts w:ascii="宋体" w:hAnsi="宋体" w:cs="宋体"/>
                <w:szCs w:val="21"/>
              </w:rPr>
            </w:pPr>
            <w:r>
              <w:rPr>
                <w:rFonts w:hint="eastAsia" w:ascii="宋体" w:hAnsi="宋体" w:cs="宋体"/>
                <w:szCs w:val="21"/>
              </w:rPr>
              <w:t>一、商务标，主要包括但不限于下列资料：</w:t>
            </w:r>
          </w:p>
          <w:p>
            <w:pPr>
              <w:rPr>
                <w:rFonts w:ascii="宋体" w:hAnsi="宋体"/>
                <w:szCs w:val="21"/>
              </w:rPr>
            </w:pPr>
            <w:r>
              <w:rPr>
                <w:rFonts w:hint="eastAsia" w:ascii="宋体" w:hAnsi="宋体"/>
                <w:szCs w:val="21"/>
              </w:rPr>
              <w:t>（1）投标函</w:t>
            </w:r>
          </w:p>
          <w:p>
            <w:pPr>
              <w:rPr>
                <w:rFonts w:ascii="宋体" w:hAnsi="宋体" w:cs="宋体"/>
                <w:szCs w:val="21"/>
              </w:rPr>
            </w:pPr>
            <w:r>
              <w:rPr>
                <w:rFonts w:hint="eastAsia" w:ascii="宋体" w:hAnsi="宋体" w:cs="宋体"/>
                <w:szCs w:val="21"/>
              </w:rPr>
              <w:t>（2）投标报价汇总表、货物分项报价表</w:t>
            </w:r>
          </w:p>
          <w:p>
            <w:pPr>
              <w:rPr>
                <w:rFonts w:ascii="宋体" w:hAnsi="宋体" w:cs="宋体"/>
                <w:szCs w:val="21"/>
              </w:rPr>
            </w:pPr>
            <w:r>
              <w:rPr>
                <w:rFonts w:hint="eastAsia" w:ascii="宋体" w:hAnsi="宋体" w:cs="宋体"/>
                <w:szCs w:val="21"/>
              </w:rPr>
              <w:t>（3）商务、技术条款偏离表</w:t>
            </w:r>
          </w:p>
          <w:p>
            <w:pPr>
              <w:rPr>
                <w:rFonts w:ascii="宋体" w:hAnsi="宋体" w:cs="宋体"/>
                <w:szCs w:val="21"/>
              </w:rPr>
            </w:pPr>
            <w:r>
              <w:rPr>
                <w:rFonts w:hint="eastAsia" w:ascii="宋体" w:hAnsi="宋体" w:cs="宋体"/>
                <w:szCs w:val="21"/>
              </w:rPr>
              <w:t>（4）法定代表人身份证明、授权委托书</w:t>
            </w:r>
          </w:p>
          <w:p>
            <w:pPr>
              <w:rPr>
                <w:rFonts w:ascii="宋体" w:hAnsi="宋体" w:cs="宋体"/>
                <w:szCs w:val="21"/>
              </w:rPr>
            </w:pPr>
            <w:r>
              <w:rPr>
                <w:rFonts w:hint="eastAsia" w:ascii="宋体" w:hAnsi="宋体" w:cs="宋体"/>
                <w:szCs w:val="21"/>
              </w:rPr>
              <w:t>（5）所投设备相关证明材料（如检测报告等）</w:t>
            </w:r>
          </w:p>
          <w:p>
            <w:pPr>
              <w:rPr>
                <w:rFonts w:ascii="宋体" w:hAnsi="宋体" w:cs="宋体"/>
                <w:szCs w:val="21"/>
              </w:rPr>
            </w:pPr>
            <w:r>
              <w:rPr>
                <w:rFonts w:hint="eastAsia" w:ascii="宋体" w:hAnsi="宋体" w:cs="宋体"/>
                <w:szCs w:val="21"/>
              </w:rPr>
              <w:t>（6）申请人基本情况表及附件</w:t>
            </w:r>
          </w:p>
          <w:p>
            <w:pPr>
              <w:rPr>
                <w:rFonts w:ascii="宋体" w:hAnsi="宋体" w:cs="宋体"/>
                <w:szCs w:val="21"/>
              </w:rPr>
            </w:pPr>
            <w:r>
              <w:rPr>
                <w:rFonts w:hint="eastAsia" w:ascii="宋体" w:hAnsi="宋体" w:cs="宋体"/>
                <w:szCs w:val="21"/>
              </w:rPr>
              <w:t>二、技术标（投标人须根据招标需求作出响应）</w:t>
            </w:r>
          </w:p>
          <w:p>
            <w:pPr>
              <w:rPr>
                <w:rFonts w:ascii="宋体" w:hAnsi="宋体" w:cs="宋体"/>
                <w:szCs w:val="21"/>
              </w:rPr>
            </w:pPr>
            <w:r>
              <w:rPr>
                <w:rFonts w:ascii="宋体" w:hAnsi="宋体" w:cs="宋体"/>
                <w:szCs w:val="21"/>
              </w:rPr>
              <w:t>内容由投标人根据招标需求自行组织，不能响应招标需求的经评审按无效投标文件处理。</w:t>
            </w:r>
          </w:p>
          <w:p>
            <w:pPr>
              <w:rPr>
                <w:rFonts w:ascii="宋体" w:hAnsi="宋体" w:cs="宋体"/>
                <w:szCs w:val="21"/>
              </w:rPr>
            </w:pPr>
            <w:r>
              <w:rPr>
                <w:rFonts w:hint="eastAsia" w:ascii="宋体" w:hAnsi="宋体" w:cs="宋体"/>
                <w:szCs w:val="21"/>
              </w:rPr>
              <w:t>三、资格审查材料，主要包括下列资料原件及复印件：</w:t>
            </w:r>
          </w:p>
          <w:p>
            <w:pPr>
              <w:rPr>
                <w:rFonts w:ascii="宋体" w:hAnsi="宋体" w:cs="宋体"/>
                <w:color w:val="auto"/>
                <w:szCs w:val="21"/>
              </w:rPr>
            </w:pPr>
            <w:r>
              <w:rPr>
                <w:rFonts w:hint="eastAsia" w:ascii="宋体" w:hAnsi="宋体" w:cs="宋体"/>
                <w:color w:val="auto"/>
                <w:szCs w:val="21"/>
              </w:rPr>
              <w:t>（1）企业营业执照（副本）；</w:t>
            </w:r>
          </w:p>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）招标文件要求提供的其它材料。</w:t>
            </w:r>
          </w:p>
          <w:p>
            <w:pPr>
              <w:rPr>
                <w:rFonts w:ascii="宋体" w:hAnsi="宋体" w:cs="宋体"/>
                <w:szCs w:val="21"/>
              </w:rPr>
            </w:pPr>
            <w:r>
              <w:rPr>
                <w:rFonts w:hint="eastAsia" w:ascii="宋体" w:hAnsi="宋体" w:cs="宋体"/>
                <w:szCs w:val="21"/>
              </w:rPr>
              <w:t>四、开标一览表（单独密封提交）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rFonts w:hint="eastAsia"/>
                <w:szCs w:val="21"/>
              </w:rPr>
              <w:t>3.1.3</w:t>
            </w:r>
          </w:p>
        </w:tc>
        <w:tc>
          <w:tcPr>
            <w:tcW w:w="3372" w:type="dxa"/>
            <w:vAlign w:val="center"/>
          </w:tcPr>
          <w:p>
            <w:pPr>
              <w:rPr>
                <w:szCs w:val="21"/>
              </w:rPr>
            </w:pPr>
            <w:r>
              <w:rPr>
                <w:rFonts w:hint="eastAsia"/>
                <w:szCs w:val="21"/>
              </w:rPr>
              <w:t>须提交核验的原件材料</w:t>
            </w:r>
          </w:p>
        </w:tc>
        <w:tc>
          <w:tcPr>
            <w:tcW w:w="5139" w:type="dxa"/>
            <w:vAlign w:val="center"/>
          </w:tcPr>
          <w:p>
            <w:pPr>
              <w:rPr>
                <w:szCs w:val="21"/>
              </w:rPr>
            </w:pPr>
            <w:r>
              <w:rPr>
                <w:rFonts w:hint="eastAsia"/>
                <w:szCs w:val="21"/>
              </w:rPr>
              <w:t>详见本招标文件3.1.3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3.2.</w:t>
            </w:r>
            <w:r>
              <w:rPr>
                <w:rFonts w:hint="eastAsia"/>
                <w:szCs w:val="21"/>
              </w:rPr>
              <w:t>2</w:t>
            </w:r>
          </w:p>
        </w:tc>
        <w:tc>
          <w:tcPr>
            <w:tcW w:w="3372" w:type="dxa"/>
            <w:vAlign w:val="center"/>
          </w:tcPr>
          <w:p>
            <w:pPr>
              <w:jc w:val="left"/>
              <w:rPr>
                <w:szCs w:val="21"/>
              </w:rPr>
            </w:pPr>
            <w:r>
              <w:rPr>
                <w:szCs w:val="21"/>
              </w:rPr>
              <w:t>投标报价</w:t>
            </w:r>
            <w:r>
              <w:rPr>
                <w:rFonts w:hint="eastAsia"/>
                <w:szCs w:val="21"/>
              </w:rPr>
              <w:t>要求</w:t>
            </w:r>
          </w:p>
        </w:tc>
        <w:tc>
          <w:tcPr>
            <w:tcW w:w="5139" w:type="dxa"/>
            <w:vAlign w:val="center"/>
          </w:tcPr>
          <w:p>
            <w:pPr>
              <w:pStyle w:val="26"/>
              <w:snapToGrid w:val="0"/>
              <w:jc w:val="left"/>
              <w:rPr>
                <w:rFonts w:ascii="Times New Roman" w:hAnsi="Times New Roman"/>
                <w:sz w:val="21"/>
                <w:szCs w:val="21"/>
              </w:rPr>
            </w:pPr>
            <w:r>
              <w:rPr>
                <w:rFonts w:hint="eastAsia"/>
                <w:sz w:val="21"/>
                <w:szCs w:val="21"/>
              </w:rPr>
              <w:t>投标报价所报价格是履行合同的最终结算价，应包括完成本项目的硬件及软件产品（包括项目开发实施过程中所需的第三方产品（硬件、中间件等内容）以及乙方自有产品的报价）、开发实施、数据采集与加工、实现本项目功能所需要的第三方软件及接口升级改造、劳务、制作、维护、升级、报验、人员、交通、食宿、加班、人员签证、工作许可证、验收、检测、实施期间所必须的货款、加工制造、标准附件、备品备件、专用工具、包装、运输、装卸、安装、调试、保修、保险、利润、税金、货到就位（按招标人要求运送、堆放）、风险费、培训、售后服务、资金成本、招标代理费等所需的为完成本项目全部费用的价格体现。投标所报价格为最终结算价，因特殊原因并经买卖双方协商同意，投标人不得再要求追加任何费用。同时，除非合同条款中另有规定，否则，投标单位所报单价在合同实施期间不因市场变化因素而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 w:type="dxa"/>
            <w:vAlign w:val="center"/>
          </w:tcPr>
          <w:p>
            <w:pPr>
              <w:jc w:val="center"/>
              <w:rPr>
                <w:szCs w:val="21"/>
              </w:rPr>
            </w:pPr>
            <w:r>
              <w:rPr>
                <w:szCs w:val="21"/>
              </w:rPr>
              <w:t>3.2.3</w:t>
            </w:r>
          </w:p>
        </w:tc>
        <w:tc>
          <w:tcPr>
            <w:tcW w:w="3372" w:type="dxa"/>
            <w:vAlign w:val="center"/>
          </w:tcPr>
          <w:p>
            <w:pPr>
              <w:rPr>
                <w:szCs w:val="21"/>
              </w:rPr>
            </w:pPr>
            <w:r>
              <w:rPr>
                <w:szCs w:val="21"/>
              </w:rPr>
              <w:t>最高投标限价</w:t>
            </w:r>
          </w:p>
        </w:tc>
        <w:tc>
          <w:tcPr>
            <w:tcW w:w="5139" w:type="dxa"/>
            <w:vAlign w:val="center"/>
          </w:tcPr>
          <w:p>
            <w:pPr>
              <w:rPr>
                <w:szCs w:val="21"/>
                <w:u w:val="single"/>
              </w:rPr>
            </w:pPr>
            <w:r>
              <w:rPr>
                <w:rFonts w:hint="eastAsia"/>
                <w:szCs w:val="21"/>
                <w:u w:val="single"/>
              </w:rPr>
              <w:t xml:space="preserve"> 24.99</w:t>
            </w:r>
            <w:r>
              <w:rPr>
                <w:rFonts w:hint="eastAsia"/>
                <w:szCs w:val="21"/>
                <w:u w:val="single"/>
                <w:lang w:val="en-US" w:eastAsia="zh-CN"/>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17" w:type="dxa"/>
            <w:vAlign w:val="center"/>
          </w:tcPr>
          <w:p>
            <w:pPr>
              <w:jc w:val="center"/>
              <w:rPr>
                <w:szCs w:val="21"/>
              </w:rPr>
            </w:pPr>
            <w:r>
              <w:rPr>
                <w:szCs w:val="21"/>
              </w:rPr>
              <w:t>3.3.1</w:t>
            </w:r>
          </w:p>
        </w:tc>
        <w:tc>
          <w:tcPr>
            <w:tcW w:w="3372" w:type="dxa"/>
            <w:vAlign w:val="center"/>
          </w:tcPr>
          <w:p>
            <w:pPr>
              <w:rPr>
                <w:szCs w:val="21"/>
              </w:rPr>
            </w:pPr>
            <w:r>
              <w:rPr>
                <w:szCs w:val="21"/>
              </w:rPr>
              <w:t>投标有效期</w:t>
            </w:r>
          </w:p>
        </w:tc>
        <w:tc>
          <w:tcPr>
            <w:tcW w:w="5139" w:type="dxa"/>
            <w:vAlign w:val="center"/>
          </w:tcPr>
          <w:p>
            <w:pPr>
              <w:rPr>
                <w:szCs w:val="21"/>
              </w:rPr>
            </w:pPr>
            <w:r>
              <w:rPr>
                <w:rFonts w:hint="eastAsia"/>
                <w:szCs w:val="21"/>
                <w:u w:val="single"/>
                <w:lang w:val="zh-CN"/>
              </w:rPr>
              <w:t>60</w:t>
            </w:r>
            <w:r>
              <w:rPr>
                <w:szCs w:val="21"/>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17" w:type="dxa"/>
            <w:vAlign w:val="center"/>
          </w:tcPr>
          <w:p>
            <w:pPr>
              <w:jc w:val="center"/>
              <w:rPr>
                <w:szCs w:val="21"/>
              </w:rPr>
            </w:pPr>
            <w:r>
              <w:rPr>
                <w:szCs w:val="21"/>
              </w:rPr>
              <w:t>3.4.1</w:t>
            </w:r>
          </w:p>
        </w:tc>
        <w:tc>
          <w:tcPr>
            <w:tcW w:w="3372" w:type="dxa"/>
            <w:vAlign w:val="center"/>
          </w:tcPr>
          <w:p>
            <w:pPr>
              <w:rPr>
                <w:szCs w:val="21"/>
              </w:rPr>
            </w:pPr>
            <w:r>
              <w:rPr>
                <w:szCs w:val="21"/>
              </w:rPr>
              <w:t>投标保证金</w:t>
            </w:r>
          </w:p>
        </w:tc>
        <w:tc>
          <w:tcPr>
            <w:tcW w:w="5139" w:type="dxa"/>
            <w:vAlign w:val="center"/>
          </w:tcPr>
          <w:p>
            <w:pPr>
              <w:rPr>
                <w:szCs w:val="21"/>
                <w:u w:val="single"/>
              </w:rPr>
            </w:pPr>
            <w:r>
              <w:rPr>
                <w:rFonts w:hint="eastAsia"/>
                <w:szCs w:val="21"/>
              </w:rPr>
              <w:t>见招标公告</w:t>
            </w:r>
          </w:p>
        </w:tc>
      </w:tr>
      <w:tr>
        <w:tblPrEx>
          <w:tblLayout w:type="fixed"/>
          <w:tblCellMar>
            <w:top w:w="0" w:type="dxa"/>
            <w:left w:w="108" w:type="dxa"/>
            <w:bottom w:w="0" w:type="dxa"/>
            <w:right w:w="108" w:type="dxa"/>
          </w:tblCellMar>
        </w:tblPrEx>
        <w:trPr>
          <w:trHeight w:val="601" w:hRule="atLeast"/>
          <w:jc w:val="center"/>
        </w:trPr>
        <w:tc>
          <w:tcPr>
            <w:tcW w:w="917" w:type="dxa"/>
            <w:vAlign w:val="center"/>
          </w:tcPr>
          <w:p>
            <w:pPr>
              <w:jc w:val="center"/>
              <w:rPr>
                <w:szCs w:val="21"/>
              </w:rPr>
            </w:pPr>
            <w:r>
              <w:rPr>
                <w:rFonts w:hint="eastAsia"/>
                <w:szCs w:val="21"/>
              </w:rPr>
              <w:t>3.5</w:t>
            </w:r>
          </w:p>
        </w:tc>
        <w:tc>
          <w:tcPr>
            <w:tcW w:w="3372" w:type="dxa"/>
            <w:vAlign w:val="center"/>
          </w:tcPr>
          <w:p>
            <w:pPr>
              <w:rPr>
                <w:szCs w:val="21"/>
              </w:rPr>
            </w:pPr>
            <w:r>
              <w:rPr>
                <w:szCs w:val="21"/>
              </w:rPr>
              <w:t>是否允许递交备选投标方案</w:t>
            </w:r>
          </w:p>
        </w:tc>
        <w:tc>
          <w:tcPr>
            <w:tcW w:w="5139" w:type="dxa"/>
            <w:vAlign w:val="center"/>
          </w:tcPr>
          <w:p>
            <w:pPr>
              <w:rPr>
                <w:szCs w:val="21"/>
              </w:rPr>
            </w:pPr>
            <w:r>
              <w:rPr>
                <w:rFonts w:ascii="宋体" w:hAnsi="宋体"/>
                <w:b/>
                <w:kern w:val="0"/>
                <w:szCs w:val="21"/>
                <w:bdr w:val="single" w:color="auto" w:sz="4" w:space="0"/>
              </w:rPr>
              <w:t>√</w:t>
            </w:r>
            <w:r>
              <w:rPr>
                <w:szCs w:val="21"/>
              </w:rPr>
              <w:t>不允许</w:t>
            </w:r>
          </w:p>
          <w:p>
            <w:pPr>
              <w:rPr>
                <w:szCs w:val="21"/>
              </w:rPr>
            </w:pPr>
            <w:r>
              <w:rPr>
                <w:rFonts w:ascii="宋体" w:hAnsi="宋体"/>
                <w:kern w:val="0"/>
                <w:szCs w:val="21"/>
              </w:rPr>
              <w:t>□</w:t>
            </w:r>
            <w:r>
              <w:rPr>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17" w:type="dxa"/>
            <w:vAlign w:val="center"/>
          </w:tcPr>
          <w:p>
            <w:pPr>
              <w:jc w:val="center"/>
              <w:rPr>
                <w:szCs w:val="21"/>
              </w:rPr>
            </w:pPr>
            <w:r>
              <w:rPr>
                <w:rFonts w:hint="eastAsia"/>
                <w:szCs w:val="21"/>
              </w:rPr>
              <w:t>3.6.3</w:t>
            </w:r>
          </w:p>
        </w:tc>
        <w:tc>
          <w:tcPr>
            <w:tcW w:w="3372" w:type="dxa"/>
            <w:vAlign w:val="center"/>
          </w:tcPr>
          <w:p>
            <w:pPr>
              <w:jc w:val="left"/>
              <w:rPr>
                <w:szCs w:val="21"/>
              </w:rPr>
            </w:pPr>
            <w:r>
              <w:rPr>
                <w:rFonts w:hint="eastAsia"/>
                <w:szCs w:val="21"/>
              </w:rPr>
              <w:t>投标文件数量</w:t>
            </w:r>
          </w:p>
        </w:tc>
        <w:tc>
          <w:tcPr>
            <w:tcW w:w="5139" w:type="dxa"/>
            <w:vAlign w:val="center"/>
          </w:tcPr>
          <w:p>
            <w:pPr>
              <w:rPr>
                <w:rFonts w:ascii="宋体" w:hAnsi="宋体"/>
                <w:kern w:val="0"/>
                <w:szCs w:val="21"/>
              </w:rPr>
            </w:pPr>
            <w:r>
              <w:rPr>
                <w:rFonts w:hint="eastAsia" w:ascii="宋体" w:hAnsi="宋体"/>
                <w:kern w:val="0"/>
                <w:szCs w:val="21"/>
              </w:rPr>
              <w:t>一式五份，正本一份，副本四份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17" w:type="dxa"/>
            <w:vAlign w:val="center"/>
          </w:tcPr>
          <w:p>
            <w:pPr>
              <w:jc w:val="center"/>
              <w:rPr>
                <w:szCs w:val="21"/>
              </w:rPr>
            </w:pPr>
            <w:r>
              <w:rPr>
                <w:rFonts w:hint="eastAsia"/>
                <w:szCs w:val="21"/>
              </w:rPr>
              <w:t>3.6.4</w:t>
            </w:r>
          </w:p>
        </w:tc>
        <w:tc>
          <w:tcPr>
            <w:tcW w:w="3372" w:type="dxa"/>
            <w:vAlign w:val="center"/>
          </w:tcPr>
          <w:p>
            <w:pPr>
              <w:jc w:val="left"/>
              <w:rPr>
                <w:szCs w:val="21"/>
              </w:rPr>
            </w:pPr>
            <w:r>
              <w:rPr>
                <w:rFonts w:hint="eastAsia"/>
                <w:szCs w:val="21"/>
              </w:rPr>
              <w:t>投标文件装订要求</w:t>
            </w:r>
          </w:p>
        </w:tc>
        <w:tc>
          <w:tcPr>
            <w:tcW w:w="5139" w:type="dxa"/>
            <w:vAlign w:val="center"/>
          </w:tcPr>
          <w:p>
            <w:pPr>
              <w:rPr>
                <w:rFonts w:ascii="宋体" w:hAnsi="宋体"/>
                <w:kern w:val="0"/>
                <w:szCs w:val="21"/>
              </w:rPr>
            </w:pPr>
            <w:r>
              <w:rPr>
                <w:rFonts w:hint="eastAsia" w:ascii="宋体" w:hAnsi="宋体"/>
                <w:bCs/>
                <w:szCs w:val="21"/>
              </w:rPr>
              <w:t>投标人应密封封装投标文件，密封袋包装封面上应注明投标人名称、投标人地址、投标项目名称、项目编号、“开标时启封”字样，并加盖投标人公章。投标文件不得采用活页夹、拉杆夹、夹杆夹等可拆换内页的装订形式（否则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917" w:type="dxa"/>
            <w:vAlign w:val="center"/>
          </w:tcPr>
          <w:p>
            <w:pPr>
              <w:jc w:val="center"/>
              <w:rPr>
                <w:szCs w:val="21"/>
              </w:rPr>
            </w:pPr>
            <w:r>
              <w:rPr>
                <w:szCs w:val="21"/>
              </w:rPr>
              <w:t>4.2.1</w:t>
            </w:r>
          </w:p>
        </w:tc>
        <w:tc>
          <w:tcPr>
            <w:tcW w:w="3372" w:type="dxa"/>
            <w:vAlign w:val="center"/>
          </w:tcPr>
          <w:p>
            <w:pPr>
              <w:rPr>
                <w:szCs w:val="21"/>
              </w:rPr>
            </w:pPr>
            <w:r>
              <w:rPr>
                <w:szCs w:val="21"/>
              </w:rPr>
              <w:t>投标文件递交截止时间</w:t>
            </w:r>
            <w:r>
              <w:rPr>
                <w:rFonts w:hint="eastAsia"/>
                <w:szCs w:val="21"/>
              </w:rPr>
              <w:t>和地点</w:t>
            </w:r>
          </w:p>
        </w:tc>
        <w:tc>
          <w:tcPr>
            <w:tcW w:w="5139" w:type="dxa"/>
            <w:vAlign w:val="center"/>
          </w:tcPr>
          <w:p>
            <w:pPr>
              <w:rPr>
                <w:szCs w:val="21"/>
              </w:rPr>
            </w:pPr>
            <w:r>
              <w:rPr>
                <w:rFonts w:hint="eastAsia"/>
                <w:szCs w:val="21"/>
              </w:rPr>
              <w:t>时间：2019</w:t>
            </w:r>
            <w:r>
              <w:rPr>
                <w:szCs w:val="21"/>
              </w:rPr>
              <w:t>年</w:t>
            </w:r>
            <w:r>
              <w:rPr>
                <w:rFonts w:hint="eastAsia"/>
                <w:szCs w:val="21"/>
                <w:lang w:val="en-US" w:eastAsia="zh-CN"/>
              </w:rPr>
              <w:t>6</w:t>
            </w:r>
            <w:r>
              <w:rPr>
                <w:szCs w:val="21"/>
              </w:rPr>
              <w:t>月</w:t>
            </w:r>
            <w:r>
              <w:rPr>
                <w:rFonts w:hint="eastAsia"/>
                <w:szCs w:val="21"/>
                <w:lang w:val="en-US" w:eastAsia="zh-CN"/>
              </w:rPr>
              <w:t>3</w:t>
            </w:r>
            <w:r>
              <w:rPr>
                <w:szCs w:val="21"/>
              </w:rPr>
              <w:t>日</w:t>
            </w:r>
            <w:r>
              <w:rPr>
                <w:rFonts w:hint="eastAsia"/>
                <w:szCs w:val="21"/>
                <w:u w:val="none"/>
                <w:lang w:val="en-US" w:eastAsia="zh-CN"/>
              </w:rPr>
              <w:t>15</w:t>
            </w:r>
            <w:r>
              <w:rPr>
                <w:szCs w:val="21"/>
              </w:rPr>
              <w:t>时</w:t>
            </w:r>
            <w:r>
              <w:rPr>
                <w:rFonts w:hint="eastAsia"/>
                <w:szCs w:val="21"/>
                <w:u w:val="none"/>
              </w:rPr>
              <w:t>30</w:t>
            </w:r>
            <w:r>
              <w:rPr>
                <w:szCs w:val="21"/>
              </w:rPr>
              <w:t>分</w:t>
            </w:r>
          </w:p>
          <w:p>
            <w:pPr>
              <w:rPr>
                <w:szCs w:val="21"/>
              </w:rPr>
            </w:pPr>
            <w:r>
              <w:rPr>
                <w:rFonts w:hint="eastAsia"/>
                <w:szCs w:val="21"/>
              </w:rPr>
              <w:t>地点：盐城市大丰区公共资源交易中心开标二室（大丰城东新区丰华国际大厦四楼,盐城市大丰区丰华路与飞达路交叉西150米）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17" w:type="dxa"/>
            <w:vAlign w:val="center"/>
          </w:tcPr>
          <w:p>
            <w:pPr>
              <w:jc w:val="center"/>
              <w:rPr>
                <w:szCs w:val="21"/>
              </w:rPr>
            </w:pPr>
            <w:r>
              <w:rPr>
                <w:szCs w:val="21"/>
              </w:rPr>
              <w:t>4.2.3</w:t>
            </w:r>
          </w:p>
        </w:tc>
        <w:tc>
          <w:tcPr>
            <w:tcW w:w="3372" w:type="dxa"/>
            <w:vAlign w:val="center"/>
          </w:tcPr>
          <w:p>
            <w:pPr>
              <w:rPr>
                <w:szCs w:val="21"/>
              </w:rPr>
            </w:pPr>
            <w:r>
              <w:rPr>
                <w:szCs w:val="21"/>
              </w:rPr>
              <w:t>是否退还投标文件</w:t>
            </w:r>
          </w:p>
        </w:tc>
        <w:tc>
          <w:tcPr>
            <w:tcW w:w="5139" w:type="dxa"/>
            <w:vAlign w:val="center"/>
          </w:tcPr>
          <w:p>
            <w:pPr>
              <w:rPr>
                <w:szCs w:val="21"/>
              </w:rPr>
            </w:pPr>
            <w:r>
              <w:rPr>
                <w:rFonts w:ascii="宋体" w:hAnsi="宋体"/>
                <w:b/>
                <w:kern w:val="0"/>
                <w:szCs w:val="21"/>
                <w:bdr w:val="single" w:color="auto" w:sz="4" w:space="0"/>
              </w:rPr>
              <w:t>√</w:t>
            </w:r>
            <w:r>
              <w:rPr>
                <w:szCs w:val="21"/>
              </w:rPr>
              <w:t>否</w:t>
            </w:r>
            <w:r>
              <w:rPr>
                <w:rFonts w:hint="eastAsia"/>
                <w:szCs w:val="21"/>
              </w:rPr>
              <w:t>，除相关原件外。</w:t>
            </w:r>
          </w:p>
          <w:p>
            <w:pPr>
              <w:rPr>
                <w:szCs w:val="21"/>
                <w:u w:val="single"/>
              </w:rPr>
            </w:pPr>
            <w:r>
              <w:rPr>
                <w:rFonts w:ascii="宋体" w:hAnsi="宋体"/>
                <w:kern w:val="0"/>
                <w:szCs w:val="21"/>
              </w:rPr>
              <w:t>□</w:t>
            </w:r>
            <w:r>
              <w:rPr>
                <w:szCs w:val="21"/>
              </w:rPr>
              <w:t>是</w:t>
            </w:r>
            <w:r>
              <w:rPr>
                <w:rFonts w:hint="eastAsia" w:ascii="宋体" w:hAnsi="宋体"/>
                <w:szCs w:val="21"/>
              </w:rPr>
              <w:t>，退还安排：</w:t>
            </w:r>
            <w:r>
              <w:rPr>
                <w:rFonts w:hint="eastAsia" w:ascii="宋体" w:hAnsi="宋体"/>
                <w:szCs w:val="21"/>
                <w:u w:val="single"/>
              </w:rPr>
              <w:t xml:space="preserve">               </w:t>
            </w:r>
          </w:p>
        </w:tc>
      </w:tr>
      <w:tr>
        <w:tblPrEx>
          <w:tblLayout w:type="fixed"/>
          <w:tblCellMar>
            <w:top w:w="0" w:type="dxa"/>
            <w:left w:w="108" w:type="dxa"/>
            <w:bottom w:w="0" w:type="dxa"/>
            <w:right w:w="108" w:type="dxa"/>
          </w:tblCellMar>
        </w:tblPrEx>
        <w:trPr>
          <w:trHeight w:val="851" w:hRule="atLeast"/>
          <w:jc w:val="center"/>
        </w:trPr>
        <w:tc>
          <w:tcPr>
            <w:tcW w:w="917" w:type="dxa"/>
            <w:vAlign w:val="center"/>
          </w:tcPr>
          <w:p>
            <w:pPr>
              <w:jc w:val="center"/>
              <w:rPr>
                <w:szCs w:val="21"/>
              </w:rPr>
            </w:pPr>
            <w:r>
              <w:rPr>
                <w:szCs w:val="21"/>
              </w:rPr>
              <w:t>5.1</w:t>
            </w:r>
          </w:p>
        </w:tc>
        <w:tc>
          <w:tcPr>
            <w:tcW w:w="3372" w:type="dxa"/>
            <w:vAlign w:val="center"/>
          </w:tcPr>
          <w:p>
            <w:pPr>
              <w:rPr>
                <w:szCs w:val="21"/>
              </w:rPr>
            </w:pPr>
            <w:r>
              <w:rPr>
                <w:szCs w:val="21"/>
              </w:rPr>
              <w:t>开标时间和地点</w:t>
            </w:r>
          </w:p>
        </w:tc>
        <w:tc>
          <w:tcPr>
            <w:tcW w:w="5139" w:type="dxa"/>
            <w:vAlign w:val="center"/>
          </w:tcPr>
          <w:p>
            <w:pPr>
              <w:rPr>
                <w:szCs w:val="21"/>
              </w:rPr>
            </w:pPr>
            <w:r>
              <w:rPr>
                <w:szCs w:val="21"/>
              </w:rPr>
              <w:t>开标时间：</w:t>
            </w:r>
            <w:r>
              <w:rPr>
                <w:rFonts w:hint="eastAsia"/>
                <w:szCs w:val="21"/>
              </w:rPr>
              <w:t>同投标截止时间</w:t>
            </w:r>
          </w:p>
          <w:p>
            <w:pPr>
              <w:rPr>
                <w:szCs w:val="21"/>
                <w:u w:val="single"/>
              </w:rPr>
            </w:pPr>
            <w:r>
              <w:rPr>
                <w:szCs w:val="21"/>
              </w:rPr>
              <w:t>开标地点：</w:t>
            </w:r>
            <w:r>
              <w:rPr>
                <w:rFonts w:hint="eastAsia" w:ascii="宋体" w:hAnsi="宋体" w:cs="宋体"/>
                <w:szCs w:val="21"/>
              </w:rPr>
              <w:t>同递交投标文件地点</w:t>
            </w:r>
          </w:p>
        </w:tc>
      </w:tr>
      <w:tr>
        <w:tblPrEx>
          <w:tblLayout w:type="fixed"/>
          <w:tblCellMar>
            <w:top w:w="0" w:type="dxa"/>
            <w:left w:w="108" w:type="dxa"/>
            <w:bottom w:w="0" w:type="dxa"/>
            <w:right w:w="108" w:type="dxa"/>
          </w:tblCellMar>
        </w:tblPrEx>
        <w:trPr>
          <w:trHeight w:val="414" w:hRule="atLeast"/>
          <w:jc w:val="center"/>
        </w:trPr>
        <w:tc>
          <w:tcPr>
            <w:tcW w:w="917" w:type="dxa"/>
            <w:vAlign w:val="center"/>
          </w:tcPr>
          <w:p>
            <w:pPr>
              <w:jc w:val="center"/>
              <w:rPr>
                <w:szCs w:val="21"/>
              </w:rPr>
            </w:pPr>
            <w:r>
              <w:rPr>
                <w:rFonts w:hint="eastAsia"/>
                <w:szCs w:val="21"/>
              </w:rPr>
              <w:t>6.4</w:t>
            </w:r>
          </w:p>
        </w:tc>
        <w:tc>
          <w:tcPr>
            <w:tcW w:w="3372" w:type="dxa"/>
            <w:vAlign w:val="center"/>
          </w:tcPr>
          <w:p>
            <w:pPr>
              <w:rPr>
                <w:szCs w:val="21"/>
              </w:rPr>
            </w:pPr>
            <w:r>
              <w:rPr>
                <w:rFonts w:hint="eastAsia"/>
                <w:szCs w:val="21"/>
              </w:rPr>
              <w:t>多标段推荐中标候选人方法</w:t>
            </w:r>
          </w:p>
        </w:tc>
        <w:tc>
          <w:tcPr>
            <w:tcW w:w="5139" w:type="dxa"/>
            <w:vAlign w:val="center"/>
          </w:tcPr>
          <w:p>
            <w:pPr>
              <w:rPr>
                <w:szCs w:val="21"/>
              </w:rPr>
            </w:pPr>
            <w:r>
              <w:rPr>
                <w:rFonts w:hint="eastAsia"/>
                <w:szCs w:val="21"/>
              </w:rPr>
              <w:t>/</w:t>
            </w:r>
          </w:p>
        </w:tc>
      </w:tr>
      <w:tr>
        <w:tblPrEx>
          <w:tblLayout w:type="fixed"/>
          <w:tblCellMar>
            <w:top w:w="0" w:type="dxa"/>
            <w:left w:w="108" w:type="dxa"/>
            <w:bottom w:w="0" w:type="dxa"/>
            <w:right w:w="108" w:type="dxa"/>
          </w:tblCellMar>
        </w:tblPrEx>
        <w:trPr>
          <w:trHeight w:val="703" w:hRule="atLeast"/>
          <w:jc w:val="center"/>
        </w:trPr>
        <w:tc>
          <w:tcPr>
            <w:tcW w:w="917" w:type="dxa"/>
            <w:vAlign w:val="center"/>
          </w:tcPr>
          <w:p>
            <w:pPr>
              <w:jc w:val="center"/>
              <w:rPr>
                <w:szCs w:val="21"/>
                <w:highlight w:val="none"/>
              </w:rPr>
            </w:pPr>
            <w:r>
              <w:rPr>
                <w:rFonts w:hint="eastAsia"/>
                <w:szCs w:val="21"/>
                <w:highlight w:val="none"/>
              </w:rPr>
              <w:t>8</w:t>
            </w:r>
            <w:r>
              <w:rPr>
                <w:szCs w:val="21"/>
                <w:highlight w:val="none"/>
              </w:rPr>
              <w:t>.1</w:t>
            </w:r>
          </w:p>
        </w:tc>
        <w:tc>
          <w:tcPr>
            <w:tcW w:w="3372" w:type="dxa"/>
            <w:vAlign w:val="center"/>
          </w:tcPr>
          <w:p>
            <w:pPr>
              <w:rPr>
                <w:szCs w:val="21"/>
                <w:highlight w:val="none"/>
              </w:rPr>
            </w:pPr>
            <w:r>
              <w:rPr>
                <w:szCs w:val="21"/>
                <w:highlight w:val="none"/>
              </w:rPr>
              <w:t>是否授权评标委员会确定中标人</w:t>
            </w:r>
          </w:p>
        </w:tc>
        <w:tc>
          <w:tcPr>
            <w:tcW w:w="5139" w:type="dxa"/>
            <w:vAlign w:val="center"/>
          </w:tcPr>
          <w:p>
            <w:pPr>
              <w:rPr>
                <w:szCs w:val="21"/>
              </w:rPr>
            </w:pPr>
            <w:r>
              <w:rPr>
                <w:rFonts w:ascii="宋体" w:hAnsi="宋体"/>
                <w:kern w:val="0"/>
                <w:szCs w:val="21"/>
              </w:rPr>
              <w:t>□</w:t>
            </w:r>
            <w:r>
              <w:rPr>
                <w:szCs w:val="21"/>
              </w:rPr>
              <w:t>是</w:t>
            </w:r>
          </w:p>
          <w:p>
            <w:pPr>
              <w:rPr>
                <w:szCs w:val="21"/>
                <w:u w:val="single"/>
              </w:rPr>
            </w:pPr>
            <w:r>
              <w:rPr>
                <w:rFonts w:ascii="宋体" w:hAnsi="宋体"/>
                <w:b/>
                <w:kern w:val="0"/>
                <w:szCs w:val="21"/>
                <w:bdr w:val="single" w:color="auto" w:sz="4" w:space="0"/>
              </w:rPr>
              <w:t>√</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17" w:type="dxa"/>
            <w:vAlign w:val="center"/>
          </w:tcPr>
          <w:p>
            <w:pPr>
              <w:jc w:val="center"/>
              <w:rPr>
                <w:rFonts w:ascii="宋体" w:hAnsi="宋体"/>
                <w:color w:val="000000"/>
                <w:szCs w:val="21"/>
              </w:rPr>
            </w:pPr>
            <w:r>
              <w:rPr>
                <w:rFonts w:hint="eastAsia" w:ascii="宋体" w:hAnsi="宋体"/>
                <w:color w:val="000000"/>
                <w:szCs w:val="21"/>
              </w:rPr>
              <w:t>8.3</w:t>
            </w:r>
          </w:p>
        </w:tc>
        <w:tc>
          <w:tcPr>
            <w:tcW w:w="3372" w:type="dxa"/>
            <w:vAlign w:val="center"/>
          </w:tcPr>
          <w:p>
            <w:pPr>
              <w:rPr>
                <w:rFonts w:ascii="宋体" w:hAnsi="宋体"/>
                <w:color w:val="000000"/>
                <w:szCs w:val="21"/>
              </w:rPr>
            </w:pPr>
            <w:r>
              <w:rPr>
                <w:rFonts w:ascii="宋体" w:hAnsi="宋体"/>
                <w:color w:val="000000"/>
                <w:szCs w:val="21"/>
              </w:rPr>
              <w:t>履约保证金</w:t>
            </w:r>
          </w:p>
        </w:tc>
        <w:tc>
          <w:tcPr>
            <w:tcW w:w="5139" w:type="dxa"/>
            <w:vAlign w:val="center"/>
          </w:tcPr>
          <w:p>
            <w:pPr>
              <w:rPr>
                <w:rFonts w:ascii="宋体" w:hAnsi="宋体"/>
                <w:bCs/>
                <w:color w:val="000000"/>
                <w:szCs w:val="21"/>
              </w:rPr>
            </w:pPr>
            <w:r>
              <w:rPr>
                <w:rFonts w:ascii="宋体" w:hAnsi="宋体"/>
                <w:bCs/>
                <w:color w:val="000000"/>
                <w:szCs w:val="21"/>
              </w:rPr>
              <w:t>履约保证金的形式</w:t>
            </w:r>
            <w:r>
              <w:rPr>
                <w:rFonts w:hint="eastAsia" w:ascii="宋体" w:hAnsi="宋体"/>
                <w:bCs/>
                <w:color w:val="000000"/>
                <w:szCs w:val="21"/>
              </w:rPr>
              <w:t>：银行转帐、电汇、网汇等。</w:t>
            </w:r>
          </w:p>
          <w:p>
            <w:pPr>
              <w:rPr>
                <w:rFonts w:ascii="宋体" w:hAnsi="宋体"/>
                <w:color w:val="000000"/>
                <w:szCs w:val="21"/>
              </w:rPr>
            </w:pPr>
            <w:r>
              <w:rPr>
                <w:rFonts w:ascii="宋体" w:hAnsi="宋体"/>
                <w:bCs/>
                <w:color w:val="000000"/>
                <w:szCs w:val="21"/>
              </w:rPr>
              <w:t>履约保证金的金额</w:t>
            </w:r>
            <w:r>
              <w:rPr>
                <w:rFonts w:ascii="宋体" w:hAnsi="宋体"/>
                <w:bCs/>
                <w:szCs w:val="21"/>
              </w:rPr>
              <w:t>：</w:t>
            </w:r>
            <w:r>
              <w:rPr>
                <w:rFonts w:ascii="宋体" w:hAnsi="宋体"/>
                <w:szCs w:val="21"/>
              </w:rPr>
              <w:t>中标价的</w:t>
            </w:r>
            <w:r>
              <w:rPr>
                <w:rFonts w:hint="eastAsia" w:ascii="宋体" w:hAnsi="宋体"/>
                <w:szCs w:val="21"/>
                <w:u w:val="single"/>
              </w:rPr>
              <w:t>10</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17" w:type="dxa"/>
            <w:vAlign w:val="center"/>
          </w:tcPr>
          <w:p>
            <w:pPr>
              <w:jc w:val="center"/>
              <w:rPr>
                <w:rFonts w:ascii="宋体" w:hAnsi="宋体"/>
                <w:color w:val="000000"/>
                <w:szCs w:val="21"/>
              </w:rPr>
            </w:pPr>
            <w:r>
              <w:rPr>
                <w:rFonts w:hint="eastAsia" w:ascii="宋体" w:hAnsi="宋体"/>
                <w:color w:val="000000"/>
                <w:szCs w:val="21"/>
              </w:rPr>
              <w:t>10.1</w:t>
            </w:r>
          </w:p>
        </w:tc>
        <w:tc>
          <w:tcPr>
            <w:tcW w:w="3372" w:type="dxa"/>
            <w:vAlign w:val="center"/>
          </w:tcPr>
          <w:p>
            <w:pPr>
              <w:rPr>
                <w:rFonts w:ascii="宋体" w:hAnsi="宋体"/>
                <w:color w:val="000000"/>
                <w:szCs w:val="21"/>
              </w:rPr>
            </w:pPr>
            <w:r>
              <w:rPr>
                <w:rFonts w:hint="eastAsia" w:ascii="宋体" w:hAnsi="宋体"/>
                <w:color w:val="000000"/>
                <w:szCs w:val="21"/>
              </w:rPr>
              <w:t>收费标准</w:t>
            </w:r>
          </w:p>
        </w:tc>
        <w:tc>
          <w:tcPr>
            <w:tcW w:w="5139" w:type="dxa"/>
            <w:vAlign w:val="center"/>
          </w:tcPr>
          <w:p>
            <w:pPr>
              <w:rPr>
                <w:rFonts w:ascii="宋体" w:hAnsi="宋体"/>
                <w:color w:val="000000"/>
                <w:szCs w:val="21"/>
              </w:rPr>
            </w:pPr>
            <w:r>
              <w:rPr>
                <w:rFonts w:hint="eastAsia"/>
                <w:bCs/>
                <w:szCs w:val="21"/>
              </w:rPr>
              <w:t>本项目招标代理费向中标单位收取，招标代理费按国家发改价格[2011]534号文件规定货物类标准缴纳；请投标人考虑在投标报价中，但不单列，自行分摊至投标单价、合价中。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917" w:type="dxa"/>
            <w:vAlign w:val="center"/>
          </w:tcPr>
          <w:p>
            <w:pPr>
              <w:jc w:val="center"/>
              <w:rPr>
                <w:rFonts w:ascii="宋体" w:hAnsi="宋体"/>
                <w:color w:val="000000"/>
                <w:szCs w:val="21"/>
              </w:rPr>
            </w:pPr>
            <w:r>
              <w:rPr>
                <w:rFonts w:hint="eastAsia" w:ascii="宋体" w:hAnsi="宋体"/>
                <w:color w:val="000000"/>
                <w:szCs w:val="21"/>
              </w:rPr>
              <w:t>11</w:t>
            </w:r>
          </w:p>
        </w:tc>
        <w:tc>
          <w:tcPr>
            <w:tcW w:w="3372" w:type="dxa"/>
            <w:vAlign w:val="center"/>
          </w:tcPr>
          <w:p>
            <w:pPr>
              <w:rPr>
                <w:rFonts w:ascii="宋体" w:hAnsi="宋体"/>
                <w:color w:val="000000"/>
                <w:szCs w:val="21"/>
              </w:rPr>
            </w:pPr>
            <w:r>
              <w:rPr>
                <w:rFonts w:hint="eastAsia" w:ascii="宋体" w:hAnsi="宋体"/>
                <w:color w:val="000000"/>
                <w:szCs w:val="21"/>
              </w:rPr>
              <w:t>付款方式</w:t>
            </w:r>
          </w:p>
        </w:tc>
        <w:tc>
          <w:tcPr>
            <w:tcW w:w="5139" w:type="dxa"/>
            <w:vAlign w:val="center"/>
          </w:tcPr>
          <w:p>
            <w:pPr>
              <w:snapToGrid w:val="0"/>
              <w:spacing w:before="156" w:beforeLines="50" w:after="156" w:afterLines="50"/>
              <w:rPr>
                <w:rFonts w:hint="default" w:ascii="宋体" w:hAnsi="宋体" w:eastAsia="宋体"/>
                <w:color w:val="000000"/>
                <w:szCs w:val="21"/>
                <w:lang w:val="en-US" w:eastAsia="zh-CN"/>
              </w:rPr>
            </w:pPr>
            <w:r>
              <w:rPr>
                <w:rFonts w:hint="eastAsia" w:ascii="宋体" w:hAnsi="宋体"/>
                <w:color w:val="auto"/>
                <w:szCs w:val="21"/>
                <w:highlight w:val="none"/>
              </w:rPr>
              <w:t>付款方式：本项目无预付款，在签订合同后货物送达到招标人指定地点并安装完毕</w:t>
            </w:r>
            <w:r>
              <w:rPr>
                <w:rFonts w:hint="eastAsia" w:ascii="宋体" w:hAnsi="宋体"/>
                <w:color w:val="auto"/>
                <w:szCs w:val="21"/>
                <w:highlight w:val="none"/>
                <w:lang w:val="en-US" w:eastAsia="zh-CN"/>
              </w:rPr>
              <w:t>且</w:t>
            </w:r>
            <w:r>
              <w:rPr>
                <w:rFonts w:hint="eastAsia" w:ascii="宋体" w:hAnsi="宋体"/>
                <w:color w:val="auto"/>
                <w:szCs w:val="21"/>
                <w:highlight w:val="none"/>
              </w:rPr>
              <w:t>验收合格后支付至审计价款的</w:t>
            </w:r>
            <w:r>
              <w:rPr>
                <w:rFonts w:hint="eastAsia" w:ascii="宋体" w:hAnsi="宋体"/>
                <w:color w:val="auto"/>
                <w:szCs w:val="21"/>
                <w:highlight w:val="none"/>
                <w:lang w:val="en-US" w:eastAsia="zh-CN"/>
              </w:rPr>
              <w:t>9</w:t>
            </w:r>
            <w:r>
              <w:rPr>
                <w:rFonts w:hint="eastAsia" w:ascii="宋体" w:hAnsi="宋体"/>
                <w:color w:val="auto"/>
                <w:szCs w:val="21"/>
                <w:highlight w:val="none"/>
              </w:rPr>
              <w:t>0%；余款作为质量保证金，在质保期满后且运行无质量问题的条件下结清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无任何利息补偿。</w:t>
            </w:r>
          </w:p>
        </w:tc>
      </w:tr>
    </w:tbl>
    <w:p>
      <w:pPr>
        <w:rPr>
          <w:rFonts w:ascii="宋体" w:hAnsi="宋体"/>
          <w:color w:val="000000"/>
          <w:szCs w:val="21"/>
        </w:rPr>
      </w:pPr>
      <w:r>
        <w:rPr>
          <w:rFonts w:ascii="宋体" w:hAnsi="宋体"/>
          <w:color w:val="000000"/>
          <w:szCs w:val="21"/>
        </w:rPr>
        <w:t>特别提醒：</w:t>
      </w:r>
    </w:p>
    <w:p>
      <w:pPr>
        <w:spacing w:line="360" w:lineRule="auto"/>
        <w:ind w:firstLine="482" w:firstLineChars="200"/>
        <w:rPr>
          <w:b/>
          <w:color w:val="000000"/>
          <w:sz w:val="24"/>
        </w:rPr>
      </w:pPr>
      <w:r>
        <w:rPr>
          <w:rFonts w:hint="eastAsia"/>
          <w:b/>
          <w:color w:val="000000"/>
          <w:sz w:val="24"/>
        </w:rPr>
        <w:t>1、</w:t>
      </w:r>
      <w:r>
        <w:rPr>
          <w:b/>
          <w:color w:val="000000"/>
          <w:sz w:val="24"/>
        </w:rPr>
        <w:t>招标人会根据招标需要，可能会不定期在</w:t>
      </w:r>
      <w:r>
        <w:rPr>
          <w:rFonts w:hint="eastAsia"/>
          <w:b/>
          <w:color w:val="000000"/>
          <w:sz w:val="24"/>
        </w:rPr>
        <w:t>盐城市大丰区公共资源交易中心</w:t>
      </w:r>
      <w:r>
        <w:rPr>
          <w:b/>
          <w:color w:val="000000"/>
          <w:sz w:val="24"/>
        </w:rPr>
        <w:t>上</w:t>
      </w:r>
      <w:r>
        <w:rPr>
          <w:rStyle w:val="55"/>
          <w:b/>
          <w:color w:val="000000"/>
          <w:sz w:val="24"/>
        </w:rPr>
        <w:t>(</w:t>
      </w:r>
      <w:r>
        <w:rPr>
          <w:rStyle w:val="55"/>
          <w:rFonts w:hint="eastAsia"/>
          <w:b/>
          <w:color w:val="000000"/>
          <w:sz w:val="24"/>
        </w:rPr>
        <w:t>http://ggzy.dafeng.gov.cn)</w:t>
      </w:r>
      <w:r>
        <w:rPr>
          <w:b/>
          <w:color w:val="000000"/>
          <w:sz w:val="24"/>
        </w:rPr>
        <w:t>发布该项目补充答疑等澄清修改文件，请各投标人自行网上查寻，未能及时查阅响应而影响投标的，结果由投标人负责。</w:t>
      </w:r>
    </w:p>
    <w:p>
      <w:pPr>
        <w:spacing w:line="360" w:lineRule="auto"/>
        <w:ind w:firstLine="482" w:firstLineChars="200"/>
      </w:pPr>
      <w:r>
        <w:rPr>
          <w:rFonts w:hint="eastAsia"/>
          <w:b/>
          <w:color w:val="000000"/>
          <w:sz w:val="24"/>
        </w:rPr>
        <w:t>2、投标单位的法定代表人或其委托代理人须携带有效身份证明原件出席开标会议，否则其投标将被拒绝。</w:t>
      </w:r>
    </w:p>
    <w:p>
      <w:pPr>
        <w:pStyle w:val="3"/>
        <w:spacing w:line="360" w:lineRule="auto"/>
        <w:rPr>
          <w:rFonts w:ascii="宋体" w:hAnsi="宋体" w:eastAsia="宋体"/>
        </w:rPr>
      </w:pPr>
      <w:bookmarkStart w:id="27" w:name="_Toc6539"/>
      <w:bookmarkStart w:id="28" w:name="_Toc363329370"/>
      <w:bookmarkStart w:id="29" w:name="_Toc368759375"/>
      <w:bookmarkStart w:id="30" w:name="_Toc368760427"/>
      <w:bookmarkStart w:id="31" w:name="_Toc387526179"/>
      <w:bookmarkStart w:id="32" w:name="_Toc387526375"/>
      <w:bookmarkStart w:id="33" w:name="_Toc184635071"/>
      <w:bookmarkStart w:id="34" w:name="_Toc962"/>
      <w:bookmarkStart w:id="35" w:name="_Toc369077561"/>
      <w:bookmarkStart w:id="36" w:name="_Toc18948"/>
      <w:bookmarkStart w:id="37" w:name="_Toc387526283"/>
      <w:bookmarkStart w:id="38" w:name="_Toc367894798"/>
      <w:r>
        <w:rPr>
          <w:rFonts w:ascii="宋体" w:hAnsi="宋体" w:eastAsia="宋体"/>
        </w:rPr>
        <w:t>1</w:t>
      </w:r>
      <w:r>
        <w:rPr>
          <w:sz w:val="28"/>
          <w:szCs w:val="28"/>
        </w:rPr>
        <w:t>.</w:t>
      </w:r>
      <w:r>
        <w:rPr>
          <w:rFonts w:ascii="宋体" w:hAnsi="宋体" w:eastAsia="宋体"/>
        </w:rPr>
        <w:t>总则</w:t>
      </w:r>
      <w:bookmarkEnd w:id="27"/>
      <w:bookmarkEnd w:id="28"/>
      <w:bookmarkEnd w:id="29"/>
      <w:bookmarkEnd w:id="30"/>
      <w:bookmarkEnd w:id="31"/>
      <w:bookmarkEnd w:id="32"/>
      <w:bookmarkEnd w:id="33"/>
      <w:bookmarkEnd w:id="34"/>
      <w:bookmarkEnd w:id="35"/>
      <w:bookmarkEnd w:id="36"/>
      <w:bookmarkEnd w:id="37"/>
      <w:bookmarkEnd w:id="38"/>
    </w:p>
    <w:p>
      <w:pPr>
        <w:pStyle w:val="4"/>
        <w:spacing w:before="60" w:after="60" w:line="360" w:lineRule="auto"/>
        <w:ind w:firstLine="118"/>
        <w:rPr>
          <w:szCs w:val="24"/>
        </w:rPr>
      </w:pPr>
      <w:bookmarkStart w:id="39" w:name="_Toc387526284"/>
      <w:bookmarkStart w:id="40" w:name="_Toc387526180"/>
      <w:bookmarkStart w:id="41" w:name="_Toc19302"/>
      <w:bookmarkStart w:id="42" w:name="_Toc5365"/>
      <w:bookmarkStart w:id="43" w:name="_Toc387526376"/>
      <w:bookmarkStart w:id="44" w:name="_Toc4763"/>
      <w:r>
        <w:rPr>
          <w:szCs w:val="24"/>
        </w:rPr>
        <w:t>1.1 项目概况</w:t>
      </w:r>
      <w:bookmarkEnd w:id="39"/>
      <w:bookmarkEnd w:id="40"/>
      <w:bookmarkEnd w:id="41"/>
      <w:bookmarkEnd w:id="42"/>
      <w:bookmarkEnd w:id="43"/>
      <w:bookmarkEnd w:id="44"/>
    </w:p>
    <w:p>
      <w:pPr>
        <w:spacing w:line="360" w:lineRule="auto"/>
        <w:ind w:firstLine="420" w:firstLineChars="200"/>
      </w:pPr>
      <w:r>
        <w:t>1.1.1根据有关法律、法规和规章的规定，本招标项目已具备招标条件，现对本项目货物进行招标。</w:t>
      </w:r>
    </w:p>
    <w:p>
      <w:pPr>
        <w:spacing w:line="360" w:lineRule="auto"/>
        <w:ind w:firstLine="420" w:firstLineChars="200"/>
      </w:pPr>
      <w:r>
        <w:t>1.1.2本招标项目招标人：见投标人须知前附表。</w:t>
      </w:r>
    </w:p>
    <w:p>
      <w:pPr>
        <w:spacing w:line="360" w:lineRule="auto"/>
        <w:ind w:firstLine="420" w:firstLineChars="200"/>
      </w:pPr>
      <w:r>
        <w:t>1.1.3本招标项目招标代理机构：见投标人须知前附表。</w:t>
      </w:r>
    </w:p>
    <w:p>
      <w:pPr>
        <w:spacing w:line="360" w:lineRule="auto"/>
        <w:ind w:firstLine="420" w:firstLineChars="200"/>
      </w:pPr>
      <w:r>
        <w:t>1.1.4本招标项目名称：见投标人须知前附表。</w:t>
      </w:r>
    </w:p>
    <w:p>
      <w:pPr>
        <w:pStyle w:val="4"/>
        <w:spacing w:before="60" w:after="60" w:line="360" w:lineRule="auto"/>
        <w:ind w:firstLine="118"/>
        <w:rPr>
          <w:szCs w:val="24"/>
        </w:rPr>
      </w:pPr>
      <w:bookmarkStart w:id="45" w:name="_Toc387526285"/>
      <w:bookmarkStart w:id="46" w:name="_Toc387526377"/>
      <w:bookmarkStart w:id="47" w:name="_Toc27291"/>
      <w:bookmarkStart w:id="48" w:name="_Toc12083"/>
      <w:bookmarkStart w:id="49" w:name="_Toc387526181"/>
      <w:bookmarkStart w:id="50" w:name="_Toc11796"/>
      <w:r>
        <w:rPr>
          <w:szCs w:val="24"/>
        </w:rPr>
        <w:t>1.2 资金来源和落实情况</w:t>
      </w:r>
      <w:bookmarkEnd w:id="45"/>
      <w:bookmarkEnd w:id="46"/>
      <w:bookmarkEnd w:id="47"/>
      <w:bookmarkEnd w:id="48"/>
      <w:bookmarkEnd w:id="49"/>
      <w:bookmarkEnd w:id="50"/>
    </w:p>
    <w:p>
      <w:pPr>
        <w:spacing w:line="360" w:lineRule="auto"/>
        <w:ind w:firstLine="420" w:firstLineChars="200"/>
      </w:pPr>
      <w:r>
        <w:t>1.2.1本招标项目的资金来源：见投标人须知前附表。</w:t>
      </w:r>
    </w:p>
    <w:p>
      <w:pPr>
        <w:spacing w:line="360" w:lineRule="auto"/>
        <w:ind w:firstLine="420" w:firstLineChars="200"/>
      </w:pPr>
      <w:r>
        <w:t>1.2.2本招标项目的出资比例：见投标人须知前附表。</w:t>
      </w:r>
    </w:p>
    <w:p>
      <w:pPr>
        <w:spacing w:line="360" w:lineRule="auto"/>
        <w:ind w:firstLine="420" w:firstLineChars="200"/>
      </w:pPr>
      <w:r>
        <w:t>1.2.3本招标项目的资金落实情况：见投标人须知前附表。</w:t>
      </w:r>
    </w:p>
    <w:p>
      <w:pPr>
        <w:pStyle w:val="4"/>
        <w:spacing w:before="60" w:after="60" w:line="360" w:lineRule="auto"/>
        <w:ind w:firstLine="118"/>
        <w:rPr>
          <w:szCs w:val="24"/>
        </w:rPr>
      </w:pPr>
      <w:bookmarkStart w:id="51" w:name="_Toc853"/>
      <w:bookmarkStart w:id="52" w:name="_Toc387526378"/>
      <w:bookmarkStart w:id="53" w:name="_Toc350"/>
      <w:bookmarkStart w:id="54" w:name="_Toc387526286"/>
      <w:bookmarkStart w:id="55" w:name="_Toc25004"/>
      <w:bookmarkStart w:id="56" w:name="_Toc387526182"/>
      <w:r>
        <w:rPr>
          <w:szCs w:val="24"/>
        </w:rPr>
        <w:t>1.3</w:t>
      </w:r>
      <w:r>
        <w:rPr>
          <w:rFonts w:hint="eastAsia"/>
          <w:szCs w:val="24"/>
        </w:rPr>
        <w:t xml:space="preserve"> </w:t>
      </w:r>
      <w:r>
        <w:rPr>
          <w:szCs w:val="24"/>
        </w:rPr>
        <w:t>招标范围、交货期或工期和质量要求</w:t>
      </w:r>
      <w:bookmarkEnd w:id="51"/>
      <w:bookmarkEnd w:id="52"/>
      <w:bookmarkEnd w:id="53"/>
      <w:bookmarkEnd w:id="54"/>
      <w:bookmarkEnd w:id="55"/>
      <w:bookmarkEnd w:id="56"/>
    </w:p>
    <w:p>
      <w:pPr>
        <w:spacing w:line="360" w:lineRule="auto"/>
        <w:ind w:firstLine="420" w:firstLineChars="200"/>
      </w:pPr>
      <w:r>
        <w:t>1.3.1本次招标范围：见投标人须知前附表。</w:t>
      </w:r>
    </w:p>
    <w:p>
      <w:pPr>
        <w:spacing w:line="360" w:lineRule="auto"/>
        <w:ind w:firstLine="420" w:firstLineChars="200"/>
      </w:pPr>
      <w:r>
        <w:t>1.3.2本招标项目的交货期或工期：见投标人须知前附表。</w:t>
      </w:r>
    </w:p>
    <w:p>
      <w:pPr>
        <w:spacing w:line="360" w:lineRule="auto"/>
        <w:ind w:firstLine="420" w:firstLineChars="200"/>
      </w:pPr>
      <w:r>
        <w:t>1.3.3本招标项目的交货地点：见投标人须知前附表。</w:t>
      </w:r>
    </w:p>
    <w:p>
      <w:pPr>
        <w:spacing w:line="360" w:lineRule="auto"/>
        <w:ind w:firstLine="420" w:firstLineChars="200"/>
      </w:pPr>
      <w:r>
        <w:t>1.3.4本招标项目的质量要求</w:t>
      </w:r>
      <w:r>
        <w:rPr>
          <w:rFonts w:hint="eastAsia"/>
        </w:rPr>
        <w:t>及验收标准</w:t>
      </w:r>
      <w:r>
        <w:t>：见投标人须知前附表。</w:t>
      </w:r>
    </w:p>
    <w:p>
      <w:pPr>
        <w:pStyle w:val="4"/>
        <w:spacing w:before="60" w:after="60" w:line="360" w:lineRule="auto"/>
        <w:ind w:firstLine="118"/>
        <w:rPr>
          <w:szCs w:val="24"/>
        </w:rPr>
      </w:pPr>
      <w:bookmarkStart w:id="57" w:name="_Toc387526183"/>
      <w:bookmarkStart w:id="58" w:name="_Toc387526287"/>
      <w:bookmarkStart w:id="59" w:name="_Toc13930"/>
      <w:bookmarkStart w:id="60" w:name="_Toc18031"/>
      <w:bookmarkStart w:id="61" w:name="_Toc387526379"/>
      <w:bookmarkStart w:id="62" w:name="_Toc26594"/>
      <w:r>
        <w:rPr>
          <w:szCs w:val="24"/>
        </w:rPr>
        <w:t>1.4 投标人资格要求</w:t>
      </w:r>
      <w:bookmarkEnd w:id="57"/>
      <w:bookmarkEnd w:id="58"/>
      <w:bookmarkEnd w:id="59"/>
      <w:bookmarkEnd w:id="60"/>
      <w:bookmarkEnd w:id="61"/>
      <w:bookmarkEnd w:id="62"/>
    </w:p>
    <w:p>
      <w:pPr>
        <w:autoSpaceDE w:val="0"/>
        <w:autoSpaceDN w:val="0"/>
        <w:adjustRightInd w:val="0"/>
        <w:spacing w:line="360" w:lineRule="auto"/>
        <w:ind w:firstLine="420" w:firstLineChars="200"/>
        <w:jc w:val="left"/>
      </w:pPr>
      <w:r>
        <w:rPr>
          <w:rFonts w:hint="eastAsia"/>
        </w:rPr>
        <w:t>1.4.1 投标人应具备的资格要求见投标人须知前附表。</w:t>
      </w:r>
    </w:p>
    <w:p>
      <w:pPr>
        <w:autoSpaceDE w:val="0"/>
        <w:autoSpaceDN w:val="0"/>
        <w:adjustRightInd w:val="0"/>
        <w:spacing w:line="360" w:lineRule="auto"/>
        <w:ind w:firstLine="420" w:firstLineChars="200"/>
        <w:jc w:val="left"/>
        <w:rPr>
          <w:rFonts w:ascii="TimesNewRomanPSMT" w:hAnsi="TimesNewRomanPSMT" w:cs="TimesNewRomanPSMT"/>
          <w:kern w:val="0"/>
          <w:sz w:val="24"/>
        </w:rPr>
      </w:pPr>
      <w:r>
        <w:rPr>
          <w:rFonts w:hint="eastAsia"/>
        </w:rPr>
        <w:t>1.4.2 本项目不接受联合体投标</w:t>
      </w:r>
      <w:r>
        <w:rPr>
          <w:rFonts w:hint="eastAsia" w:ascii="TimesNewRomanPSMT" w:hAnsi="TimesNewRomanPSMT" w:cs="TimesNewRomanPSMT"/>
          <w:kern w:val="0"/>
          <w:sz w:val="24"/>
        </w:rPr>
        <w:t>。</w:t>
      </w:r>
    </w:p>
    <w:p>
      <w:pPr>
        <w:spacing w:line="360" w:lineRule="auto"/>
        <w:ind w:firstLine="420" w:firstLineChars="200"/>
        <w:rPr>
          <w:rFonts w:ascii="宋体" w:hAnsi="宋体"/>
          <w:szCs w:val="21"/>
        </w:rPr>
      </w:pPr>
      <w:r>
        <w:rPr>
          <w:rFonts w:hint="eastAsia" w:ascii="宋体" w:hAnsi="宋体"/>
          <w:szCs w:val="21"/>
        </w:rPr>
        <w:t xml:space="preserve">1.4.3 </w:t>
      </w:r>
      <w:r>
        <w:rPr>
          <w:rFonts w:hint="eastAsia"/>
        </w:rPr>
        <w:t>投标</w:t>
      </w:r>
      <w:r>
        <w:rPr>
          <w:rFonts w:hint="eastAsia" w:ascii="宋体" w:hAnsi="宋体"/>
          <w:szCs w:val="21"/>
        </w:rPr>
        <w:t xml:space="preserve">人不得存在下列情形之一： </w:t>
      </w:r>
    </w:p>
    <w:p>
      <w:pPr>
        <w:spacing w:line="360" w:lineRule="auto"/>
        <w:ind w:firstLine="420" w:firstLineChars="200"/>
        <w:rPr>
          <w:rFonts w:ascii="宋体" w:hAnsi="宋体"/>
          <w:szCs w:val="21"/>
        </w:rPr>
      </w:pPr>
      <w:bookmarkStart w:id="63" w:name="_Toc387526288"/>
      <w:bookmarkStart w:id="64" w:name="_Toc387526380"/>
      <w:bookmarkStart w:id="65" w:name="_Toc387526184"/>
      <w:bookmarkStart w:id="66" w:name="_Toc1684"/>
      <w:r>
        <w:rPr>
          <w:rFonts w:hint="eastAsia" w:ascii="宋体" w:hAnsi="宋体"/>
          <w:szCs w:val="21"/>
        </w:rPr>
        <w:t xml:space="preserve">（1）为招标人的附属机构（单位）； </w:t>
      </w:r>
    </w:p>
    <w:p>
      <w:pPr>
        <w:spacing w:line="360" w:lineRule="auto"/>
        <w:ind w:firstLine="420" w:firstLineChars="200"/>
        <w:rPr>
          <w:rFonts w:ascii="宋体" w:hAnsi="宋体"/>
          <w:szCs w:val="21"/>
        </w:rPr>
      </w:pPr>
      <w:r>
        <w:rPr>
          <w:rFonts w:hint="eastAsia" w:ascii="宋体" w:hAnsi="宋体"/>
          <w:szCs w:val="21"/>
        </w:rPr>
        <w:t>（2）为本标段前期准备提供设计或咨询服务的，但两阶段招标的除外；</w:t>
      </w:r>
    </w:p>
    <w:p>
      <w:pPr>
        <w:spacing w:line="360" w:lineRule="auto"/>
        <w:ind w:firstLine="420" w:firstLineChars="200"/>
        <w:rPr>
          <w:rFonts w:ascii="宋体" w:hAnsi="宋体"/>
          <w:szCs w:val="21"/>
        </w:rPr>
      </w:pPr>
      <w:r>
        <w:rPr>
          <w:rFonts w:hint="eastAsia" w:ascii="宋体" w:hAnsi="宋体"/>
          <w:szCs w:val="21"/>
        </w:rPr>
        <w:t xml:space="preserve">（3）为本标段的监理人； </w:t>
      </w:r>
    </w:p>
    <w:p>
      <w:pPr>
        <w:spacing w:line="360" w:lineRule="auto"/>
        <w:ind w:firstLine="420" w:firstLineChars="200"/>
        <w:rPr>
          <w:rFonts w:ascii="宋体" w:hAnsi="宋体"/>
          <w:szCs w:val="21"/>
        </w:rPr>
      </w:pPr>
      <w:r>
        <w:rPr>
          <w:rFonts w:hint="eastAsia" w:ascii="宋体" w:hAnsi="宋体"/>
          <w:szCs w:val="21"/>
        </w:rPr>
        <w:t xml:space="preserve">（4）为本标段的代建人； </w:t>
      </w:r>
    </w:p>
    <w:p>
      <w:pPr>
        <w:spacing w:line="360" w:lineRule="auto"/>
        <w:ind w:firstLine="420" w:firstLineChars="200"/>
        <w:rPr>
          <w:rFonts w:ascii="宋体" w:hAnsi="宋体"/>
          <w:szCs w:val="21"/>
        </w:rPr>
      </w:pPr>
      <w:r>
        <w:rPr>
          <w:rFonts w:hint="eastAsia" w:ascii="宋体" w:hAnsi="宋体"/>
          <w:szCs w:val="21"/>
        </w:rPr>
        <w:t xml:space="preserve">（5）为本标段提供招标代理服务的； </w:t>
      </w:r>
    </w:p>
    <w:p>
      <w:pPr>
        <w:spacing w:line="360" w:lineRule="auto"/>
        <w:ind w:firstLine="420" w:firstLineChars="200"/>
        <w:rPr>
          <w:rFonts w:ascii="宋体" w:hAnsi="宋体"/>
          <w:szCs w:val="21"/>
        </w:rPr>
      </w:pPr>
      <w:r>
        <w:rPr>
          <w:rFonts w:hint="eastAsia" w:ascii="宋体" w:hAnsi="宋体"/>
          <w:szCs w:val="21"/>
        </w:rPr>
        <w:t xml:space="preserve">（6）与本标段的监理人或代建人或招标代理机构的单位负责人为同一个人的； </w:t>
      </w:r>
    </w:p>
    <w:p>
      <w:pPr>
        <w:spacing w:line="360" w:lineRule="auto"/>
        <w:ind w:firstLine="420" w:firstLineChars="200"/>
        <w:rPr>
          <w:rFonts w:ascii="宋体" w:hAnsi="宋体"/>
          <w:szCs w:val="21"/>
        </w:rPr>
      </w:pPr>
      <w:r>
        <w:rPr>
          <w:rFonts w:hint="eastAsia" w:ascii="宋体" w:hAnsi="宋体"/>
          <w:szCs w:val="21"/>
        </w:rPr>
        <w:t xml:space="preserve">（7）与本标段的监理人或代建人或招标代理机构相互控股或参股的； </w:t>
      </w:r>
    </w:p>
    <w:p>
      <w:pPr>
        <w:spacing w:line="360" w:lineRule="auto"/>
        <w:ind w:firstLine="420" w:firstLineChars="200"/>
        <w:rPr>
          <w:rFonts w:ascii="宋体" w:hAnsi="宋体"/>
          <w:szCs w:val="21"/>
        </w:rPr>
      </w:pPr>
      <w:r>
        <w:rPr>
          <w:rFonts w:hint="eastAsia" w:ascii="宋体" w:hAnsi="宋体"/>
          <w:szCs w:val="21"/>
        </w:rPr>
        <w:t>（8）与本标段的其他申请人的单位负责人为同一个人的；</w:t>
      </w:r>
    </w:p>
    <w:p>
      <w:pPr>
        <w:spacing w:line="360" w:lineRule="auto"/>
        <w:ind w:firstLine="420" w:firstLineChars="200"/>
        <w:rPr>
          <w:rFonts w:ascii="宋体" w:hAnsi="宋体"/>
          <w:szCs w:val="21"/>
        </w:rPr>
      </w:pPr>
      <w:r>
        <w:rPr>
          <w:rFonts w:hint="eastAsia" w:ascii="宋体" w:hAnsi="宋体"/>
          <w:szCs w:val="21"/>
        </w:rPr>
        <w:t>（9）与本标段的其他申请人之间存在控股、管理关系或母公司、全资子公司关系的；</w:t>
      </w:r>
    </w:p>
    <w:p>
      <w:pPr>
        <w:spacing w:line="360" w:lineRule="auto"/>
        <w:ind w:firstLine="420" w:firstLineChars="200"/>
        <w:rPr>
          <w:rFonts w:ascii="宋体" w:hAnsi="宋体"/>
          <w:szCs w:val="21"/>
        </w:rPr>
      </w:pPr>
      <w:r>
        <w:rPr>
          <w:rFonts w:hint="eastAsia" w:ascii="宋体" w:hAnsi="宋体"/>
          <w:szCs w:val="21"/>
        </w:rPr>
        <w:t>（10）与本标段的其他申请人投标的货物为同一品牌同一型号；</w:t>
      </w:r>
    </w:p>
    <w:p>
      <w:pPr>
        <w:spacing w:line="360" w:lineRule="auto"/>
        <w:ind w:firstLine="420" w:firstLineChars="200"/>
        <w:rPr>
          <w:rFonts w:ascii="宋体" w:hAnsi="宋体"/>
          <w:szCs w:val="21"/>
        </w:rPr>
      </w:pPr>
      <w:r>
        <w:rPr>
          <w:rFonts w:hint="eastAsia" w:ascii="宋体" w:hAnsi="宋体"/>
          <w:szCs w:val="21"/>
        </w:rPr>
        <w:t>（11）法律法规规定的其他情形。</w:t>
      </w:r>
    </w:p>
    <w:p>
      <w:pPr>
        <w:pStyle w:val="4"/>
        <w:spacing w:before="60" w:after="60" w:line="360" w:lineRule="auto"/>
        <w:ind w:firstLine="118"/>
        <w:rPr>
          <w:szCs w:val="24"/>
        </w:rPr>
      </w:pPr>
      <w:bookmarkStart w:id="67" w:name="_Toc23585"/>
      <w:bookmarkStart w:id="68" w:name="_Toc9419"/>
      <w:r>
        <w:rPr>
          <w:szCs w:val="24"/>
        </w:rPr>
        <w:t xml:space="preserve">1.5 </w:t>
      </w:r>
      <w:r>
        <w:rPr>
          <w:rFonts w:hint="eastAsia"/>
          <w:szCs w:val="24"/>
        </w:rPr>
        <w:t>费用承担</w:t>
      </w:r>
      <w:bookmarkEnd w:id="63"/>
      <w:bookmarkEnd w:id="64"/>
      <w:bookmarkEnd w:id="65"/>
      <w:bookmarkEnd w:id="66"/>
      <w:bookmarkEnd w:id="67"/>
      <w:bookmarkEnd w:id="68"/>
    </w:p>
    <w:p>
      <w:pPr>
        <w:autoSpaceDE w:val="0"/>
        <w:autoSpaceDN w:val="0"/>
        <w:adjustRightInd w:val="0"/>
        <w:spacing w:line="360" w:lineRule="auto"/>
        <w:ind w:firstLine="420" w:firstLineChars="200"/>
        <w:jc w:val="left"/>
        <w:rPr>
          <w:rFonts w:eastAsia="黑体"/>
          <w:b/>
          <w:szCs w:val="21"/>
        </w:rPr>
      </w:pPr>
      <w:r>
        <w:rPr>
          <w:rFonts w:hint="eastAsia" w:ascii="宋体" w:hAnsi="TimesNewRomanPSMT" w:cs="宋体"/>
          <w:kern w:val="0"/>
          <w:szCs w:val="21"/>
        </w:rPr>
        <w:t>投标人准备和参加投标活动发生的费用自理。</w:t>
      </w:r>
    </w:p>
    <w:p>
      <w:pPr>
        <w:pStyle w:val="4"/>
        <w:spacing w:before="60" w:after="60" w:line="360" w:lineRule="auto"/>
        <w:ind w:firstLine="118"/>
        <w:rPr>
          <w:szCs w:val="24"/>
        </w:rPr>
      </w:pPr>
      <w:bookmarkStart w:id="69" w:name="_Toc387526185"/>
      <w:bookmarkStart w:id="70" w:name="_Toc5130"/>
      <w:bookmarkStart w:id="71" w:name="_Toc20337"/>
      <w:bookmarkStart w:id="72" w:name="_Toc387526289"/>
      <w:bookmarkStart w:id="73" w:name="_Toc8250"/>
      <w:bookmarkStart w:id="74" w:name="_Toc387526381"/>
      <w:r>
        <w:rPr>
          <w:szCs w:val="24"/>
        </w:rPr>
        <w:t>1.6 保密</w:t>
      </w:r>
      <w:bookmarkEnd w:id="69"/>
      <w:bookmarkEnd w:id="70"/>
      <w:bookmarkEnd w:id="71"/>
      <w:bookmarkEnd w:id="72"/>
      <w:bookmarkEnd w:id="73"/>
      <w:bookmarkEnd w:id="74"/>
    </w:p>
    <w:p>
      <w:pPr>
        <w:spacing w:line="360" w:lineRule="auto"/>
        <w:ind w:firstLine="420" w:firstLineChars="200"/>
        <w:rPr>
          <w:szCs w:val="21"/>
        </w:rPr>
      </w:pPr>
      <w:r>
        <w:rPr>
          <w:szCs w:val="21"/>
        </w:rPr>
        <w:t>参与招标投标活动的各方应对招标文件和投标文件中的商业和技术等秘密保密，违者应对由此造成的后果承担法律责任。</w:t>
      </w:r>
    </w:p>
    <w:p>
      <w:pPr>
        <w:pStyle w:val="4"/>
        <w:spacing w:before="60" w:after="60" w:line="360" w:lineRule="auto"/>
        <w:ind w:firstLine="118"/>
        <w:rPr>
          <w:szCs w:val="24"/>
        </w:rPr>
      </w:pPr>
      <w:bookmarkStart w:id="75" w:name="_Toc822"/>
      <w:bookmarkStart w:id="76" w:name="_Toc28421"/>
      <w:bookmarkStart w:id="77" w:name="_Toc387526290"/>
      <w:bookmarkStart w:id="78" w:name="_Toc387526382"/>
      <w:bookmarkStart w:id="79" w:name="_Toc29973"/>
      <w:bookmarkStart w:id="80" w:name="_Toc387526186"/>
      <w:r>
        <w:rPr>
          <w:szCs w:val="24"/>
        </w:rPr>
        <w:t>1.7 语言文字</w:t>
      </w:r>
      <w:bookmarkEnd w:id="75"/>
      <w:bookmarkEnd w:id="76"/>
      <w:bookmarkEnd w:id="77"/>
      <w:bookmarkEnd w:id="78"/>
      <w:bookmarkEnd w:id="79"/>
      <w:bookmarkEnd w:id="80"/>
    </w:p>
    <w:p>
      <w:pPr>
        <w:spacing w:line="360" w:lineRule="auto"/>
        <w:ind w:firstLine="420" w:firstLineChars="200"/>
        <w:rPr>
          <w:szCs w:val="21"/>
        </w:rPr>
      </w:pPr>
      <w:r>
        <w:rPr>
          <w:szCs w:val="21"/>
        </w:rPr>
        <w:t>除专用术语外，与招标投标有关的语言均使用中文。必要时专用术语应附有中文注释。</w:t>
      </w:r>
    </w:p>
    <w:p>
      <w:pPr>
        <w:pStyle w:val="4"/>
        <w:spacing w:before="60" w:after="60" w:line="360" w:lineRule="auto"/>
        <w:ind w:firstLine="118"/>
        <w:rPr>
          <w:szCs w:val="24"/>
        </w:rPr>
      </w:pPr>
      <w:bookmarkStart w:id="81" w:name="_Toc9903"/>
      <w:bookmarkStart w:id="82" w:name="_Toc387526383"/>
      <w:bookmarkStart w:id="83" w:name="_Toc387526187"/>
      <w:bookmarkStart w:id="84" w:name="_Toc31413"/>
      <w:bookmarkStart w:id="85" w:name="_Toc16639"/>
      <w:bookmarkStart w:id="86" w:name="_Toc387526291"/>
      <w:r>
        <w:rPr>
          <w:szCs w:val="24"/>
        </w:rPr>
        <w:t>1.8 计量单位</w:t>
      </w:r>
      <w:bookmarkEnd w:id="81"/>
      <w:bookmarkEnd w:id="82"/>
      <w:bookmarkEnd w:id="83"/>
      <w:bookmarkEnd w:id="84"/>
      <w:bookmarkEnd w:id="85"/>
      <w:bookmarkEnd w:id="86"/>
    </w:p>
    <w:p>
      <w:pPr>
        <w:spacing w:line="360" w:lineRule="auto"/>
        <w:ind w:firstLine="420" w:firstLineChars="200"/>
        <w:rPr>
          <w:szCs w:val="21"/>
        </w:rPr>
      </w:pPr>
      <w:r>
        <w:rPr>
          <w:szCs w:val="21"/>
        </w:rPr>
        <w:t>所有计量均采用中华人民共和国法定计量单位。</w:t>
      </w:r>
    </w:p>
    <w:p>
      <w:pPr>
        <w:pStyle w:val="4"/>
        <w:spacing w:before="60" w:after="60" w:line="360" w:lineRule="auto"/>
        <w:ind w:firstLine="118"/>
        <w:rPr>
          <w:szCs w:val="24"/>
        </w:rPr>
      </w:pPr>
      <w:bookmarkStart w:id="87" w:name="_Toc387526384"/>
      <w:bookmarkStart w:id="88" w:name="_Toc24067"/>
      <w:bookmarkStart w:id="89" w:name="_Toc29620"/>
      <w:bookmarkStart w:id="90" w:name="_Toc25122"/>
      <w:bookmarkStart w:id="91" w:name="_Toc387526188"/>
      <w:bookmarkStart w:id="92" w:name="_Toc387526292"/>
      <w:r>
        <w:rPr>
          <w:szCs w:val="24"/>
        </w:rPr>
        <w:t>1.9 踏勘现场</w:t>
      </w:r>
      <w:bookmarkEnd w:id="87"/>
      <w:bookmarkEnd w:id="88"/>
      <w:bookmarkEnd w:id="89"/>
      <w:bookmarkEnd w:id="90"/>
      <w:bookmarkEnd w:id="91"/>
      <w:bookmarkEnd w:id="92"/>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1.9.1招标人不组织投标人踏勘现场，投标人可以自行对工程施工现场和周围环境进行勘察，以获取编制投标文件和签署合同所需的所有资料。施工现场的联系方式见须知前附表。</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1.9.2 投标人踏勘现场发生的费用自理。</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1.9.3 除招标人的原因外，投标人自行负责在踏勘现场中所发生的人员伤亡和财产损失。</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1.9.4 招标人向投标人提供的有关施工现场的资料和数据是招标人现有的能使投标人利用的资料。招标人对投标人由此而做出的推论、理解和结论概不负责。</w:t>
      </w:r>
    </w:p>
    <w:p>
      <w:pPr>
        <w:pStyle w:val="4"/>
        <w:spacing w:before="60" w:after="60" w:line="360" w:lineRule="auto"/>
        <w:ind w:firstLine="118"/>
        <w:rPr>
          <w:szCs w:val="24"/>
        </w:rPr>
      </w:pPr>
      <w:bookmarkStart w:id="93" w:name="_Toc19208"/>
      <w:bookmarkStart w:id="94" w:name="_Toc387526293"/>
      <w:bookmarkStart w:id="95" w:name="_Toc387526189"/>
      <w:bookmarkStart w:id="96" w:name="_Toc11088"/>
      <w:bookmarkStart w:id="97" w:name="_Toc387526385"/>
      <w:bookmarkStart w:id="98" w:name="_Toc9251"/>
      <w:r>
        <w:rPr>
          <w:szCs w:val="24"/>
        </w:rPr>
        <w:t>1.10 投标预备会</w:t>
      </w:r>
      <w:bookmarkEnd w:id="93"/>
      <w:bookmarkEnd w:id="94"/>
      <w:bookmarkEnd w:id="95"/>
      <w:bookmarkEnd w:id="96"/>
      <w:bookmarkEnd w:id="97"/>
      <w:bookmarkEnd w:id="98"/>
    </w:p>
    <w:p>
      <w:pPr>
        <w:spacing w:line="360" w:lineRule="auto"/>
        <w:ind w:firstLine="420" w:firstLineChars="200"/>
        <w:rPr>
          <w:szCs w:val="21"/>
        </w:rPr>
      </w:pPr>
      <w:r>
        <w:rPr>
          <w:rFonts w:hint="eastAsia"/>
          <w:szCs w:val="21"/>
        </w:rPr>
        <w:t>1.10.1 投标人须知前附表规定召开投标预备会的，招标人按投标人须知前附表规定的时间和地点召开投标预备会，澄清投标人提出的问题。</w:t>
      </w:r>
    </w:p>
    <w:p>
      <w:pPr>
        <w:spacing w:line="360" w:lineRule="auto"/>
        <w:ind w:firstLine="420" w:firstLineChars="200"/>
        <w:rPr>
          <w:szCs w:val="21"/>
        </w:rPr>
      </w:pPr>
      <w:r>
        <w:rPr>
          <w:rFonts w:hint="eastAsia"/>
          <w:szCs w:val="21"/>
        </w:rPr>
        <w:t>1.10.2 投标人应在投标人须知前附表规定的时间前，以书面形式将提出的问题送达招标人，以便招标人在会议期间澄清。</w:t>
      </w:r>
    </w:p>
    <w:p>
      <w:pPr>
        <w:spacing w:line="360" w:lineRule="auto"/>
        <w:ind w:firstLine="420" w:firstLineChars="200"/>
        <w:rPr>
          <w:szCs w:val="21"/>
        </w:rPr>
      </w:pPr>
      <w:r>
        <w:rPr>
          <w:rFonts w:hint="eastAsia"/>
          <w:szCs w:val="21"/>
        </w:rPr>
        <w:t>1.10.3 投标预备会后，招标人在投标人须知前附表规定的时间内，将对投标人所提问颗的澄清，以书面方式通知所有购买招标文件的投标人。该澄清内容为招标文件的组成部分。</w:t>
      </w:r>
    </w:p>
    <w:p>
      <w:pPr>
        <w:pStyle w:val="4"/>
        <w:spacing w:before="60" w:after="60" w:line="360" w:lineRule="auto"/>
        <w:ind w:firstLine="118"/>
        <w:rPr>
          <w:szCs w:val="24"/>
        </w:rPr>
      </w:pPr>
      <w:bookmarkStart w:id="99" w:name="_Toc387526294"/>
      <w:bookmarkStart w:id="100" w:name="_Toc366679673"/>
      <w:bookmarkStart w:id="101" w:name="_Toc21970"/>
      <w:bookmarkStart w:id="102" w:name="_Toc31376"/>
      <w:bookmarkStart w:id="103" w:name="_Toc387526190"/>
      <w:bookmarkStart w:id="104" w:name="_Toc23532"/>
      <w:bookmarkStart w:id="105" w:name="_Toc387526386"/>
      <w:bookmarkStart w:id="106" w:name="_Toc367894799"/>
      <w:bookmarkStart w:id="107" w:name="_Toc363329371"/>
      <w:r>
        <w:rPr>
          <w:szCs w:val="24"/>
        </w:rPr>
        <w:t>1.11 偏离</w:t>
      </w:r>
      <w:bookmarkEnd w:id="99"/>
      <w:bookmarkEnd w:id="100"/>
      <w:bookmarkEnd w:id="101"/>
      <w:bookmarkEnd w:id="102"/>
      <w:bookmarkEnd w:id="103"/>
      <w:bookmarkEnd w:id="104"/>
      <w:bookmarkEnd w:id="105"/>
    </w:p>
    <w:p>
      <w:pPr>
        <w:spacing w:line="360" w:lineRule="auto"/>
        <w:ind w:firstLine="420" w:firstLineChars="200"/>
        <w:rPr>
          <w:szCs w:val="21"/>
        </w:rPr>
      </w:pPr>
      <w:r>
        <w:rPr>
          <w:szCs w:val="21"/>
        </w:rPr>
        <w:t>投标人须知前附表允许投标文件偏离招标文件某些要求的，偏离应当符合招标文件规定的偏离范围和幅度。</w:t>
      </w:r>
    </w:p>
    <w:p>
      <w:pPr>
        <w:pStyle w:val="159"/>
        <w:rPr>
          <w:color w:val="auto"/>
        </w:rPr>
      </w:pPr>
      <w:bookmarkStart w:id="108" w:name="_Toc368760428"/>
      <w:bookmarkStart w:id="109" w:name="_Toc369077562"/>
      <w:bookmarkStart w:id="110" w:name="_Toc387526387"/>
      <w:bookmarkStart w:id="111" w:name="_Toc387526295"/>
      <w:bookmarkStart w:id="112" w:name="_Toc30422"/>
      <w:bookmarkStart w:id="113" w:name="_Toc387526191"/>
      <w:bookmarkStart w:id="114" w:name="_Toc12546"/>
      <w:bookmarkStart w:id="115" w:name="_Toc368759376"/>
      <w:bookmarkStart w:id="116" w:name="_Toc14688"/>
      <w:r>
        <w:rPr>
          <w:color w:val="auto"/>
        </w:rPr>
        <w:t>2.招标文件</w:t>
      </w:r>
      <w:bookmarkEnd w:id="106"/>
      <w:bookmarkEnd w:id="107"/>
      <w:bookmarkEnd w:id="108"/>
      <w:bookmarkEnd w:id="109"/>
      <w:bookmarkEnd w:id="110"/>
      <w:bookmarkEnd w:id="111"/>
      <w:bookmarkEnd w:id="112"/>
      <w:bookmarkEnd w:id="113"/>
      <w:bookmarkEnd w:id="114"/>
      <w:bookmarkEnd w:id="115"/>
      <w:bookmarkEnd w:id="116"/>
    </w:p>
    <w:p>
      <w:pPr>
        <w:pStyle w:val="4"/>
        <w:spacing w:before="60" w:after="60" w:line="360" w:lineRule="auto"/>
        <w:ind w:firstLine="118"/>
        <w:rPr>
          <w:szCs w:val="24"/>
        </w:rPr>
      </w:pPr>
      <w:bookmarkStart w:id="117" w:name="_Toc387526388"/>
      <w:bookmarkStart w:id="118" w:name="_Toc11163"/>
      <w:bookmarkStart w:id="119" w:name="_Toc2791"/>
      <w:bookmarkStart w:id="120" w:name="_Toc23070"/>
      <w:bookmarkStart w:id="121" w:name="_Toc387526192"/>
      <w:bookmarkStart w:id="122" w:name="_Toc387526296"/>
      <w:r>
        <w:rPr>
          <w:szCs w:val="24"/>
        </w:rPr>
        <w:t>2.1</w:t>
      </w:r>
      <w:r>
        <w:rPr>
          <w:rFonts w:hint="eastAsia"/>
          <w:szCs w:val="24"/>
        </w:rPr>
        <w:t xml:space="preserve"> </w:t>
      </w:r>
      <w:r>
        <w:rPr>
          <w:szCs w:val="24"/>
        </w:rPr>
        <w:t>招标文件组成</w:t>
      </w:r>
      <w:bookmarkEnd w:id="117"/>
      <w:bookmarkEnd w:id="118"/>
      <w:bookmarkEnd w:id="119"/>
      <w:bookmarkEnd w:id="120"/>
      <w:bookmarkEnd w:id="121"/>
      <w:bookmarkEnd w:id="122"/>
    </w:p>
    <w:p>
      <w:pPr>
        <w:shd w:val="clear" w:color="auto" w:fill="FFFFFF"/>
        <w:autoSpaceDE w:val="0"/>
        <w:autoSpaceDN w:val="0"/>
        <w:adjustRightInd w:val="0"/>
        <w:spacing w:line="360" w:lineRule="auto"/>
        <w:ind w:firstLine="420" w:firstLineChars="200"/>
        <w:jc w:val="left"/>
        <w:rPr>
          <w:szCs w:val="21"/>
        </w:rPr>
      </w:pPr>
      <w:r>
        <w:rPr>
          <w:szCs w:val="21"/>
        </w:rPr>
        <w:t>2.1.1 本招标文件包括：</w:t>
      </w:r>
    </w:p>
    <w:p>
      <w:pPr>
        <w:spacing w:line="360" w:lineRule="auto"/>
        <w:ind w:firstLine="420" w:firstLineChars="200"/>
      </w:pPr>
      <w:r>
        <w:rPr>
          <w:rFonts w:hint="eastAsia"/>
        </w:rPr>
        <w:t>（1）</w:t>
      </w:r>
      <w:r>
        <w:t>招标公告；</w:t>
      </w:r>
    </w:p>
    <w:p>
      <w:pPr>
        <w:spacing w:line="360" w:lineRule="auto"/>
        <w:ind w:firstLine="420" w:firstLineChars="200"/>
      </w:pPr>
      <w:r>
        <w:rPr>
          <w:rFonts w:hint="eastAsia"/>
        </w:rPr>
        <w:t>（2）</w:t>
      </w:r>
      <w:r>
        <w:t>投标人须知；</w:t>
      </w:r>
    </w:p>
    <w:p>
      <w:pPr>
        <w:spacing w:line="360" w:lineRule="auto"/>
        <w:ind w:firstLine="420" w:firstLineChars="200"/>
      </w:pPr>
      <w:r>
        <w:rPr>
          <w:rFonts w:hint="eastAsia"/>
        </w:rPr>
        <w:t>（3）</w:t>
      </w:r>
      <w:r>
        <w:t>评标办法；</w:t>
      </w:r>
    </w:p>
    <w:p>
      <w:pPr>
        <w:spacing w:line="360" w:lineRule="auto"/>
        <w:ind w:firstLine="420" w:firstLineChars="200"/>
      </w:pPr>
      <w:r>
        <w:rPr>
          <w:rFonts w:hint="eastAsia"/>
        </w:rPr>
        <w:t>（4）</w:t>
      </w:r>
      <w:r>
        <w:t>合同条款及格式；</w:t>
      </w:r>
    </w:p>
    <w:p>
      <w:pPr>
        <w:spacing w:line="360" w:lineRule="auto"/>
        <w:ind w:firstLine="420" w:firstLineChars="200"/>
      </w:pPr>
      <w:r>
        <w:rPr>
          <w:rFonts w:hint="eastAsia"/>
        </w:rPr>
        <w:t>（5）招标</w:t>
      </w:r>
      <w:r>
        <w:t>需求；</w:t>
      </w:r>
    </w:p>
    <w:p>
      <w:pPr>
        <w:spacing w:line="360" w:lineRule="auto"/>
        <w:ind w:firstLine="420" w:firstLineChars="200"/>
      </w:pPr>
      <w:r>
        <w:rPr>
          <w:rFonts w:hint="eastAsia"/>
        </w:rPr>
        <w:t>（6）</w:t>
      </w:r>
      <w:r>
        <w:t>图纸；</w:t>
      </w:r>
    </w:p>
    <w:p>
      <w:pPr>
        <w:spacing w:line="360" w:lineRule="auto"/>
        <w:ind w:firstLine="420" w:firstLineChars="200"/>
      </w:pPr>
      <w:r>
        <w:rPr>
          <w:rFonts w:hint="eastAsia"/>
        </w:rPr>
        <w:t>（7）</w:t>
      </w:r>
      <w:r>
        <w:t>投标文件格式；</w:t>
      </w:r>
    </w:p>
    <w:p>
      <w:pPr>
        <w:spacing w:line="360" w:lineRule="auto"/>
        <w:ind w:firstLine="420" w:firstLineChars="200"/>
      </w:pPr>
      <w:r>
        <w:rPr>
          <w:rFonts w:hint="eastAsia"/>
        </w:rPr>
        <w:t>（8）</w:t>
      </w:r>
      <w:r>
        <w:t>投标人须知前附表规定的其他材料。</w:t>
      </w:r>
    </w:p>
    <w:p>
      <w:pPr>
        <w:spacing w:line="360" w:lineRule="auto"/>
        <w:ind w:firstLine="420" w:firstLineChars="200"/>
      </w:pPr>
      <w:r>
        <w:rPr>
          <w:rFonts w:hint="eastAsia"/>
        </w:rPr>
        <w:t>2.1.2根据本章第1.10款、第2.2款和第2.3款对招标文件所作的澄清、修改，构成招标文件的组成部分。当招标文件相互之间发生矛盾时，以后发出的文件为准。</w:t>
      </w:r>
    </w:p>
    <w:p>
      <w:pPr>
        <w:pStyle w:val="4"/>
        <w:spacing w:before="60" w:after="60" w:line="360" w:lineRule="auto"/>
        <w:ind w:firstLine="118"/>
        <w:rPr>
          <w:szCs w:val="24"/>
        </w:rPr>
      </w:pPr>
      <w:bookmarkStart w:id="123" w:name="_Toc366679676"/>
      <w:bookmarkStart w:id="124" w:name="_Toc387526297"/>
      <w:bookmarkStart w:id="125" w:name="_Toc16562"/>
      <w:bookmarkStart w:id="126" w:name="_Toc179632562"/>
      <w:bookmarkStart w:id="127" w:name="_Toc387526193"/>
      <w:bookmarkStart w:id="128" w:name="_Toc387526389"/>
      <w:bookmarkStart w:id="129" w:name="_Toc152042320"/>
      <w:bookmarkStart w:id="130" w:name="_Toc152045544"/>
      <w:bookmarkStart w:id="131" w:name="_Toc144974512"/>
      <w:bookmarkStart w:id="132" w:name="_Toc246996932"/>
      <w:bookmarkStart w:id="133" w:name="_Toc9593"/>
      <w:bookmarkStart w:id="134" w:name="_Toc18905"/>
      <w:bookmarkStart w:id="135" w:name="_Toc246996189"/>
      <w:bookmarkStart w:id="136" w:name="_Toc247085703"/>
      <w:r>
        <w:rPr>
          <w:szCs w:val="24"/>
        </w:rPr>
        <w:t>2.2 招标文件的澄清</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szCs w:val="24"/>
        </w:rPr>
        <w:t xml:space="preserve"> </w:t>
      </w:r>
    </w:p>
    <w:p>
      <w:pPr>
        <w:shd w:val="clear" w:color="auto" w:fill="FFFFFF"/>
        <w:autoSpaceDE w:val="0"/>
        <w:autoSpaceDN w:val="0"/>
        <w:adjustRightInd w:val="0"/>
        <w:spacing w:line="360" w:lineRule="auto"/>
        <w:ind w:firstLine="420" w:firstLineChars="200"/>
        <w:jc w:val="left"/>
        <w:rPr>
          <w:szCs w:val="21"/>
        </w:rPr>
      </w:pPr>
      <w:r>
        <w:rPr>
          <w:rFonts w:hint="eastAsia"/>
          <w:szCs w:val="21"/>
        </w:rPr>
        <w:t>2.2.1 投标人应仔细阅读和检查招标文件的全部内容。如发现缺页或附件不全，应及时向招标人提出，以便补齐。如有疑问，应在投标人须知前附表规定的时间前、前附表规定的方式要求招标人对招标文件予以澄清。</w:t>
      </w:r>
    </w:p>
    <w:p>
      <w:pPr>
        <w:shd w:val="clear" w:color="auto" w:fill="FFFFFF"/>
        <w:autoSpaceDE w:val="0"/>
        <w:autoSpaceDN w:val="0"/>
        <w:adjustRightInd w:val="0"/>
        <w:spacing w:line="360" w:lineRule="auto"/>
        <w:ind w:firstLine="420" w:firstLineChars="200"/>
        <w:jc w:val="left"/>
        <w:rPr>
          <w:szCs w:val="21"/>
        </w:rPr>
      </w:pPr>
      <w:r>
        <w:rPr>
          <w:rFonts w:hint="eastAsia"/>
          <w:szCs w:val="21"/>
        </w:rPr>
        <w:t>2.2.2 招标文件的澄清将在投标人须知前附表规定的投标截止时间15天前以前附表规定的方式予以澄清，但不指明澄清问题的来源。如果澄清发出的时间距投标截止时间不足15天，且澄清内容影响投标文件编制的，相应延长投标截止时间。</w:t>
      </w:r>
    </w:p>
    <w:p>
      <w:pPr>
        <w:shd w:val="clear" w:color="auto" w:fill="FFFFFF"/>
        <w:autoSpaceDE w:val="0"/>
        <w:autoSpaceDN w:val="0"/>
        <w:adjustRightInd w:val="0"/>
        <w:spacing w:line="360" w:lineRule="auto"/>
        <w:ind w:firstLine="420" w:firstLineChars="200"/>
        <w:jc w:val="left"/>
        <w:rPr>
          <w:szCs w:val="21"/>
        </w:rPr>
      </w:pPr>
      <w:r>
        <w:rPr>
          <w:rFonts w:hint="eastAsia"/>
          <w:szCs w:val="21"/>
        </w:rPr>
        <w:t>2.2.3 投标人在投标前应每天在招标公告发布网站查阅、获取招标文件的澄清（或修改），因投标人原因未能及时获取招标文件的澄清（或修改）其责任由投标人自负。</w:t>
      </w:r>
    </w:p>
    <w:p>
      <w:pPr>
        <w:pStyle w:val="4"/>
        <w:spacing w:before="60" w:after="60" w:line="360" w:lineRule="auto"/>
        <w:ind w:firstLine="118"/>
        <w:rPr>
          <w:szCs w:val="24"/>
        </w:rPr>
      </w:pPr>
      <w:bookmarkStart w:id="137" w:name="_Toc23414"/>
      <w:bookmarkStart w:id="138" w:name="_Toc366679677"/>
      <w:bookmarkStart w:id="139" w:name="_Toc179632563"/>
      <w:bookmarkStart w:id="140" w:name="_Toc387526194"/>
      <w:bookmarkStart w:id="141" w:name="_Toc247085704"/>
      <w:bookmarkStart w:id="142" w:name="_Toc387526390"/>
      <w:bookmarkStart w:id="143" w:name="_Toc246996933"/>
      <w:bookmarkStart w:id="144" w:name="_Toc19263"/>
      <w:bookmarkStart w:id="145" w:name="_Toc6690"/>
      <w:bookmarkStart w:id="146" w:name="_Toc387526298"/>
      <w:bookmarkStart w:id="147" w:name="_Toc246996190"/>
      <w:r>
        <w:rPr>
          <w:szCs w:val="24"/>
        </w:rPr>
        <w:t>2.3 招标文件的修改</w:t>
      </w:r>
      <w:bookmarkEnd w:id="137"/>
      <w:bookmarkEnd w:id="138"/>
      <w:bookmarkEnd w:id="139"/>
      <w:bookmarkEnd w:id="140"/>
      <w:bookmarkEnd w:id="141"/>
      <w:bookmarkEnd w:id="142"/>
      <w:bookmarkEnd w:id="143"/>
      <w:bookmarkEnd w:id="144"/>
      <w:bookmarkEnd w:id="145"/>
      <w:bookmarkEnd w:id="146"/>
      <w:bookmarkEnd w:id="147"/>
    </w:p>
    <w:p>
      <w:pPr>
        <w:shd w:val="clear" w:color="auto" w:fill="FFFFFF"/>
        <w:autoSpaceDE w:val="0"/>
        <w:autoSpaceDN w:val="0"/>
        <w:adjustRightInd w:val="0"/>
        <w:spacing w:line="360" w:lineRule="auto"/>
        <w:ind w:firstLine="420" w:firstLineChars="200"/>
        <w:jc w:val="left"/>
        <w:rPr>
          <w:szCs w:val="21"/>
        </w:rPr>
      </w:pPr>
      <w:r>
        <w:rPr>
          <w:rFonts w:hint="eastAsia"/>
          <w:szCs w:val="21"/>
        </w:rPr>
        <w:t>2.3.1 在投标截止时间15天前，招标人可以书面形式修改招标文件，并通知所有已购买招标文件的投标人。如果修改招标文件的时间距投标截止时间不足15天，且修改内容影响投标文件编制的，相应延长投标截止时间。</w:t>
      </w:r>
    </w:p>
    <w:p>
      <w:pPr>
        <w:shd w:val="clear" w:color="auto" w:fill="FFFFFF"/>
        <w:autoSpaceDE w:val="0"/>
        <w:autoSpaceDN w:val="0"/>
        <w:adjustRightInd w:val="0"/>
        <w:spacing w:line="360" w:lineRule="auto"/>
        <w:ind w:firstLine="420" w:firstLineChars="200"/>
        <w:jc w:val="left"/>
        <w:rPr>
          <w:szCs w:val="21"/>
        </w:rPr>
      </w:pPr>
      <w:r>
        <w:rPr>
          <w:rFonts w:hint="eastAsia"/>
          <w:szCs w:val="21"/>
        </w:rPr>
        <w:t>2.3.2投标人收到修改内容后，应在投标人须知前附表规定的时间内及时下载、查阅，因投标人原因未能及时获取招标文件的澄清（或修改）其责任由投标人自负。</w:t>
      </w:r>
    </w:p>
    <w:p>
      <w:pPr>
        <w:pStyle w:val="159"/>
        <w:rPr>
          <w:color w:val="auto"/>
        </w:rPr>
      </w:pPr>
      <w:bookmarkStart w:id="148" w:name="_Toc387526299"/>
      <w:bookmarkStart w:id="149" w:name="_Toc363329372"/>
      <w:bookmarkStart w:id="150" w:name="_Toc367894800"/>
      <w:bookmarkStart w:id="151" w:name="_Toc19481"/>
      <w:bookmarkStart w:id="152" w:name="_Toc368759377"/>
      <w:bookmarkStart w:id="153" w:name="_Toc369077563"/>
      <w:bookmarkStart w:id="154" w:name="_Toc368760429"/>
      <w:bookmarkStart w:id="155" w:name="_Toc387526391"/>
      <w:bookmarkStart w:id="156" w:name="_Toc387526195"/>
      <w:bookmarkStart w:id="157" w:name="_Toc769"/>
      <w:bookmarkStart w:id="158" w:name="_Toc19165"/>
      <w:bookmarkStart w:id="159" w:name="_Toc119718089"/>
      <w:r>
        <w:rPr>
          <w:color w:val="auto"/>
        </w:rPr>
        <w:t>3.投标文件</w:t>
      </w:r>
      <w:bookmarkEnd w:id="148"/>
      <w:bookmarkEnd w:id="149"/>
      <w:bookmarkEnd w:id="150"/>
      <w:bookmarkEnd w:id="151"/>
      <w:bookmarkEnd w:id="152"/>
      <w:bookmarkEnd w:id="153"/>
      <w:bookmarkEnd w:id="154"/>
      <w:bookmarkEnd w:id="155"/>
      <w:bookmarkEnd w:id="156"/>
      <w:bookmarkEnd w:id="157"/>
      <w:bookmarkEnd w:id="158"/>
    </w:p>
    <w:p>
      <w:pPr>
        <w:pStyle w:val="4"/>
        <w:spacing w:before="60" w:after="60" w:line="360" w:lineRule="auto"/>
        <w:ind w:firstLine="118"/>
        <w:rPr>
          <w:szCs w:val="24"/>
        </w:rPr>
      </w:pPr>
      <w:bookmarkStart w:id="160" w:name="_Toc387526196"/>
      <w:bookmarkStart w:id="161" w:name="_Toc5625"/>
      <w:bookmarkStart w:id="162" w:name="_Toc21262"/>
      <w:bookmarkStart w:id="163" w:name="_Toc14614"/>
      <w:bookmarkStart w:id="164" w:name="_Toc387526392"/>
      <w:bookmarkStart w:id="165" w:name="_Toc387526300"/>
      <w:r>
        <w:rPr>
          <w:szCs w:val="24"/>
        </w:rPr>
        <w:t>3.1 投标文件</w:t>
      </w:r>
      <w:bookmarkEnd w:id="159"/>
      <w:r>
        <w:rPr>
          <w:rFonts w:hint="eastAsia"/>
          <w:szCs w:val="24"/>
        </w:rPr>
        <w:t>的</w:t>
      </w:r>
      <w:r>
        <w:rPr>
          <w:szCs w:val="24"/>
        </w:rPr>
        <w:t>组成</w:t>
      </w:r>
      <w:bookmarkEnd w:id="160"/>
      <w:bookmarkEnd w:id="161"/>
      <w:bookmarkEnd w:id="162"/>
      <w:bookmarkEnd w:id="163"/>
      <w:bookmarkEnd w:id="164"/>
      <w:bookmarkEnd w:id="165"/>
    </w:p>
    <w:p>
      <w:pPr>
        <w:spacing w:line="360" w:lineRule="auto"/>
        <w:ind w:firstLine="420" w:firstLineChars="200"/>
        <w:rPr>
          <w:szCs w:val="21"/>
        </w:rPr>
      </w:pPr>
      <w:r>
        <w:rPr>
          <w:rFonts w:hint="eastAsia"/>
          <w:szCs w:val="21"/>
        </w:rPr>
        <w:t>3.1.1 投标文件的组成见投标人须知前附表。</w:t>
      </w:r>
    </w:p>
    <w:p>
      <w:pPr>
        <w:spacing w:line="360" w:lineRule="auto"/>
        <w:ind w:firstLine="420" w:firstLineChars="200"/>
        <w:rPr>
          <w:szCs w:val="21"/>
        </w:rPr>
      </w:pPr>
      <w:r>
        <w:rPr>
          <w:rFonts w:hint="eastAsia"/>
          <w:szCs w:val="21"/>
        </w:rPr>
        <w:t>3.1.2 第六章“投标文件格式”要求提供相关证明材料的复印件作为附件的，投标人应按要求在投标文件中提供相应材料，否则不予认可。</w:t>
      </w:r>
    </w:p>
    <w:p>
      <w:pPr>
        <w:snapToGrid w:val="0"/>
        <w:spacing w:before="156" w:beforeLines="50" w:line="360" w:lineRule="auto"/>
        <w:ind w:firstLine="411" w:firstLineChars="196"/>
        <w:jc w:val="left"/>
        <w:rPr>
          <w:rFonts w:ascii="宋体" w:hAnsi="宋体"/>
          <w:szCs w:val="21"/>
        </w:rPr>
      </w:pPr>
      <w:r>
        <w:rPr>
          <w:rFonts w:hint="eastAsia"/>
          <w:szCs w:val="21"/>
        </w:rPr>
        <w:t>3.1.3 投标人应按投标人须知前附表的规定提供相关证明材料的原件，用于现场核验，否则不予认可。资格审查材料</w:t>
      </w:r>
      <w:r>
        <w:rPr>
          <w:rFonts w:hint="eastAsia" w:ascii="宋体" w:hAnsi="宋体"/>
          <w:szCs w:val="21"/>
        </w:rPr>
        <w:t>主要</w:t>
      </w:r>
      <w:r>
        <w:rPr>
          <w:rFonts w:ascii="宋体" w:hAnsi="宋体"/>
          <w:szCs w:val="21"/>
        </w:rPr>
        <w:t>包括</w:t>
      </w:r>
      <w:r>
        <w:rPr>
          <w:rFonts w:hint="eastAsia" w:ascii="宋体" w:hAnsi="宋体"/>
          <w:szCs w:val="21"/>
        </w:rPr>
        <w:t>下述材料原件和复印件（复印件须装订在投标文件中，原件须在投标截止之前与投标文件一并提交，可随投标文件一起装袋密封提交，也可单独密封提交）：</w:t>
      </w:r>
    </w:p>
    <w:p>
      <w:pPr>
        <w:snapToGrid w:val="0"/>
        <w:spacing w:line="360" w:lineRule="auto"/>
        <w:ind w:firstLine="422" w:firstLineChars="200"/>
        <w:jc w:val="left"/>
        <w:rPr>
          <w:b/>
          <w:bCs/>
          <w:szCs w:val="21"/>
          <w:u w:val="single"/>
        </w:rPr>
      </w:pPr>
      <w:r>
        <w:rPr>
          <w:rFonts w:hint="eastAsia"/>
          <w:b/>
          <w:bCs/>
          <w:szCs w:val="21"/>
          <w:u w:val="single"/>
        </w:rPr>
        <w:t>投标人投标时需提供下列材料的原件及复印件：</w:t>
      </w:r>
    </w:p>
    <w:p>
      <w:pPr>
        <w:spacing w:line="360" w:lineRule="auto"/>
        <w:ind w:firstLine="422" w:firstLineChars="200"/>
        <w:rPr>
          <w:b/>
          <w:bCs/>
          <w:szCs w:val="21"/>
          <w:u w:val="single"/>
        </w:rPr>
      </w:pPr>
      <w:r>
        <w:rPr>
          <w:rFonts w:hint="eastAsia"/>
          <w:b/>
          <w:bCs/>
          <w:szCs w:val="21"/>
          <w:u w:val="single"/>
        </w:rPr>
        <w:t>（1）企业营业执照（副本）；</w:t>
      </w:r>
    </w:p>
    <w:p>
      <w:pPr>
        <w:spacing w:line="360" w:lineRule="auto"/>
        <w:ind w:firstLine="422" w:firstLineChars="200"/>
        <w:rPr>
          <w:b/>
          <w:bCs/>
          <w:szCs w:val="21"/>
          <w:u w:val="single"/>
        </w:rPr>
      </w:pPr>
      <w:r>
        <w:rPr>
          <w:rFonts w:hint="eastAsia"/>
          <w:b/>
          <w:bCs/>
          <w:szCs w:val="21"/>
          <w:u w:val="single"/>
        </w:rPr>
        <w:t>（</w:t>
      </w:r>
      <w:r>
        <w:rPr>
          <w:rFonts w:hint="eastAsia"/>
          <w:b/>
          <w:bCs/>
          <w:szCs w:val="21"/>
          <w:u w:val="single"/>
          <w:lang w:val="en-US" w:eastAsia="zh-CN"/>
        </w:rPr>
        <w:t>2</w:t>
      </w:r>
      <w:r>
        <w:rPr>
          <w:rFonts w:hint="eastAsia"/>
          <w:b/>
          <w:bCs/>
          <w:szCs w:val="21"/>
          <w:u w:val="single"/>
        </w:rPr>
        <w:t>）招标文件要求提供的其它</w:t>
      </w:r>
      <w:r>
        <w:rPr>
          <w:rFonts w:hint="eastAsia"/>
          <w:b/>
          <w:bCs/>
          <w:szCs w:val="21"/>
          <w:u w:val="single"/>
          <w:lang w:val="en-US" w:eastAsia="zh-CN"/>
        </w:rPr>
        <w:t>证明</w:t>
      </w:r>
      <w:r>
        <w:rPr>
          <w:rFonts w:hint="eastAsia"/>
          <w:b/>
          <w:bCs/>
          <w:szCs w:val="21"/>
          <w:u w:val="single"/>
        </w:rPr>
        <w:t>材料。</w:t>
      </w:r>
    </w:p>
    <w:p>
      <w:pPr>
        <w:spacing w:line="360" w:lineRule="auto"/>
        <w:ind w:firstLine="420" w:firstLineChars="200"/>
        <w:rPr>
          <w:szCs w:val="21"/>
        </w:rPr>
      </w:pPr>
      <w:r>
        <w:rPr>
          <w:rFonts w:hint="eastAsia"/>
          <w:szCs w:val="21"/>
        </w:rPr>
        <w:t>注：以上资料须提供原件供评标委员会审查，未提供原件或原件资料不全的资格审查不予通过，确有特殊原因无法提供原件的，复印件必须经原发证部门确认，否则按无效投标文件处理。</w:t>
      </w:r>
    </w:p>
    <w:p>
      <w:pPr>
        <w:spacing w:line="360" w:lineRule="auto"/>
        <w:ind w:firstLine="420" w:firstLineChars="200"/>
        <w:rPr>
          <w:szCs w:val="21"/>
        </w:rPr>
      </w:pPr>
    </w:p>
    <w:p>
      <w:pPr>
        <w:pStyle w:val="4"/>
        <w:spacing w:before="60" w:after="60" w:line="360" w:lineRule="auto"/>
        <w:ind w:firstLine="118"/>
        <w:rPr>
          <w:szCs w:val="24"/>
        </w:rPr>
      </w:pPr>
      <w:bookmarkStart w:id="166" w:name="_Toc387526197"/>
      <w:bookmarkStart w:id="167" w:name="_Toc32160"/>
      <w:bookmarkStart w:id="168" w:name="_Toc387526393"/>
      <w:bookmarkStart w:id="169" w:name="_Toc10820"/>
      <w:bookmarkStart w:id="170" w:name="_Toc17484"/>
      <w:bookmarkStart w:id="171" w:name="_Toc387526301"/>
      <w:r>
        <w:rPr>
          <w:szCs w:val="24"/>
        </w:rPr>
        <w:t>3.2 投标报价</w:t>
      </w:r>
      <w:bookmarkEnd w:id="166"/>
      <w:bookmarkEnd w:id="167"/>
      <w:bookmarkEnd w:id="168"/>
      <w:bookmarkEnd w:id="169"/>
      <w:bookmarkEnd w:id="170"/>
      <w:bookmarkEnd w:id="171"/>
    </w:p>
    <w:p>
      <w:pPr>
        <w:tabs>
          <w:tab w:val="left" w:pos="790"/>
        </w:tabs>
        <w:spacing w:line="480" w:lineRule="exact"/>
        <w:ind w:firstLine="420" w:firstLineChars="200"/>
        <w:rPr>
          <w:szCs w:val="21"/>
        </w:rPr>
      </w:pPr>
      <w:r>
        <w:rPr>
          <w:szCs w:val="21"/>
        </w:rPr>
        <w:t>3.2.1</w:t>
      </w:r>
      <w:r>
        <w:rPr>
          <w:rFonts w:hint="eastAsia"/>
          <w:szCs w:val="21"/>
        </w:rPr>
        <w:t>投标报价应包含本招标文件中的全部内容所需的所有费用，</w:t>
      </w:r>
      <w:r>
        <w:rPr>
          <w:rFonts w:hint="eastAsia" w:ascii="宋体" w:hAnsi="宋体" w:cs="Arial"/>
          <w:szCs w:val="21"/>
        </w:rPr>
        <w:t>投标人投标报价应是投标人在承诺的质量目标和完成时限目标内为完成招标文件所确定的招标范围的全部内容。投标人应充分考虑为完成上述内容所必须的直接和间接成本【包括所有设备、软件（包括所有第三方软件）开发和采购、方案设计、备品备件、</w:t>
      </w:r>
      <w:r>
        <w:rPr>
          <w:rFonts w:ascii="宋体" w:hAnsi="宋体" w:cs="Arial"/>
          <w:szCs w:val="21"/>
        </w:rPr>
        <w:t>劳务、运输、管理、安装、集成、</w:t>
      </w:r>
      <w:r>
        <w:rPr>
          <w:rFonts w:hint="eastAsia" w:ascii="宋体" w:hAnsi="宋体" w:cs="Arial"/>
          <w:szCs w:val="21"/>
        </w:rPr>
        <w:t>售后、培训、</w:t>
      </w:r>
      <w:r>
        <w:rPr>
          <w:rFonts w:ascii="宋体" w:hAnsi="宋体" w:cs="Arial"/>
          <w:szCs w:val="21"/>
        </w:rPr>
        <w:t>保险、</w:t>
      </w:r>
      <w:r>
        <w:rPr>
          <w:rFonts w:hint="eastAsia" w:ascii="宋体" w:hAnsi="宋体" w:cs="Arial"/>
          <w:szCs w:val="21"/>
        </w:rPr>
        <w:t>知识产权、</w:t>
      </w:r>
      <w:r>
        <w:rPr>
          <w:rFonts w:ascii="宋体" w:hAnsi="宋体" w:cs="Arial"/>
          <w:szCs w:val="21"/>
        </w:rPr>
        <w:t>利润、税金、政策性文件规定及合同包含的所有风险、责任等各项应有费用</w:t>
      </w:r>
      <w:r>
        <w:rPr>
          <w:rFonts w:hint="eastAsia" w:ascii="宋体" w:hAnsi="宋体" w:cs="Arial"/>
          <w:szCs w:val="21"/>
        </w:rPr>
        <w:t>】、本招标文件规定的招标代理费、竣工验收前设备、设施委托第三方进行检测、检验费和相关有权部门验收所需的所有费用、工程完工后临时设施的拆除与清理及现场恢复费用、现场安全防护、材料二次搬运、招标代理费、为完成竣工验收所需的一切检验试验费用、配合费用及总包管理费、与其他施工单位交叉施工增加费、赶工措施费、风险费、以及各种管线、建筑物、构筑物的加固围护、责任及政策性文件规定以及本项目规定的全部费用的价格体现。</w:t>
      </w:r>
      <w:r>
        <w:rPr>
          <w:rFonts w:hint="eastAsia"/>
          <w:szCs w:val="21"/>
        </w:rPr>
        <w:t>投标所报价格为最终结算价，因特殊原因并经买卖双方协商同意，投标人不得再要求追加任何费用。同时，除非合同条款中另有规定，否则，投标单位所报单价在合同实施期间不因市场变化因素而变动。本项目招标代理费详见须知前附表，包含在投标报价内，不得单列。</w:t>
      </w:r>
    </w:p>
    <w:p>
      <w:pPr>
        <w:spacing w:line="400" w:lineRule="exact"/>
        <w:ind w:firstLine="422" w:firstLineChars="200"/>
        <w:rPr>
          <w:rFonts w:ascii="黑体" w:hAnsi="宋体" w:eastAsia="黑体"/>
          <w:b/>
          <w:bCs/>
          <w:szCs w:val="21"/>
        </w:rPr>
      </w:pPr>
      <w:r>
        <w:rPr>
          <w:rFonts w:hint="eastAsia" w:ascii="黑体" w:hAnsi="宋体" w:eastAsia="黑体"/>
          <w:b/>
          <w:bCs/>
          <w:szCs w:val="21"/>
        </w:rPr>
        <w:t>所有的设备至少提供三年质保和维保，且提供到现场服务，如有演练或者其它的异常情况下，需要厂商现场技术支持，所需费用投标人报价时自行分摊至投标单价、合价中，工程结算时招标人不另列项目增加任何费用。</w:t>
      </w:r>
    </w:p>
    <w:p>
      <w:pPr>
        <w:spacing w:line="400" w:lineRule="exact"/>
        <w:ind w:firstLine="422" w:firstLineChars="200"/>
        <w:rPr>
          <w:rFonts w:ascii="黑体" w:hAnsi="宋体" w:eastAsia="黑体"/>
          <w:b/>
          <w:bCs/>
          <w:szCs w:val="21"/>
        </w:rPr>
      </w:pPr>
      <w:r>
        <w:rPr>
          <w:rFonts w:hint="eastAsia" w:ascii="黑体" w:hAnsi="宋体" w:eastAsia="黑体"/>
          <w:b/>
          <w:bCs/>
          <w:szCs w:val="21"/>
        </w:rPr>
        <w:t>投标人应保证招标人在使用该项目软硬件设备或其任何一部分时不受第三方提出侵犯其专利权、版权、商标权和工业设计权等知识产权的起诉。一旦出现侵权，一律由投标人承担全部责任；</w:t>
      </w:r>
    </w:p>
    <w:p>
      <w:pPr>
        <w:spacing w:line="360" w:lineRule="auto"/>
        <w:ind w:firstLine="420" w:firstLineChars="200"/>
        <w:rPr>
          <w:szCs w:val="21"/>
        </w:rPr>
      </w:pPr>
      <w:r>
        <w:rPr>
          <w:szCs w:val="21"/>
        </w:rPr>
        <w:t>3.2.2</w:t>
      </w:r>
      <w:r>
        <w:rPr>
          <w:rFonts w:hint="eastAsia"/>
          <w:szCs w:val="21"/>
        </w:rPr>
        <w:t>投标人按投标人须知前附表的具体规定进行报价。</w:t>
      </w:r>
    </w:p>
    <w:p>
      <w:pPr>
        <w:spacing w:line="360" w:lineRule="auto"/>
        <w:ind w:firstLine="420" w:firstLineChars="200"/>
        <w:rPr>
          <w:szCs w:val="21"/>
        </w:rPr>
      </w:pPr>
      <w:r>
        <w:rPr>
          <w:rFonts w:hint="eastAsia"/>
          <w:szCs w:val="21"/>
        </w:rPr>
        <w:t>3.2.3</w:t>
      </w:r>
      <w:r>
        <w:rPr>
          <w:szCs w:val="21"/>
        </w:rPr>
        <w:t>招标人设有最高投标限价的，投标人的投标报价不得超过最高投标限价，最高投标限价见投标人须知前附表。</w:t>
      </w:r>
    </w:p>
    <w:p>
      <w:pPr>
        <w:pStyle w:val="4"/>
        <w:spacing w:before="60" w:after="60" w:line="360" w:lineRule="auto"/>
        <w:ind w:firstLine="118"/>
        <w:rPr>
          <w:szCs w:val="24"/>
        </w:rPr>
      </w:pPr>
      <w:bookmarkStart w:id="172" w:name="_Toc387526198"/>
      <w:bookmarkStart w:id="173" w:name="_Toc21008"/>
      <w:bookmarkStart w:id="174" w:name="_Toc387526394"/>
      <w:bookmarkStart w:id="175" w:name="_Toc387526302"/>
      <w:bookmarkStart w:id="176" w:name="_Toc4373"/>
      <w:bookmarkStart w:id="177" w:name="_Toc27670"/>
      <w:r>
        <w:rPr>
          <w:szCs w:val="24"/>
        </w:rPr>
        <w:t>3.3 投标有效期</w:t>
      </w:r>
      <w:bookmarkEnd w:id="172"/>
      <w:bookmarkEnd w:id="173"/>
      <w:bookmarkEnd w:id="174"/>
      <w:bookmarkEnd w:id="175"/>
      <w:bookmarkEnd w:id="176"/>
      <w:bookmarkEnd w:id="177"/>
    </w:p>
    <w:p>
      <w:pPr>
        <w:spacing w:line="360" w:lineRule="auto"/>
        <w:ind w:firstLine="420" w:firstLineChars="200"/>
        <w:rPr>
          <w:szCs w:val="21"/>
        </w:rPr>
      </w:pPr>
      <w:r>
        <w:rPr>
          <w:szCs w:val="21"/>
        </w:rPr>
        <w:t>3.3.1 在投标人须知前附表第3.3.1条规定的投标有效期内，投标人不得要求撤销或修改其投标文件。</w:t>
      </w:r>
    </w:p>
    <w:p>
      <w:pPr>
        <w:spacing w:line="360" w:lineRule="auto"/>
        <w:ind w:firstLine="420" w:firstLineChars="200"/>
        <w:rPr>
          <w:szCs w:val="21"/>
        </w:rPr>
      </w:pPr>
      <w:r>
        <w:rPr>
          <w:szCs w:val="21"/>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pStyle w:val="4"/>
        <w:spacing w:before="60" w:after="60" w:line="360" w:lineRule="auto"/>
        <w:ind w:firstLine="118"/>
        <w:rPr>
          <w:szCs w:val="24"/>
        </w:rPr>
      </w:pPr>
      <w:bookmarkStart w:id="178" w:name="_Toc25372"/>
      <w:bookmarkStart w:id="179" w:name="_Toc387526303"/>
      <w:bookmarkStart w:id="180" w:name="_Toc15701"/>
      <w:bookmarkStart w:id="181" w:name="_Toc18281"/>
      <w:bookmarkStart w:id="182" w:name="_Toc387526199"/>
      <w:bookmarkStart w:id="183" w:name="_Toc387526395"/>
      <w:r>
        <w:rPr>
          <w:szCs w:val="24"/>
        </w:rPr>
        <w:t>3.4 投标保证金</w:t>
      </w:r>
      <w:bookmarkEnd w:id="178"/>
      <w:bookmarkEnd w:id="179"/>
      <w:bookmarkEnd w:id="180"/>
      <w:bookmarkEnd w:id="181"/>
      <w:bookmarkEnd w:id="182"/>
      <w:bookmarkEnd w:id="183"/>
    </w:p>
    <w:p>
      <w:pPr>
        <w:spacing w:line="360" w:lineRule="auto"/>
        <w:ind w:firstLine="420" w:firstLineChars="200"/>
        <w:rPr>
          <w:szCs w:val="21"/>
        </w:rPr>
      </w:pPr>
      <w:bookmarkStart w:id="184" w:name="_Toc324255909"/>
      <w:bookmarkStart w:id="185" w:name="_Toc269310939"/>
      <w:bookmarkStart w:id="186" w:name="_Toc339359765"/>
      <w:r>
        <w:rPr>
          <w:szCs w:val="21"/>
        </w:rPr>
        <w:t xml:space="preserve">3.4.1 </w:t>
      </w:r>
      <w:r>
        <w:rPr>
          <w:rFonts w:hint="eastAsia"/>
          <w:szCs w:val="21"/>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pPr>
        <w:spacing w:line="360" w:lineRule="auto"/>
        <w:ind w:firstLine="420" w:firstLineChars="200"/>
        <w:rPr>
          <w:szCs w:val="21"/>
        </w:rPr>
      </w:pPr>
      <w:r>
        <w:rPr>
          <w:szCs w:val="21"/>
        </w:rPr>
        <w:t>3.4.2 投标人不按本章第3.4.1项要求提交投标保证金的，评标委员会将否决其投标。</w:t>
      </w:r>
    </w:p>
    <w:p>
      <w:pPr>
        <w:spacing w:line="360" w:lineRule="auto"/>
        <w:ind w:firstLine="420" w:firstLineChars="200"/>
        <w:rPr>
          <w:szCs w:val="21"/>
        </w:rPr>
      </w:pPr>
      <w:r>
        <w:rPr>
          <w:szCs w:val="21"/>
        </w:rPr>
        <w:t>3.4.3 招标人最迟应当在书面合同签订后5日内向中标人和未中标的投标人退还投标保证金。</w:t>
      </w:r>
    </w:p>
    <w:p>
      <w:pPr>
        <w:spacing w:line="360" w:lineRule="auto"/>
        <w:ind w:firstLine="420" w:firstLineChars="200"/>
        <w:rPr>
          <w:szCs w:val="21"/>
        </w:rPr>
      </w:pPr>
      <w:r>
        <w:rPr>
          <w:szCs w:val="21"/>
        </w:rPr>
        <w:t>3.4.4 有下列情形之一的，投标保证金将不予退还：</w:t>
      </w:r>
    </w:p>
    <w:p>
      <w:pPr>
        <w:spacing w:line="360" w:lineRule="auto"/>
        <w:ind w:firstLine="420" w:firstLineChars="200"/>
        <w:rPr>
          <w:szCs w:val="21"/>
        </w:rPr>
      </w:pPr>
      <w:r>
        <w:rPr>
          <w:rFonts w:hint="eastAsia"/>
          <w:szCs w:val="21"/>
        </w:rPr>
        <w:t>（1）</w:t>
      </w:r>
      <w:r>
        <w:rPr>
          <w:szCs w:val="21"/>
        </w:rPr>
        <w:t>投标截止后投标人撤销投标文件的。</w:t>
      </w:r>
    </w:p>
    <w:p>
      <w:pPr>
        <w:spacing w:line="360" w:lineRule="auto"/>
        <w:ind w:firstLine="420" w:firstLineChars="200"/>
        <w:rPr>
          <w:szCs w:val="21"/>
        </w:rPr>
      </w:pPr>
      <w:r>
        <w:rPr>
          <w:rFonts w:hint="eastAsia"/>
          <w:szCs w:val="21"/>
        </w:rPr>
        <w:t>（2）</w:t>
      </w:r>
      <w:r>
        <w:rPr>
          <w:szCs w:val="21"/>
        </w:rPr>
        <w:t>中标人无正当理由不与招标人订立合同；在签订合同时向招标人提出附加条件，或者不按照招标文件要求提交履约保证金的。</w:t>
      </w:r>
    </w:p>
    <w:p>
      <w:pPr>
        <w:pStyle w:val="4"/>
        <w:spacing w:before="60" w:after="60" w:line="360" w:lineRule="auto"/>
        <w:ind w:firstLine="118"/>
        <w:rPr>
          <w:szCs w:val="24"/>
        </w:rPr>
      </w:pPr>
      <w:bookmarkStart w:id="187" w:name="_Toc387526396"/>
      <w:bookmarkStart w:id="188" w:name="_Toc22895"/>
      <w:bookmarkStart w:id="189" w:name="_Toc387526200"/>
      <w:bookmarkStart w:id="190" w:name="_Toc22147"/>
      <w:bookmarkStart w:id="191" w:name="_Toc20489"/>
      <w:bookmarkStart w:id="192" w:name="_Toc387526304"/>
      <w:r>
        <w:rPr>
          <w:szCs w:val="24"/>
        </w:rPr>
        <w:t>3.</w:t>
      </w:r>
      <w:r>
        <w:rPr>
          <w:rFonts w:hint="eastAsia"/>
          <w:szCs w:val="24"/>
        </w:rPr>
        <w:t>5</w:t>
      </w:r>
      <w:r>
        <w:rPr>
          <w:szCs w:val="24"/>
        </w:rPr>
        <w:t xml:space="preserve"> 备选投标方案</w:t>
      </w:r>
      <w:bookmarkEnd w:id="184"/>
      <w:bookmarkEnd w:id="185"/>
      <w:bookmarkEnd w:id="186"/>
      <w:bookmarkEnd w:id="187"/>
      <w:bookmarkEnd w:id="188"/>
      <w:bookmarkEnd w:id="189"/>
      <w:bookmarkEnd w:id="190"/>
      <w:bookmarkEnd w:id="191"/>
      <w:bookmarkEnd w:id="192"/>
    </w:p>
    <w:p>
      <w:pPr>
        <w:spacing w:line="360" w:lineRule="auto"/>
        <w:ind w:firstLine="420"/>
        <w:rPr>
          <w:szCs w:val="21"/>
        </w:rPr>
      </w:pPr>
      <w:r>
        <w:rPr>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Style w:val="4"/>
        <w:spacing w:before="60" w:after="60" w:line="360" w:lineRule="auto"/>
        <w:ind w:firstLine="118"/>
        <w:rPr>
          <w:szCs w:val="24"/>
        </w:rPr>
      </w:pPr>
      <w:bookmarkStart w:id="193" w:name="_Toc16855"/>
      <w:bookmarkStart w:id="194" w:name="_Toc387526305"/>
      <w:bookmarkStart w:id="195" w:name="_Toc387526397"/>
      <w:bookmarkStart w:id="196" w:name="_Toc31670"/>
      <w:bookmarkStart w:id="197" w:name="_Toc387526201"/>
      <w:bookmarkStart w:id="198" w:name="_Toc18018"/>
      <w:r>
        <w:rPr>
          <w:szCs w:val="24"/>
        </w:rPr>
        <w:t>3.</w:t>
      </w:r>
      <w:r>
        <w:rPr>
          <w:rFonts w:hint="eastAsia"/>
          <w:szCs w:val="24"/>
        </w:rPr>
        <w:t>6</w:t>
      </w:r>
      <w:r>
        <w:rPr>
          <w:szCs w:val="24"/>
        </w:rPr>
        <w:t xml:space="preserve"> 投标文件的编制</w:t>
      </w:r>
      <w:bookmarkEnd w:id="193"/>
      <w:bookmarkEnd w:id="194"/>
      <w:bookmarkEnd w:id="195"/>
      <w:bookmarkEnd w:id="196"/>
      <w:bookmarkEnd w:id="197"/>
      <w:bookmarkEnd w:id="198"/>
    </w:p>
    <w:p>
      <w:pPr>
        <w:spacing w:line="360" w:lineRule="auto"/>
        <w:ind w:firstLine="420"/>
        <w:rPr>
          <w:szCs w:val="21"/>
        </w:rPr>
      </w:pPr>
      <w:r>
        <w:rPr>
          <w:rFonts w:hint="eastAsia"/>
          <w:szCs w:val="21"/>
        </w:rPr>
        <w:t>3.6.1 投标文件应按“投标文件格式”进行编写，如有必要，可以增加附页，作为投标文件的组成部分。</w:t>
      </w:r>
    </w:p>
    <w:p>
      <w:pPr>
        <w:spacing w:line="360" w:lineRule="auto"/>
        <w:ind w:firstLine="420"/>
        <w:rPr>
          <w:szCs w:val="21"/>
        </w:rPr>
      </w:pPr>
      <w:r>
        <w:rPr>
          <w:rFonts w:hint="eastAsia"/>
          <w:szCs w:val="21"/>
        </w:rPr>
        <w:t>3.6.2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20"/>
        <w:rPr>
          <w:szCs w:val="21"/>
        </w:rPr>
      </w:pPr>
      <w:r>
        <w:rPr>
          <w:rFonts w:hint="eastAsia"/>
          <w:szCs w:val="21"/>
        </w:rPr>
        <w:t>3.6.3 投标文件正本一份，副本份数见投标人须知前附表。正本和副本的封面上应清楚地标记“正本”或“副本”的字样。当副本和正本不一致时，以正本为准。</w:t>
      </w:r>
    </w:p>
    <w:p>
      <w:pPr>
        <w:spacing w:line="360" w:lineRule="auto"/>
        <w:ind w:firstLine="420"/>
        <w:rPr>
          <w:szCs w:val="21"/>
        </w:rPr>
      </w:pPr>
      <w:r>
        <w:rPr>
          <w:rFonts w:hint="eastAsia"/>
          <w:szCs w:val="21"/>
        </w:rPr>
        <w:t>3.6.4 投标文件的正本与副本应分别装订成册，并编制目录，具体装订要求见投标人须知前附表规定。</w:t>
      </w:r>
    </w:p>
    <w:p>
      <w:pPr>
        <w:pStyle w:val="159"/>
        <w:rPr>
          <w:color w:val="auto"/>
        </w:rPr>
      </w:pPr>
      <w:bookmarkStart w:id="199" w:name="_Toc369077564"/>
      <w:bookmarkStart w:id="200" w:name="_Toc368759378"/>
      <w:bookmarkStart w:id="201" w:name="_Toc24421"/>
      <w:bookmarkStart w:id="202" w:name="_Toc387526306"/>
      <w:bookmarkStart w:id="203" w:name="_Toc17644"/>
      <w:bookmarkStart w:id="204" w:name="_Toc184635074"/>
      <w:bookmarkStart w:id="205" w:name="_Toc387526398"/>
      <w:bookmarkStart w:id="206" w:name="_Toc387526202"/>
      <w:bookmarkStart w:id="207" w:name="_Toc10248"/>
      <w:bookmarkStart w:id="208" w:name="_Toc363329373"/>
      <w:bookmarkStart w:id="209" w:name="_Toc367894801"/>
      <w:bookmarkStart w:id="210" w:name="_Toc368760430"/>
      <w:bookmarkStart w:id="211" w:name="_Toc363329374"/>
      <w:bookmarkStart w:id="212" w:name="_Toc368759379"/>
      <w:bookmarkStart w:id="213" w:name="_Toc367894802"/>
      <w:bookmarkStart w:id="214" w:name="_Toc184635075"/>
      <w:r>
        <w:rPr>
          <w:color w:val="auto"/>
        </w:rPr>
        <w:t>4.投标</w:t>
      </w:r>
      <w:bookmarkEnd w:id="199"/>
      <w:bookmarkEnd w:id="200"/>
      <w:bookmarkEnd w:id="201"/>
      <w:bookmarkEnd w:id="202"/>
      <w:bookmarkEnd w:id="203"/>
      <w:bookmarkEnd w:id="204"/>
      <w:bookmarkEnd w:id="205"/>
      <w:bookmarkEnd w:id="206"/>
      <w:bookmarkEnd w:id="207"/>
      <w:bookmarkEnd w:id="208"/>
      <w:bookmarkEnd w:id="209"/>
      <w:bookmarkEnd w:id="210"/>
    </w:p>
    <w:p>
      <w:pPr>
        <w:pStyle w:val="4"/>
        <w:ind w:firstLine="118"/>
      </w:pPr>
      <w:bookmarkStart w:id="215" w:name="_Toc387526203"/>
      <w:bookmarkStart w:id="216" w:name="_Toc387526307"/>
      <w:bookmarkStart w:id="217" w:name="_Toc11721"/>
      <w:bookmarkStart w:id="218" w:name="_Toc16626"/>
      <w:bookmarkStart w:id="219" w:name="_Toc27481"/>
      <w:bookmarkStart w:id="220" w:name="_Toc387526399"/>
      <w:r>
        <w:rPr>
          <w:rFonts w:hint="eastAsia"/>
        </w:rPr>
        <w:t>4.1 投标文件的密封和标记</w:t>
      </w:r>
      <w:bookmarkEnd w:id="215"/>
      <w:bookmarkEnd w:id="216"/>
      <w:bookmarkEnd w:id="217"/>
      <w:bookmarkEnd w:id="218"/>
      <w:bookmarkEnd w:id="219"/>
      <w:bookmarkEnd w:id="220"/>
    </w:p>
    <w:p>
      <w:pPr>
        <w:spacing w:line="360" w:lineRule="auto"/>
        <w:ind w:firstLine="420"/>
        <w:rPr>
          <w:szCs w:val="21"/>
        </w:rPr>
      </w:pPr>
      <w:bookmarkStart w:id="221" w:name="_Toc7888"/>
      <w:bookmarkStart w:id="222" w:name="_Toc387526400"/>
      <w:bookmarkStart w:id="223" w:name="_Toc387526308"/>
      <w:bookmarkStart w:id="224" w:name="_Toc387526204"/>
      <w:r>
        <w:rPr>
          <w:rFonts w:hint="eastAsia"/>
          <w:szCs w:val="21"/>
        </w:rPr>
        <w:t>4.1.1 投标文件应按以下要求进行密封：正本与副本分开包装密封，并在封套上加盖投标人公章。封袋大小、数量由投标人根据需要自行制作。</w:t>
      </w:r>
    </w:p>
    <w:p>
      <w:pPr>
        <w:spacing w:line="360" w:lineRule="auto"/>
        <w:ind w:firstLine="420"/>
        <w:rPr>
          <w:szCs w:val="21"/>
        </w:rPr>
      </w:pPr>
      <w:r>
        <w:rPr>
          <w:rFonts w:hint="eastAsia"/>
          <w:szCs w:val="21"/>
        </w:rPr>
        <w:t>4.1.2 投标文件的封套应按以下要求进行标记：分别清楚地标记“正本”、“副本”字样，并写明招标人名称、工程名称和投标人名称等。资格审查资料原件可以随投标文件一起装袋密封，也可单独密封提交。</w:t>
      </w:r>
    </w:p>
    <w:p>
      <w:pPr>
        <w:pStyle w:val="4"/>
        <w:ind w:firstLine="118"/>
      </w:pPr>
      <w:bookmarkStart w:id="225" w:name="_Toc6384"/>
      <w:bookmarkStart w:id="226" w:name="_Toc22721"/>
      <w:r>
        <w:t>4.2 投标文件的递交</w:t>
      </w:r>
      <w:bookmarkEnd w:id="221"/>
      <w:bookmarkEnd w:id="222"/>
      <w:bookmarkEnd w:id="223"/>
      <w:bookmarkEnd w:id="224"/>
      <w:bookmarkEnd w:id="225"/>
      <w:bookmarkEnd w:id="226"/>
    </w:p>
    <w:p>
      <w:pPr>
        <w:spacing w:line="360" w:lineRule="auto"/>
        <w:ind w:firstLine="420"/>
        <w:rPr>
          <w:szCs w:val="21"/>
        </w:rPr>
      </w:pPr>
      <w:r>
        <w:rPr>
          <w:rFonts w:hint="eastAsia"/>
          <w:szCs w:val="21"/>
        </w:rPr>
        <w:t>4.2.1 投标人应在投标人须知前附表规定的投标截止时间前递交投标文件。</w:t>
      </w:r>
    </w:p>
    <w:p>
      <w:pPr>
        <w:spacing w:line="360" w:lineRule="auto"/>
        <w:ind w:firstLine="420"/>
        <w:rPr>
          <w:szCs w:val="21"/>
        </w:rPr>
      </w:pPr>
      <w:r>
        <w:rPr>
          <w:rFonts w:hint="eastAsia"/>
          <w:szCs w:val="21"/>
        </w:rPr>
        <w:t>4.2.2 投标人递交投标文件的地点：见投标人须知前附表。</w:t>
      </w:r>
    </w:p>
    <w:p>
      <w:pPr>
        <w:spacing w:line="360" w:lineRule="auto"/>
        <w:ind w:firstLine="420"/>
        <w:rPr>
          <w:szCs w:val="21"/>
        </w:rPr>
      </w:pPr>
      <w:r>
        <w:rPr>
          <w:rFonts w:hint="eastAsia"/>
          <w:szCs w:val="21"/>
        </w:rPr>
        <w:t>4.2.3 除投标人须知前附表另有规定外，投标人所递交的投标文件不予退还。</w:t>
      </w:r>
    </w:p>
    <w:p>
      <w:pPr>
        <w:pStyle w:val="4"/>
        <w:ind w:firstLine="118"/>
      </w:pPr>
      <w:bookmarkStart w:id="227" w:name="_Toc387526205"/>
      <w:bookmarkStart w:id="228" w:name="_Toc387526401"/>
      <w:bookmarkStart w:id="229" w:name="_Toc11439"/>
      <w:bookmarkStart w:id="230" w:name="_Toc12008"/>
      <w:bookmarkStart w:id="231" w:name="_Toc29983"/>
      <w:bookmarkStart w:id="232" w:name="_Toc387526309"/>
      <w:r>
        <w:rPr>
          <w:rFonts w:hint="eastAsia"/>
        </w:rPr>
        <w:t>4.3 投标文件的修改与撤回</w:t>
      </w:r>
      <w:bookmarkEnd w:id="227"/>
      <w:bookmarkEnd w:id="228"/>
      <w:bookmarkEnd w:id="229"/>
      <w:bookmarkEnd w:id="230"/>
      <w:bookmarkEnd w:id="231"/>
      <w:bookmarkEnd w:id="232"/>
    </w:p>
    <w:p>
      <w:pPr>
        <w:spacing w:line="360" w:lineRule="auto"/>
        <w:ind w:firstLine="420"/>
        <w:rPr>
          <w:szCs w:val="21"/>
        </w:rPr>
      </w:pPr>
      <w:r>
        <w:rPr>
          <w:rFonts w:hint="eastAsia"/>
          <w:szCs w:val="21"/>
        </w:rPr>
        <w:t>4.3.1 在投标人须知前附表规定的投标截止时间前，投标人可以修改或撤回已递交的投标文件，但应以书面形式通知招标人。</w:t>
      </w:r>
    </w:p>
    <w:p>
      <w:pPr>
        <w:spacing w:line="360" w:lineRule="auto"/>
        <w:ind w:firstLine="420"/>
        <w:rPr>
          <w:szCs w:val="21"/>
        </w:rPr>
      </w:pPr>
      <w:r>
        <w:rPr>
          <w:rFonts w:hint="eastAsia"/>
          <w:szCs w:val="21"/>
        </w:rPr>
        <w:t>4.3.2 投标人修改或撤回已递交投标文件的书面通知应按照本章第3.6.2 项的要求签字或盖章。招标人收到书面通知后，向投标人出具签收凭证。</w:t>
      </w:r>
    </w:p>
    <w:p>
      <w:pPr>
        <w:spacing w:line="360" w:lineRule="auto"/>
        <w:ind w:firstLine="420"/>
        <w:rPr>
          <w:szCs w:val="21"/>
        </w:rPr>
      </w:pPr>
      <w:r>
        <w:rPr>
          <w:rFonts w:hint="eastAsia"/>
          <w:szCs w:val="21"/>
        </w:rPr>
        <w:t>4.3.3 修改的内容为投标文件的组成部分。修改的投标文件应按照本章第3 条、第4 条规定进行编制、密封、标记和递交，并标明“修改”字样。</w:t>
      </w:r>
    </w:p>
    <w:p>
      <w:pPr>
        <w:pStyle w:val="4"/>
        <w:ind w:firstLine="118"/>
      </w:pPr>
      <w:bookmarkStart w:id="233" w:name="_Toc11740"/>
      <w:bookmarkStart w:id="234" w:name="_Toc24201"/>
      <w:bookmarkStart w:id="235" w:name="_Toc4690"/>
      <w:r>
        <w:rPr>
          <w:rFonts w:hint="eastAsia"/>
        </w:rPr>
        <w:t>4.4 不予接收的投标文件</w:t>
      </w:r>
      <w:bookmarkEnd w:id="233"/>
      <w:bookmarkEnd w:id="234"/>
      <w:bookmarkEnd w:id="235"/>
    </w:p>
    <w:p>
      <w:pPr>
        <w:spacing w:line="360" w:lineRule="auto"/>
        <w:ind w:firstLine="420"/>
        <w:rPr>
          <w:szCs w:val="21"/>
        </w:rPr>
      </w:pPr>
      <w:r>
        <w:rPr>
          <w:rFonts w:hint="eastAsia"/>
          <w:szCs w:val="21"/>
        </w:rPr>
        <w:t>4.4.1未按本章第4.1.1款规定密封的投标文件，招标人不予接收。</w:t>
      </w:r>
    </w:p>
    <w:p>
      <w:pPr>
        <w:spacing w:line="360" w:lineRule="auto"/>
        <w:ind w:firstLine="420"/>
        <w:rPr>
          <w:szCs w:val="21"/>
        </w:rPr>
      </w:pPr>
      <w:r>
        <w:rPr>
          <w:rFonts w:hint="eastAsia"/>
          <w:szCs w:val="21"/>
        </w:rPr>
        <w:t>4.4.2逾期送达或者未送达指定地点的投标文件，招标人不予接收。</w:t>
      </w:r>
    </w:p>
    <w:p>
      <w:pPr>
        <w:pStyle w:val="159"/>
        <w:rPr>
          <w:color w:val="auto"/>
        </w:rPr>
      </w:pPr>
      <w:bookmarkStart w:id="236" w:name="_Toc19137"/>
      <w:bookmarkStart w:id="237" w:name="_Toc22329"/>
      <w:bookmarkStart w:id="238" w:name="_Toc368760431"/>
      <w:bookmarkStart w:id="239" w:name="_Toc31657"/>
      <w:bookmarkStart w:id="240" w:name="_Toc387526402"/>
      <w:bookmarkStart w:id="241" w:name="_Toc369077565"/>
      <w:bookmarkStart w:id="242" w:name="_Toc387526206"/>
      <w:bookmarkStart w:id="243" w:name="_Toc387526310"/>
      <w:bookmarkStart w:id="244" w:name="_Toc144974534"/>
      <w:bookmarkStart w:id="245" w:name="_Toc246996953"/>
      <w:bookmarkStart w:id="246" w:name="_Toc246996210"/>
      <w:bookmarkStart w:id="247" w:name="_Toc152042342"/>
      <w:bookmarkStart w:id="248" w:name="_Toc366679697"/>
      <w:bookmarkStart w:id="249" w:name="_Toc368759381"/>
      <w:bookmarkStart w:id="250" w:name="_Toc247085724"/>
      <w:bookmarkStart w:id="251" w:name="_Toc152045566"/>
      <w:bookmarkStart w:id="252" w:name="_Toc179632584"/>
      <w:r>
        <w:rPr>
          <w:color w:val="auto"/>
        </w:rPr>
        <w:t>5.开标</w:t>
      </w:r>
      <w:bookmarkEnd w:id="236"/>
      <w:bookmarkEnd w:id="237"/>
      <w:bookmarkEnd w:id="238"/>
      <w:bookmarkEnd w:id="239"/>
      <w:bookmarkEnd w:id="240"/>
      <w:bookmarkEnd w:id="241"/>
      <w:bookmarkEnd w:id="242"/>
      <w:bookmarkEnd w:id="243"/>
    </w:p>
    <w:p>
      <w:pPr>
        <w:pStyle w:val="4"/>
        <w:ind w:firstLine="118"/>
      </w:pPr>
      <w:bookmarkStart w:id="253" w:name="_Toc3233"/>
      <w:bookmarkStart w:id="254" w:name="_Toc24174"/>
      <w:bookmarkStart w:id="255" w:name="_Toc387526403"/>
      <w:bookmarkStart w:id="256" w:name="_Toc31882"/>
      <w:bookmarkStart w:id="257" w:name="_Toc387526311"/>
      <w:bookmarkStart w:id="258" w:name="_Toc387526207"/>
      <w:r>
        <w:t>5.1 开标时间和地点</w:t>
      </w:r>
      <w:bookmarkEnd w:id="253"/>
      <w:bookmarkEnd w:id="254"/>
      <w:bookmarkEnd w:id="255"/>
      <w:bookmarkEnd w:id="256"/>
      <w:bookmarkEnd w:id="257"/>
      <w:bookmarkEnd w:id="258"/>
    </w:p>
    <w:p>
      <w:pPr>
        <w:pStyle w:val="43"/>
        <w:spacing w:after="0" w:line="360" w:lineRule="auto"/>
        <w:ind w:left="0" w:firstLine="420" w:firstLineChars="200"/>
        <w:rPr>
          <w:szCs w:val="21"/>
        </w:rPr>
      </w:pPr>
      <w:r>
        <w:rPr>
          <w:szCs w:val="21"/>
        </w:rPr>
        <w:t>招标人在投标人须知前附表规定的开标时间和地点公开开标，并邀请所有投标人准时参加。</w:t>
      </w:r>
    </w:p>
    <w:p>
      <w:pPr>
        <w:pStyle w:val="4"/>
        <w:ind w:firstLine="118"/>
      </w:pPr>
      <w:bookmarkStart w:id="259" w:name="_Toc387526312"/>
      <w:bookmarkStart w:id="260" w:name="_Toc11103"/>
      <w:bookmarkStart w:id="261" w:name="_Toc387526404"/>
      <w:bookmarkStart w:id="262" w:name="_Toc20773"/>
      <w:bookmarkStart w:id="263" w:name="_Toc387526208"/>
      <w:bookmarkStart w:id="264" w:name="_Toc29793"/>
      <w:r>
        <w:t>5.2 开标程序</w:t>
      </w:r>
      <w:bookmarkEnd w:id="259"/>
      <w:bookmarkEnd w:id="260"/>
      <w:bookmarkEnd w:id="261"/>
      <w:bookmarkEnd w:id="262"/>
      <w:bookmarkEnd w:id="263"/>
      <w:bookmarkEnd w:id="264"/>
    </w:p>
    <w:p>
      <w:pPr>
        <w:spacing w:line="360" w:lineRule="auto"/>
        <w:ind w:firstLine="420"/>
        <w:rPr>
          <w:szCs w:val="21"/>
        </w:rPr>
      </w:pPr>
      <w:bookmarkStart w:id="265" w:name="_Toc368759380"/>
      <w:bookmarkStart w:id="266" w:name="_Toc184635076"/>
      <w:bookmarkStart w:id="267" w:name="_Toc368760432"/>
      <w:bookmarkStart w:id="268" w:name="_Toc367894803"/>
      <w:bookmarkStart w:id="269" w:name="_Toc363329375"/>
      <w:bookmarkStart w:id="270" w:name="_Toc369077566"/>
      <w:r>
        <w:rPr>
          <w:rFonts w:hint="eastAsia"/>
          <w:szCs w:val="21"/>
        </w:rPr>
        <w:t>5.2.1 主持人按下列程序进行开标：</w:t>
      </w:r>
    </w:p>
    <w:p>
      <w:pPr>
        <w:spacing w:line="360" w:lineRule="auto"/>
        <w:ind w:firstLine="420"/>
        <w:rPr>
          <w:szCs w:val="21"/>
        </w:rPr>
      </w:pPr>
      <w:r>
        <w:rPr>
          <w:rFonts w:hint="eastAsia"/>
          <w:szCs w:val="21"/>
        </w:rPr>
        <w:t>（1）宣布开标纪律；</w:t>
      </w:r>
    </w:p>
    <w:p>
      <w:pPr>
        <w:spacing w:line="360" w:lineRule="auto"/>
        <w:ind w:firstLine="420"/>
        <w:rPr>
          <w:szCs w:val="21"/>
        </w:rPr>
      </w:pPr>
      <w:r>
        <w:rPr>
          <w:rFonts w:hint="eastAsia"/>
          <w:szCs w:val="21"/>
        </w:rPr>
        <w:t>（2）公布在投标截止时间前递交投标文件的投标人名称，并按投标人须知前附表的要求确认投标人是否派相关人员到场；</w:t>
      </w:r>
    </w:p>
    <w:p>
      <w:pPr>
        <w:spacing w:line="360" w:lineRule="auto"/>
        <w:ind w:firstLine="420"/>
        <w:rPr>
          <w:szCs w:val="21"/>
        </w:rPr>
      </w:pPr>
      <w:r>
        <w:rPr>
          <w:rFonts w:hint="eastAsia"/>
          <w:szCs w:val="21"/>
        </w:rPr>
        <w:t>（3）宣布相关参会人员姓名；</w:t>
      </w:r>
    </w:p>
    <w:p>
      <w:pPr>
        <w:spacing w:line="360" w:lineRule="auto"/>
        <w:ind w:firstLine="420"/>
        <w:rPr>
          <w:szCs w:val="21"/>
        </w:rPr>
      </w:pPr>
      <w:r>
        <w:rPr>
          <w:rFonts w:hint="eastAsia"/>
          <w:szCs w:val="21"/>
        </w:rPr>
        <w:t>（4）检查投标文件的密封情况；</w:t>
      </w:r>
    </w:p>
    <w:p>
      <w:pPr>
        <w:spacing w:line="360" w:lineRule="auto"/>
        <w:ind w:firstLine="420"/>
        <w:rPr>
          <w:szCs w:val="21"/>
        </w:rPr>
      </w:pPr>
      <w:r>
        <w:rPr>
          <w:rFonts w:hint="eastAsia"/>
          <w:szCs w:val="21"/>
        </w:rPr>
        <w:t>（5）当众开标、唱标，并记录在案；</w:t>
      </w:r>
    </w:p>
    <w:p>
      <w:pPr>
        <w:spacing w:line="360" w:lineRule="auto"/>
        <w:ind w:firstLine="420"/>
        <w:rPr>
          <w:szCs w:val="21"/>
        </w:rPr>
      </w:pPr>
      <w:r>
        <w:rPr>
          <w:rFonts w:hint="eastAsia"/>
          <w:szCs w:val="21"/>
        </w:rPr>
        <w:t>（6）相关参会人员在开标记录上签字确认；</w:t>
      </w:r>
    </w:p>
    <w:p>
      <w:pPr>
        <w:spacing w:line="360" w:lineRule="auto"/>
        <w:ind w:firstLine="420"/>
        <w:rPr>
          <w:szCs w:val="21"/>
        </w:rPr>
      </w:pPr>
      <w:r>
        <w:rPr>
          <w:rFonts w:hint="eastAsia"/>
          <w:szCs w:val="21"/>
        </w:rPr>
        <w:t>（7）开标结束。</w:t>
      </w:r>
    </w:p>
    <w:p>
      <w:pPr>
        <w:spacing w:line="360" w:lineRule="auto"/>
        <w:ind w:firstLine="420"/>
        <w:rPr>
          <w:szCs w:val="21"/>
        </w:rPr>
      </w:pPr>
      <w:r>
        <w:rPr>
          <w:rFonts w:hint="eastAsia"/>
          <w:szCs w:val="21"/>
        </w:rPr>
        <w:t>5.2.2投标人对开标有异议的，应当在开标现场提出，招标人应当当场作出答复，并制作记录。</w:t>
      </w:r>
    </w:p>
    <w:p>
      <w:pPr>
        <w:pStyle w:val="159"/>
        <w:rPr>
          <w:color w:val="auto"/>
        </w:rPr>
      </w:pPr>
      <w:bookmarkStart w:id="271" w:name="_Toc387526313"/>
      <w:bookmarkStart w:id="272" w:name="_Toc387526405"/>
      <w:bookmarkStart w:id="273" w:name="_Toc2977"/>
      <w:bookmarkStart w:id="274" w:name="_Toc387526209"/>
      <w:bookmarkStart w:id="275" w:name="_Toc22517"/>
      <w:bookmarkStart w:id="276" w:name="_Toc18936"/>
      <w:r>
        <w:rPr>
          <w:color w:val="auto"/>
        </w:rPr>
        <w:t>6.评标</w:t>
      </w:r>
      <w:bookmarkEnd w:id="265"/>
      <w:bookmarkEnd w:id="266"/>
      <w:bookmarkEnd w:id="267"/>
      <w:bookmarkEnd w:id="268"/>
      <w:bookmarkEnd w:id="269"/>
      <w:bookmarkEnd w:id="270"/>
      <w:bookmarkEnd w:id="271"/>
      <w:bookmarkEnd w:id="272"/>
      <w:bookmarkEnd w:id="273"/>
      <w:bookmarkEnd w:id="274"/>
      <w:bookmarkEnd w:id="275"/>
      <w:bookmarkEnd w:id="276"/>
    </w:p>
    <w:p>
      <w:pPr>
        <w:pStyle w:val="4"/>
        <w:ind w:firstLine="118"/>
      </w:pPr>
      <w:bookmarkStart w:id="277" w:name="_Toc9166"/>
      <w:bookmarkStart w:id="278" w:name="_Toc14651"/>
      <w:bookmarkStart w:id="279" w:name="_Toc9909"/>
      <w:bookmarkStart w:id="280" w:name="_Toc387526314"/>
      <w:bookmarkStart w:id="281" w:name="_Toc387526406"/>
      <w:bookmarkStart w:id="282" w:name="_Toc387526210"/>
      <w:r>
        <w:t>6.1 评标委员会</w:t>
      </w:r>
      <w:bookmarkEnd w:id="277"/>
      <w:bookmarkEnd w:id="278"/>
      <w:bookmarkEnd w:id="279"/>
      <w:bookmarkEnd w:id="280"/>
      <w:bookmarkEnd w:id="281"/>
      <w:bookmarkEnd w:id="282"/>
    </w:p>
    <w:p>
      <w:pPr>
        <w:spacing w:line="360" w:lineRule="auto"/>
        <w:ind w:firstLine="420"/>
        <w:rPr>
          <w:szCs w:val="21"/>
        </w:rPr>
      </w:pPr>
      <w:bookmarkStart w:id="283" w:name="_Toc339359778"/>
      <w:bookmarkStart w:id="284" w:name="_Toc324255922"/>
      <w:bookmarkStart w:id="285" w:name="_Toc269310951"/>
      <w:r>
        <w:rPr>
          <w:szCs w:val="21"/>
        </w:rPr>
        <w:t>6.1.1 评标由招标人依法组建的评标委员会负责。评标委员会由招标人代表以及有关技术、经济等方面的专家组成。</w:t>
      </w:r>
    </w:p>
    <w:p>
      <w:pPr>
        <w:spacing w:line="360" w:lineRule="auto"/>
        <w:ind w:firstLine="420"/>
        <w:rPr>
          <w:szCs w:val="21"/>
        </w:rPr>
      </w:pPr>
      <w:r>
        <w:rPr>
          <w:szCs w:val="21"/>
        </w:rPr>
        <w:t>6.1.2 评标委员会成员有下列情形之一的，应当回避：</w:t>
      </w:r>
    </w:p>
    <w:p>
      <w:pPr>
        <w:spacing w:line="360" w:lineRule="auto"/>
        <w:ind w:firstLine="420"/>
        <w:rPr>
          <w:szCs w:val="21"/>
        </w:rPr>
      </w:pPr>
      <w:r>
        <w:rPr>
          <w:rFonts w:hint="eastAsia"/>
          <w:szCs w:val="21"/>
        </w:rPr>
        <w:t>（1）</w:t>
      </w:r>
      <w:r>
        <w:rPr>
          <w:szCs w:val="21"/>
        </w:rPr>
        <w:t>投标人或投标人主要负责人的近亲属；</w:t>
      </w:r>
    </w:p>
    <w:p>
      <w:pPr>
        <w:spacing w:line="360" w:lineRule="auto"/>
        <w:ind w:firstLine="420"/>
        <w:rPr>
          <w:szCs w:val="21"/>
        </w:rPr>
      </w:pPr>
      <w:r>
        <w:rPr>
          <w:rFonts w:hint="eastAsia"/>
          <w:szCs w:val="21"/>
        </w:rPr>
        <w:t>（2）</w:t>
      </w:r>
      <w:r>
        <w:rPr>
          <w:szCs w:val="21"/>
        </w:rPr>
        <w:t>项目主管部门或者行政监督部门的人员；</w:t>
      </w:r>
    </w:p>
    <w:p>
      <w:pPr>
        <w:spacing w:line="360" w:lineRule="auto"/>
        <w:ind w:firstLine="420"/>
        <w:rPr>
          <w:szCs w:val="21"/>
        </w:rPr>
      </w:pPr>
      <w:r>
        <w:rPr>
          <w:rFonts w:hint="eastAsia"/>
          <w:szCs w:val="21"/>
        </w:rPr>
        <w:t>（3）</w:t>
      </w:r>
      <w:r>
        <w:rPr>
          <w:szCs w:val="21"/>
        </w:rPr>
        <w:t>与投标人有经济利益关系；</w:t>
      </w:r>
    </w:p>
    <w:p>
      <w:pPr>
        <w:spacing w:line="360" w:lineRule="auto"/>
        <w:ind w:firstLine="420"/>
        <w:rPr>
          <w:szCs w:val="21"/>
        </w:rPr>
      </w:pPr>
      <w:r>
        <w:rPr>
          <w:rFonts w:hint="eastAsia"/>
          <w:szCs w:val="21"/>
        </w:rPr>
        <w:t>（4）</w:t>
      </w:r>
      <w:r>
        <w:rPr>
          <w:szCs w:val="21"/>
        </w:rPr>
        <w:t>曾因在招标、评标以及其他与招标投标有关活动中从事违法行为而受过行政处罚或刑事处罚的</w:t>
      </w:r>
      <w:r>
        <w:rPr>
          <w:rFonts w:hint="eastAsia"/>
          <w:szCs w:val="21"/>
        </w:rPr>
        <w:t>。</w:t>
      </w:r>
    </w:p>
    <w:p>
      <w:pPr>
        <w:pStyle w:val="4"/>
        <w:ind w:firstLine="118"/>
      </w:pPr>
      <w:bookmarkStart w:id="286" w:name="_Toc6768"/>
      <w:bookmarkStart w:id="287" w:name="_Toc387526315"/>
      <w:bookmarkStart w:id="288" w:name="_Toc387526211"/>
      <w:bookmarkStart w:id="289" w:name="_Toc387526407"/>
      <w:bookmarkStart w:id="290" w:name="_Toc12316"/>
      <w:bookmarkStart w:id="291" w:name="_Toc4262"/>
      <w:r>
        <w:t>6.2</w:t>
      </w:r>
      <w:bookmarkEnd w:id="283"/>
      <w:bookmarkEnd w:id="284"/>
      <w:bookmarkEnd w:id="285"/>
      <w:r>
        <w:rPr>
          <w:rFonts w:hint="eastAsia"/>
        </w:rPr>
        <w:t xml:space="preserve"> </w:t>
      </w:r>
      <w:r>
        <w:t>评标原则</w:t>
      </w:r>
      <w:bookmarkEnd w:id="286"/>
      <w:bookmarkEnd w:id="287"/>
      <w:bookmarkEnd w:id="288"/>
      <w:bookmarkEnd w:id="289"/>
      <w:bookmarkEnd w:id="290"/>
      <w:bookmarkEnd w:id="291"/>
    </w:p>
    <w:p>
      <w:pPr>
        <w:spacing w:line="360" w:lineRule="auto"/>
        <w:ind w:firstLine="420" w:firstLineChars="200"/>
      </w:pPr>
      <w:r>
        <w:t>评标活动遵循公平、公正、科学和择优的原则。</w:t>
      </w:r>
    </w:p>
    <w:p>
      <w:pPr>
        <w:pStyle w:val="4"/>
        <w:ind w:firstLine="118"/>
      </w:pPr>
      <w:bookmarkStart w:id="292" w:name="_Toc246996952"/>
      <w:bookmarkStart w:id="293" w:name="_Toc152045565"/>
      <w:bookmarkStart w:id="294" w:name="_Toc152042341"/>
      <w:bookmarkStart w:id="295" w:name="_Toc247085723"/>
      <w:bookmarkStart w:id="296" w:name="_Toc144974533"/>
      <w:bookmarkStart w:id="297" w:name="_Toc387526316"/>
      <w:bookmarkStart w:id="298" w:name="_Toc179632583"/>
      <w:bookmarkStart w:id="299" w:name="_Toc387526212"/>
      <w:bookmarkStart w:id="300" w:name="_Toc366679696"/>
      <w:bookmarkStart w:id="301" w:name="_Toc387526408"/>
      <w:bookmarkStart w:id="302" w:name="_Toc246996209"/>
      <w:bookmarkStart w:id="303" w:name="_Toc31876"/>
      <w:bookmarkStart w:id="304" w:name="_Toc6500"/>
      <w:bookmarkStart w:id="305" w:name="_Toc30005"/>
      <w:r>
        <w:t>6.3 评标</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4"/>
        <w:ind w:firstLine="118"/>
      </w:pPr>
      <w:bookmarkStart w:id="306" w:name="_Toc32112"/>
      <w:bookmarkStart w:id="307" w:name="_Toc29804"/>
      <w:r>
        <w:rPr>
          <w:rFonts w:hint="eastAsia"/>
        </w:rPr>
        <w:t>6.4 多个标段推荐中标候选人顺序</w:t>
      </w:r>
      <w:bookmarkEnd w:id="306"/>
      <w:bookmarkEnd w:id="307"/>
    </w:p>
    <w:p>
      <w:pPr>
        <w:spacing w:line="360" w:lineRule="auto"/>
        <w:ind w:firstLine="420" w:firstLineChars="200"/>
      </w:pPr>
      <w:r>
        <w:rPr>
          <w:rFonts w:hint="eastAsia"/>
        </w:rPr>
        <w:t>见投标人须知前附表</w:t>
      </w:r>
    </w:p>
    <w:p>
      <w:pPr>
        <w:pStyle w:val="159"/>
        <w:rPr>
          <w:color w:val="auto"/>
        </w:rPr>
      </w:pPr>
      <w:bookmarkStart w:id="308" w:name="_Toc22985"/>
      <w:bookmarkStart w:id="309" w:name="_Toc26657"/>
      <w:bookmarkStart w:id="310" w:name="_Toc387526317"/>
      <w:bookmarkStart w:id="311" w:name="_Toc23048"/>
      <w:bookmarkStart w:id="312" w:name="_Toc387526409"/>
      <w:bookmarkStart w:id="313" w:name="_Toc387526213"/>
      <w:bookmarkStart w:id="314" w:name="_Toc369077567"/>
      <w:bookmarkStart w:id="315" w:name="_Toc368760433"/>
      <w:r>
        <w:rPr>
          <w:color w:val="auto"/>
        </w:rPr>
        <w:t>7.</w:t>
      </w:r>
      <w:r>
        <w:rPr>
          <w:rFonts w:hint="eastAsia"/>
          <w:color w:val="auto"/>
        </w:rPr>
        <w:t>评标结果公示</w:t>
      </w:r>
      <w:bookmarkEnd w:id="308"/>
      <w:bookmarkEnd w:id="309"/>
      <w:bookmarkEnd w:id="310"/>
      <w:bookmarkEnd w:id="311"/>
      <w:bookmarkEnd w:id="312"/>
      <w:bookmarkEnd w:id="313"/>
    </w:p>
    <w:p>
      <w:pPr>
        <w:spacing w:line="360" w:lineRule="auto"/>
        <w:ind w:firstLine="420"/>
        <w:rPr>
          <w:szCs w:val="21"/>
        </w:rPr>
      </w:pPr>
      <w:r>
        <w:rPr>
          <w:rFonts w:hint="eastAsia"/>
          <w:szCs w:val="21"/>
        </w:rPr>
        <w:t>7.1 招标人在收到评标报告之日起3日内，在与招标公告相同的发布媒介上对评标结果进行公示。</w:t>
      </w:r>
    </w:p>
    <w:p>
      <w:pPr>
        <w:spacing w:line="360" w:lineRule="auto"/>
        <w:ind w:firstLine="420"/>
        <w:rPr>
          <w:szCs w:val="21"/>
        </w:rPr>
      </w:pPr>
      <w:r>
        <w:rPr>
          <w:rFonts w:hint="eastAsia"/>
          <w:szCs w:val="21"/>
        </w:rPr>
        <w:t xml:space="preserve">7.2 </w:t>
      </w:r>
      <w:r>
        <w:rPr>
          <w:szCs w:val="21"/>
        </w:rPr>
        <w:t>投标人或者其他利害关系人对评标结果有异议的，应当在</w:t>
      </w:r>
      <w:r>
        <w:rPr>
          <w:rFonts w:hint="eastAsia"/>
          <w:szCs w:val="21"/>
        </w:rPr>
        <w:t>评标结果</w:t>
      </w:r>
      <w:r>
        <w:rPr>
          <w:szCs w:val="21"/>
        </w:rPr>
        <w:t>公示期间</w:t>
      </w:r>
      <w:r>
        <w:rPr>
          <w:rFonts w:hint="eastAsia"/>
          <w:szCs w:val="21"/>
        </w:rPr>
        <w:t>向招标人提出异议。</w:t>
      </w:r>
      <w:r>
        <w:rPr>
          <w:szCs w:val="21"/>
        </w:rPr>
        <w:t>招标人自收到异议之日起10日内作出答复</w:t>
      </w:r>
      <w:r>
        <w:rPr>
          <w:rFonts w:hint="eastAsia"/>
          <w:szCs w:val="21"/>
        </w:rPr>
        <w:t>，并在</w:t>
      </w:r>
      <w:r>
        <w:rPr>
          <w:szCs w:val="21"/>
        </w:rPr>
        <w:t>作出答复前暂停招标投标活动。</w:t>
      </w:r>
    </w:p>
    <w:p>
      <w:pPr>
        <w:pStyle w:val="159"/>
        <w:rPr>
          <w:color w:val="auto"/>
        </w:rPr>
      </w:pPr>
      <w:bookmarkStart w:id="316" w:name="_Toc387526214"/>
      <w:bookmarkStart w:id="317" w:name="_Toc6435"/>
      <w:bookmarkStart w:id="318" w:name="_Toc15824"/>
      <w:bookmarkStart w:id="319" w:name="_Toc387526318"/>
      <w:bookmarkStart w:id="320" w:name="_Toc387526410"/>
      <w:bookmarkStart w:id="321" w:name="_Toc24410"/>
      <w:r>
        <w:rPr>
          <w:rFonts w:hint="eastAsia"/>
          <w:color w:val="auto"/>
        </w:rPr>
        <w:t>8.</w:t>
      </w:r>
      <w:r>
        <w:rPr>
          <w:color w:val="auto"/>
        </w:rPr>
        <w:t>合同授予</w:t>
      </w:r>
      <w:bookmarkEnd w:id="244"/>
      <w:bookmarkEnd w:id="245"/>
      <w:bookmarkEnd w:id="246"/>
      <w:bookmarkEnd w:id="247"/>
      <w:bookmarkEnd w:id="248"/>
      <w:bookmarkEnd w:id="249"/>
      <w:bookmarkEnd w:id="250"/>
      <w:bookmarkEnd w:id="251"/>
      <w:bookmarkEnd w:id="252"/>
      <w:bookmarkEnd w:id="314"/>
      <w:bookmarkEnd w:id="315"/>
      <w:bookmarkEnd w:id="316"/>
      <w:bookmarkEnd w:id="317"/>
      <w:bookmarkEnd w:id="318"/>
      <w:bookmarkEnd w:id="319"/>
      <w:bookmarkEnd w:id="320"/>
      <w:bookmarkEnd w:id="321"/>
    </w:p>
    <w:p>
      <w:pPr>
        <w:pStyle w:val="4"/>
        <w:ind w:firstLine="118"/>
      </w:pPr>
      <w:bookmarkStart w:id="322" w:name="_Toc387526319"/>
      <w:bookmarkStart w:id="323" w:name="_Toc152045567"/>
      <w:bookmarkStart w:id="324" w:name="_Toc387526215"/>
      <w:bookmarkStart w:id="325" w:name="_Toc366679698"/>
      <w:bookmarkStart w:id="326" w:name="_Toc247085725"/>
      <w:bookmarkStart w:id="327" w:name="_Toc246996211"/>
      <w:bookmarkStart w:id="328" w:name="_Toc144974535"/>
      <w:bookmarkStart w:id="329" w:name="_Toc179632585"/>
      <w:bookmarkStart w:id="330" w:name="_Toc4739"/>
      <w:bookmarkStart w:id="331" w:name="_Toc246996954"/>
      <w:bookmarkStart w:id="332" w:name="_Toc387526411"/>
      <w:bookmarkStart w:id="333" w:name="_Toc298"/>
      <w:bookmarkStart w:id="334" w:name="_Toc152042343"/>
      <w:bookmarkStart w:id="335" w:name="_Toc5192"/>
      <w:r>
        <w:rPr>
          <w:rFonts w:hint="eastAsia"/>
        </w:rPr>
        <w:t>8</w:t>
      </w:r>
      <w:r>
        <w:t>.1 定标方式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360" w:lineRule="auto"/>
        <w:ind w:firstLine="420" w:firstLineChars="200"/>
      </w:pPr>
      <w:bookmarkStart w:id="336" w:name="_Toc387526412"/>
      <w:bookmarkStart w:id="337" w:name="_Toc387526320"/>
      <w:bookmarkStart w:id="338" w:name="_Toc29357"/>
      <w:bookmarkStart w:id="339" w:name="_Toc387526216"/>
      <w:r>
        <w:rPr>
          <w:rFonts w:hint="eastAsia"/>
        </w:rPr>
        <w:t>除投标人须知前附表规定评标委员会直接确定中标人外，招标人依据评标委员会推荐的中标候选人确定中标人，评标委员会推荐中标候选人的人数</w:t>
      </w:r>
      <w:r>
        <w:rPr>
          <w:rFonts w:hint="eastAsia" w:ascii="宋体" w:hAnsi="TimesNewRomanPSMT" w:cs="宋体"/>
          <w:kern w:val="0"/>
          <w:szCs w:val="21"/>
        </w:rPr>
        <w:t>不超过3个</w:t>
      </w:r>
      <w:r>
        <w:t>。</w:t>
      </w:r>
    </w:p>
    <w:p>
      <w:pPr>
        <w:pStyle w:val="4"/>
        <w:ind w:firstLine="118"/>
        <w:rPr>
          <w:rFonts w:hint="eastAsia"/>
        </w:rPr>
      </w:pPr>
      <w:bookmarkStart w:id="340" w:name="_Toc12885"/>
      <w:bookmarkStart w:id="341" w:name="_Toc14753"/>
      <w:r>
        <w:rPr>
          <w:rFonts w:hint="eastAsia"/>
        </w:rPr>
        <w:t>8.2</w:t>
      </w:r>
      <w:bookmarkEnd w:id="336"/>
      <w:bookmarkEnd w:id="337"/>
      <w:bookmarkEnd w:id="338"/>
      <w:bookmarkEnd w:id="339"/>
      <w:bookmarkStart w:id="342" w:name="_Toc387526413"/>
      <w:bookmarkStart w:id="343" w:name="_Toc387526217"/>
      <w:bookmarkStart w:id="344" w:name="_Toc247085726"/>
      <w:bookmarkStart w:id="345" w:name="_Toc246996955"/>
      <w:bookmarkStart w:id="346" w:name="_Toc246996212"/>
      <w:bookmarkStart w:id="347" w:name="_Toc179632586"/>
      <w:bookmarkStart w:id="348" w:name="_Toc366679700"/>
      <w:bookmarkStart w:id="349" w:name="_Toc387526321"/>
      <w:bookmarkStart w:id="350" w:name="_Toc13765"/>
      <w:r>
        <w:rPr>
          <w:rFonts w:hint="eastAsia"/>
        </w:rPr>
        <w:t>中标通知</w:t>
      </w:r>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20" w:firstLineChars="200"/>
      </w:pPr>
      <w:bookmarkStart w:id="351" w:name="_Toc247085727"/>
      <w:bookmarkStart w:id="352" w:name="_Toc246996213"/>
      <w:bookmarkStart w:id="353" w:name="_Toc179632587"/>
      <w:bookmarkStart w:id="354" w:name="_Toc366679701"/>
      <w:bookmarkStart w:id="355" w:name="_Toc246996956"/>
      <w:r>
        <w:rPr>
          <w:rFonts w:hint="eastAsia"/>
        </w:rPr>
        <w:t>招标人在本招标文件规定的投标有效期内将中标人名称、中标价等在与招标公告相同的发布媒介上予以公告，并以书面形式向中标人发出中标通知书。</w:t>
      </w:r>
    </w:p>
    <w:p>
      <w:pPr>
        <w:spacing w:line="360" w:lineRule="auto"/>
        <w:ind w:firstLine="420" w:firstLineChars="200"/>
      </w:pPr>
      <w:r>
        <w:rPr>
          <w:rFonts w:hint="eastAsia"/>
        </w:rPr>
        <w:t>第一中标候选人须在中标结果公示结束后的3个工作日内领取中标通知书，投标人未能在规定期限内领取中标通知书，招标人有权另行选择中标单位。</w:t>
      </w:r>
    </w:p>
    <w:p>
      <w:pPr>
        <w:pStyle w:val="4"/>
        <w:ind w:firstLine="118"/>
      </w:pPr>
      <w:bookmarkStart w:id="356" w:name="_Toc387526414"/>
      <w:bookmarkStart w:id="357" w:name="_Toc387526218"/>
      <w:bookmarkStart w:id="358" w:name="_Toc26386"/>
      <w:bookmarkStart w:id="359" w:name="_Toc22925"/>
      <w:bookmarkStart w:id="360" w:name="_Toc387526322"/>
      <w:bookmarkStart w:id="361" w:name="_Toc24296"/>
      <w:r>
        <w:rPr>
          <w:rFonts w:hint="eastAsia"/>
        </w:rPr>
        <w:t xml:space="preserve">8.3 </w:t>
      </w:r>
      <w:r>
        <w:t>履约保证金</w:t>
      </w:r>
      <w:bookmarkEnd w:id="351"/>
      <w:bookmarkEnd w:id="352"/>
      <w:bookmarkEnd w:id="353"/>
      <w:bookmarkEnd w:id="354"/>
      <w:bookmarkEnd w:id="355"/>
      <w:bookmarkEnd w:id="356"/>
      <w:bookmarkEnd w:id="357"/>
      <w:bookmarkEnd w:id="358"/>
      <w:bookmarkEnd w:id="359"/>
      <w:bookmarkEnd w:id="360"/>
      <w:bookmarkEnd w:id="361"/>
    </w:p>
    <w:p>
      <w:pPr>
        <w:spacing w:line="360" w:lineRule="auto"/>
        <w:ind w:firstLine="420" w:firstLineChars="200"/>
      </w:pPr>
      <w:r>
        <w:rPr>
          <w:rFonts w:hint="eastAsia"/>
        </w:rPr>
        <w:t>8</w:t>
      </w:r>
      <w:r>
        <w:t>.</w:t>
      </w:r>
      <w:r>
        <w:rPr>
          <w:rFonts w:hint="eastAsia"/>
        </w:rPr>
        <w:t>3</w:t>
      </w:r>
      <w:r>
        <w:t>.1在签订合同前，中标人应按投标人须知前附表规定的形式和招标文件“合同条款及格式”规定的或者事先经过招标人书面认可的履约保证金格式向招标人提交履约保证金。</w:t>
      </w:r>
    </w:p>
    <w:p>
      <w:pPr>
        <w:spacing w:line="360" w:lineRule="auto"/>
        <w:ind w:firstLine="420" w:firstLineChars="200"/>
      </w:pPr>
      <w:r>
        <w:rPr>
          <w:rFonts w:hint="eastAsia"/>
        </w:rPr>
        <w:t>本项目招标人要求投标人在领取中标通知书后的3个工作日内、在合同签订前以转账或现金方式向招标人提交履约保证金，投标人未能在规定期限内提交履约保证金的，招标人可以另行选择中标单位。</w:t>
      </w:r>
    </w:p>
    <w:p>
      <w:pPr>
        <w:spacing w:line="360" w:lineRule="auto"/>
        <w:ind w:firstLine="420" w:firstLineChars="200"/>
      </w:pPr>
      <w:r>
        <w:rPr>
          <w:rFonts w:hint="eastAsia"/>
        </w:rPr>
        <w:t>8</w:t>
      </w:r>
      <w:r>
        <w:t>.</w:t>
      </w:r>
      <w:r>
        <w:rPr>
          <w:rFonts w:hint="eastAsia"/>
        </w:rPr>
        <w:t>3</w:t>
      </w:r>
      <w:r>
        <w:t>.2 中标人不能按本章第</w:t>
      </w:r>
      <w:r>
        <w:rPr>
          <w:rFonts w:hint="eastAsia"/>
        </w:rPr>
        <w:t>8</w:t>
      </w:r>
      <w:r>
        <w:t>.</w:t>
      </w:r>
      <w:r>
        <w:rPr>
          <w:rFonts w:hint="eastAsia"/>
        </w:rPr>
        <w:t>3</w:t>
      </w:r>
      <w:r>
        <w:t>.1项要求提交履约保证金的，视为放弃中标，其投标保证金不予退还，给招标人造成的损失超过投标保证金数额的，中标人还应当对超过部分予以赔偿。</w:t>
      </w:r>
    </w:p>
    <w:p>
      <w:pPr>
        <w:pStyle w:val="4"/>
        <w:ind w:firstLine="118"/>
      </w:pPr>
      <w:bookmarkStart w:id="362" w:name="_Toc246996214"/>
      <w:bookmarkStart w:id="363" w:name="_Toc246996957"/>
      <w:bookmarkStart w:id="364" w:name="_Toc19783"/>
      <w:bookmarkStart w:id="365" w:name="_Toc179632588"/>
      <w:bookmarkStart w:id="366" w:name="_Toc247085728"/>
      <w:bookmarkStart w:id="367" w:name="_Toc387526415"/>
      <w:bookmarkStart w:id="368" w:name="_Toc387526219"/>
      <w:bookmarkStart w:id="369" w:name="_Toc3330"/>
      <w:bookmarkStart w:id="370" w:name="_Toc366679702"/>
      <w:bookmarkStart w:id="371" w:name="_Toc387526323"/>
      <w:bookmarkStart w:id="372" w:name="_Toc10565"/>
      <w:r>
        <w:rPr>
          <w:rFonts w:hint="eastAsia"/>
        </w:rPr>
        <w:t xml:space="preserve">8.4 </w:t>
      </w:r>
      <w:r>
        <w:t>签订合同</w:t>
      </w:r>
      <w:bookmarkEnd w:id="362"/>
      <w:bookmarkEnd w:id="363"/>
      <w:bookmarkEnd w:id="364"/>
      <w:bookmarkEnd w:id="365"/>
      <w:bookmarkEnd w:id="366"/>
      <w:bookmarkEnd w:id="367"/>
      <w:bookmarkEnd w:id="368"/>
      <w:bookmarkEnd w:id="369"/>
      <w:bookmarkEnd w:id="370"/>
      <w:bookmarkEnd w:id="371"/>
      <w:bookmarkEnd w:id="372"/>
    </w:p>
    <w:p>
      <w:pPr>
        <w:spacing w:line="360" w:lineRule="auto"/>
        <w:ind w:firstLine="420" w:firstLineChars="200"/>
      </w:pPr>
      <w:r>
        <w:rPr>
          <w:rFonts w:hint="eastAsia"/>
        </w:rPr>
        <w:t>8</w:t>
      </w:r>
      <w:r>
        <w:t>.</w:t>
      </w:r>
      <w:r>
        <w:rPr>
          <w:rFonts w:hint="eastAsia"/>
        </w:rPr>
        <w:t>4</w:t>
      </w:r>
      <w:r>
        <w:t>.1中标人</w:t>
      </w:r>
      <w:r>
        <w:rPr>
          <w:rFonts w:hint="eastAsia"/>
        </w:rPr>
        <w:t>须</w:t>
      </w:r>
      <w:r>
        <w:t>在中标通知书发出之日起3</w:t>
      </w:r>
      <w:r>
        <w:rPr>
          <w:rFonts w:hint="eastAsia"/>
        </w:rPr>
        <w:t>个工作</w:t>
      </w:r>
      <w:r>
        <w:t>日内根据招标文件和中标人的投标文件</w:t>
      </w:r>
      <w:r>
        <w:rPr>
          <w:rFonts w:hint="eastAsia"/>
        </w:rPr>
        <w:t>与招标</w:t>
      </w:r>
      <w:r>
        <w:t>人订立书面合同</w:t>
      </w:r>
      <w:r>
        <w:rPr>
          <w:rFonts w:hint="eastAsia"/>
        </w:rPr>
        <w:t>。</w:t>
      </w:r>
      <w:r>
        <w:t>中标人无正当理由拒签合同的</w:t>
      </w:r>
      <w:r>
        <w:rPr>
          <w:rFonts w:hint="eastAsia"/>
        </w:rPr>
        <w:t>或</w:t>
      </w:r>
      <w:r>
        <w:t>未能在上述规定的时间内</w:t>
      </w:r>
      <w:r>
        <w:rPr>
          <w:rFonts w:hint="eastAsia"/>
        </w:rPr>
        <w:t>与招标</w:t>
      </w:r>
      <w:r>
        <w:t>人订立书面合同</w:t>
      </w:r>
      <w:r>
        <w:rPr>
          <w:rFonts w:hint="eastAsia"/>
        </w:rPr>
        <w:t>人</w:t>
      </w:r>
      <w:r>
        <w:t>，招标人</w:t>
      </w:r>
      <w:r>
        <w:rPr>
          <w:rFonts w:hint="eastAsia"/>
        </w:rPr>
        <w:t>有权</w:t>
      </w:r>
      <w:r>
        <w:t>取消其中标资格，其投标保证金不予退还；给招标人造成的损失超过投标保证金数额的，中标人还应当对超过部分予以赔偿。</w:t>
      </w:r>
    </w:p>
    <w:p>
      <w:pPr>
        <w:spacing w:line="360" w:lineRule="auto"/>
        <w:ind w:firstLine="420" w:firstLineChars="200"/>
      </w:pPr>
      <w:r>
        <w:rPr>
          <w:rFonts w:hint="eastAsia"/>
        </w:rPr>
        <w:t>8</w:t>
      </w:r>
      <w:r>
        <w:t>.</w:t>
      </w:r>
      <w:r>
        <w:rPr>
          <w:rFonts w:hint="eastAsia"/>
        </w:rPr>
        <w:t>4</w:t>
      </w:r>
      <w:r>
        <w:t>.2 发出中标通知书后，招标人无正当理由拒签合同的，招标人向中标人退还投标保证金；给中标人造成损失的，还应当赔偿损失。</w:t>
      </w:r>
    </w:p>
    <w:bookmarkEnd w:id="211"/>
    <w:bookmarkEnd w:id="212"/>
    <w:bookmarkEnd w:id="213"/>
    <w:bookmarkEnd w:id="214"/>
    <w:p>
      <w:pPr>
        <w:pStyle w:val="159"/>
        <w:rPr>
          <w:color w:val="auto"/>
        </w:rPr>
      </w:pPr>
      <w:bookmarkStart w:id="373" w:name="_Toc368759383"/>
      <w:bookmarkStart w:id="374" w:name="_Toc11110"/>
      <w:bookmarkStart w:id="375" w:name="_Toc7507"/>
      <w:bookmarkStart w:id="376" w:name="_Toc387526324"/>
      <w:bookmarkStart w:id="377" w:name="_Toc30717"/>
      <w:bookmarkStart w:id="378" w:name="_Toc387526220"/>
      <w:bookmarkStart w:id="379" w:name="_Toc369077569"/>
      <w:bookmarkStart w:id="380" w:name="_Toc363329380"/>
      <w:bookmarkStart w:id="381" w:name="_Toc387526416"/>
      <w:bookmarkStart w:id="382" w:name="_Toc367894807"/>
      <w:bookmarkStart w:id="383" w:name="_Toc368760435"/>
      <w:bookmarkStart w:id="384" w:name="_Toc322503149"/>
      <w:r>
        <w:rPr>
          <w:rFonts w:hint="eastAsia"/>
          <w:color w:val="auto"/>
        </w:rPr>
        <w:t>9</w:t>
      </w:r>
      <w:r>
        <w:rPr>
          <w:color w:val="auto"/>
        </w:rPr>
        <w:t>.纪律和监督</w:t>
      </w:r>
      <w:bookmarkEnd w:id="373"/>
      <w:bookmarkEnd w:id="374"/>
      <w:bookmarkEnd w:id="375"/>
      <w:bookmarkEnd w:id="376"/>
      <w:bookmarkEnd w:id="377"/>
      <w:bookmarkEnd w:id="378"/>
      <w:bookmarkEnd w:id="379"/>
      <w:bookmarkEnd w:id="380"/>
      <w:bookmarkEnd w:id="381"/>
      <w:bookmarkEnd w:id="382"/>
      <w:bookmarkEnd w:id="383"/>
      <w:bookmarkEnd w:id="384"/>
    </w:p>
    <w:p>
      <w:pPr>
        <w:pStyle w:val="4"/>
        <w:ind w:firstLine="118"/>
      </w:pPr>
      <w:bookmarkStart w:id="385" w:name="_Toc387526417"/>
      <w:bookmarkStart w:id="386" w:name="_Toc387526221"/>
      <w:bookmarkStart w:id="387" w:name="_Toc152042351"/>
      <w:bookmarkStart w:id="388" w:name="_Toc387526325"/>
      <w:bookmarkStart w:id="389" w:name="_Toc13664"/>
      <w:bookmarkStart w:id="390" w:name="_Toc322503150"/>
      <w:bookmarkStart w:id="391" w:name="_Toc29855"/>
      <w:bookmarkStart w:id="392" w:name="_Toc269310963"/>
      <w:bookmarkStart w:id="393" w:name="_Toc3745"/>
      <w:bookmarkStart w:id="394" w:name="_Toc152045575"/>
      <w:bookmarkStart w:id="395" w:name="_Toc144974543"/>
      <w:r>
        <w:rPr>
          <w:rFonts w:hint="eastAsia"/>
        </w:rPr>
        <w:t>9</w:t>
      </w:r>
      <w:r>
        <w:t>.1 对招标人的纪律要求</w:t>
      </w:r>
      <w:bookmarkEnd w:id="385"/>
      <w:bookmarkEnd w:id="386"/>
      <w:bookmarkEnd w:id="387"/>
      <w:bookmarkEnd w:id="388"/>
      <w:bookmarkEnd w:id="389"/>
      <w:bookmarkEnd w:id="390"/>
      <w:bookmarkEnd w:id="391"/>
      <w:bookmarkEnd w:id="392"/>
      <w:bookmarkEnd w:id="393"/>
      <w:bookmarkEnd w:id="394"/>
      <w:bookmarkEnd w:id="395"/>
    </w:p>
    <w:p>
      <w:pPr>
        <w:spacing w:line="360" w:lineRule="auto"/>
        <w:ind w:firstLine="420"/>
        <w:rPr>
          <w:szCs w:val="21"/>
        </w:rPr>
      </w:pPr>
      <w:r>
        <w:rPr>
          <w:szCs w:val="21"/>
        </w:rPr>
        <w:t>招标人不得泄露招标投标活动中应当保密的情况和资料，不得与投标人串通损害国家利益、社会公众利益或者他人合法权益。</w:t>
      </w:r>
    </w:p>
    <w:p>
      <w:pPr>
        <w:pStyle w:val="4"/>
        <w:spacing w:before="60" w:after="60" w:line="360" w:lineRule="auto"/>
        <w:ind w:firstLine="118"/>
        <w:rPr>
          <w:szCs w:val="24"/>
        </w:rPr>
      </w:pPr>
      <w:bookmarkStart w:id="396" w:name="_Toc152045576"/>
      <w:bookmarkStart w:id="397" w:name="_Toc387526326"/>
      <w:bookmarkStart w:id="398" w:name="_Toc1420"/>
      <w:bookmarkStart w:id="399" w:name="_Toc387526222"/>
      <w:bookmarkStart w:id="400" w:name="_Toc322503151"/>
      <w:bookmarkStart w:id="401" w:name="_Toc12199"/>
      <w:bookmarkStart w:id="402" w:name="_Toc269310964"/>
      <w:bookmarkStart w:id="403" w:name="_Toc152042352"/>
      <w:bookmarkStart w:id="404" w:name="_Toc1947"/>
      <w:bookmarkStart w:id="405" w:name="_Toc387526418"/>
      <w:bookmarkStart w:id="406" w:name="_Toc144974544"/>
      <w:r>
        <w:rPr>
          <w:rFonts w:hint="eastAsia"/>
          <w:szCs w:val="24"/>
        </w:rPr>
        <w:t>9</w:t>
      </w:r>
      <w:r>
        <w:rPr>
          <w:szCs w:val="24"/>
        </w:rPr>
        <w:t>.2 对投标人的纪律要求</w:t>
      </w:r>
      <w:bookmarkEnd w:id="396"/>
      <w:bookmarkEnd w:id="397"/>
      <w:bookmarkEnd w:id="398"/>
      <w:bookmarkEnd w:id="399"/>
      <w:bookmarkEnd w:id="400"/>
      <w:bookmarkEnd w:id="401"/>
      <w:bookmarkEnd w:id="402"/>
      <w:bookmarkEnd w:id="403"/>
      <w:bookmarkEnd w:id="404"/>
      <w:bookmarkEnd w:id="405"/>
      <w:bookmarkEnd w:id="406"/>
    </w:p>
    <w:p>
      <w:pPr>
        <w:spacing w:line="360" w:lineRule="auto"/>
        <w:ind w:firstLine="420"/>
        <w:rPr>
          <w:szCs w:val="21"/>
        </w:rPr>
      </w:pPr>
      <w:bookmarkStart w:id="407" w:name="_Toc322503152"/>
      <w:bookmarkStart w:id="408" w:name="_Toc144974545"/>
      <w:bookmarkStart w:id="409" w:name="_Toc152045577"/>
      <w:bookmarkStart w:id="410" w:name="_Toc269310965"/>
      <w:bookmarkStart w:id="411" w:name="_Toc152042353"/>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60" w:after="60" w:line="360" w:lineRule="auto"/>
        <w:ind w:firstLine="118"/>
        <w:rPr>
          <w:szCs w:val="24"/>
        </w:rPr>
      </w:pPr>
      <w:bookmarkStart w:id="412" w:name="_Toc6821"/>
      <w:bookmarkStart w:id="413" w:name="_Toc26872"/>
      <w:bookmarkStart w:id="414" w:name="_Toc387526223"/>
      <w:bookmarkStart w:id="415" w:name="_Toc387526327"/>
      <w:bookmarkStart w:id="416" w:name="_Toc387526419"/>
      <w:bookmarkStart w:id="417" w:name="_Toc16374"/>
      <w:r>
        <w:rPr>
          <w:rFonts w:hint="eastAsia"/>
          <w:szCs w:val="24"/>
        </w:rPr>
        <w:t>9</w:t>
      </w:r>
      <w:r>
        <w:rPr>
          <w:szCs w:val="24"/>
        </w:rPr>
        <w:t>.3 对评标委员会成员的纪律要求</w:t>
      </w:r>
      <w:bookmarkEnd w:id="407"/>
      <w:bookmarkEnd w:id="408"/>
      <w:bookmarkEnd w:id="409"/>
      <w:bookmarkEnd w:id="410"/>
      <w:bookmarkEnd w:id="411"/>
      <w:bookmarkEnd w:id="412"/>
      <w:bookmarkEnd w:id="413"/>
      <w:bookmarkEnd w:id="414"/>
      <w:bookmarkEnd w:id="415"/>
      <w:bookmarkEnd w:id="416"/>
      <w:bookmarkEnd w:id="417"/>
    </w:p>
    <w:p>
      <w:pPr>
        <w:spacing w:line="360" w:lineRule="auto"/>
        <w:ind w:firstLine="420"/>
        <w:rPr>
          <w:szCs w:val="21"/>
        </w:rPr>
      </w:pPr>
      <w:bookmarkStart w:id="418" w:name="_Toc247085736"/>
      <w:bookmarkStart w:id="419" w:name="_Toc366679707"/>
      <w:bookmarkStart w:id="420" w:name="_Toc152045578"/>
      <w:bookmarkStart w:id="421" w:name="_Toc246996965"/>
      <w:bookmarkStart w:id="422" w:name="_Toc179632596"/>
      <w:bookmarkStart w:id="423" w:name="_Toc246996222"/>
      <w:bookmarkStart w:id="424" w:name="_Toc152042354"/>
      <w:bookmarkStart w:id="425" w:name="_Toc144974546"/>
      <w:r>
        <w:rPr>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4"/>
        <w:spacing w:before="60" w:after="60" w:line="360" w:lineRule="auto"/>
        <w:ind w:firstLine="118"/>
        <w:rPr>
          <w:szCs w:val="24"/>
        </w:rPr>
      </w:pPr>
      <w:bookmarkStart w:id="426" w:name="_Toc1826"/>
      <w:bookmarkStart w:id="427" w:name="_Toc387526224"/>
      <w:bookmarkStart w:id="428" w:name="_Toc387526328"/>
      <w:bookmarkStart w:id="429" w:name="_Toc9455"/>
      <w:bookmarkStart w:id="430" w:name="_Toc387526420"/>
      <w:bookmarkStart w:id="431" w:name="_Toc1042"/>
      <w:r>
        <w:rPr>
          <w:rFonts w:hint="eastAsia"/>
          <w:szCs w:val="24"/>
        </w:rPr>
        <w:t>9</w:t>
      </w:r>
      <w:r>
        <w:rPr>
          <w:szCs w:val="24"/>
        </w:rPr>
        <w:t>.4 对与评标活动有关的工作人员的纪律要求</w:t>
      </w:r>
      <w:bookmarkEnd w:id="418"/>
      <w:bookmarkEnd w:id="419"/>
      <w:bookmarkEnd w:id="420"/>
      <w:bookmarkEnd w:id="421"/>
      <w:bookmarkEnd w:id="422"/>
      <w:bookmarkEnd w:id="423"/>
      <w:bookmarkEnd w:id="424"/>
      <w:bookmarkEnd w:id="426"/>
      <w:bookmarkEnd w:id="427"/>
      <w:bookmarkEnd w:id="428"/>
      <w:bookmarkEnd w:id="429"/>
      <w:bookmarkEnd w:id="430"/>
      <w:bookmarkEnd w:id="431"/>
    </w:p>
    <w:p>
      <w:pPr>
        <w:spacing w:line="360" w:lineRule="auto"/>
        <w:ind w:firstLine="420"/>
        <w:rPr>
          <w:szCs w:val="21"/>
        </w:rPr>
      </w:pPr>
      <w:bookmarkStart w:id="432" w:name="_Toc152042355"/>
      <w:bookmarkStart w:id="433" w:name="_Toc152042356"/>
      <w:bookmarkStart w:id="434" w:name="_Toc366679708"/>
      <w:bookmarkStart w:id="435" w:name="_Toc152045579"/>
      <w:bookmarkStart w:id="436" w:name="_Toc179632597"/>
      <w:bookmarkStart w:id="437" w:name="_Toc246996223"/>
      <w:bookmarkStart w:id="438" w:name="_Toc247085737"/>
      <w:bookmarkStart w:id="439" w:name="_Toc246996966"/>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32"/>
    </w:p>
    <w:p>
      <w:pPr>
        <w:pStyle w:val="4"/>
        <w:spacing w:before="60" w:after="60" w:line="360" w:lineRule="auto"/>
        <w:ind w:firstLine="118"/>
        <w:rPr>
          <w:szCs w:val="24"/>
        </w:rPr>
      </w:pPr>
      <w:bookmarkStart w:id="440" w:name="_Toc27873"/>
      <w:bookmarkStart w:id="441" w:name="_Toc387526225"/>
      <w:bookmarkStart w:id="442" w:name="_Toc387526329"/>
      <w:bookmarkStart w:id="443" w:name="_Toc17394"/>
      <w:bookmarkStart w:id="444" w:name="_Toc387526421"/>
      <w:bookmarkStart w:id="445" w:name="_Toc18067"/>
      <w:r>
        <w:rPr>
          <w:rFonts w:hint="eastAsia"/>
          <w:szCs w:val="24"/>
        </w:rPr>
        <w:t>9</w:t>
      </w:r>
      <w:r>
        <w:rPr>
          <w:szCs w:val="24"/>
        </w:rPr>
        <w:t>.5 投诉</w:t>
      </w:r>
      <w:bookmarkEnd w:id="425"/>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360" w:lineRule="auto"/>
        <w:ind w:firstLine="420"/>
        <w:rPr>
          <w:szCs w:val="21"/>
        </w:rPr>
      </w:pPr>
      <w:bookmarkStart w:id="446" w:name="_Toc387526330"/>
      <w:bookmarkStart w:id="447" w:name="_Toc9600"/>
      <w:bookmarkStart w:id="448" w:name="_Toc387526422"/>
      <w:bookmarkStart w:id="449" w:name="_Toc387526226"/>
      <w:r>
        <w:rPr>
          <w:rFonts w:hint="eastAsia"/>
          <w:szCs w:val="21"/>
        </w:rPr>
        <w:t>1、本项目的招投标工作在盐城市大丰区</w:t>
      </w:r>
      <w:r>
        <w:rPr>
          <w:rFonts w:hint="eastAsia"/>
          <w:szCs w:val="21"/>
          <w:lang w:val="en-US" w:eastAsia="zh-CN"/>
        </w:rPr>
        <w:t>公共资源交易中心</w:t>
      </w:r>
      <w:r>
        <w:rPr>
          <w:rFonts w:hint="eastAsia"/>
          <w:szCs w:val="21"/>
        </w:rPr>
        <w:t>办公室的监督下进行，并接受社会监督。</w:t>
      </w:r>
    </w:p>
    <w:p>
      <w:pPr>
        <w:spacing w:line="360" w:lineRule="auto"/>
        <w:ind w:firstLine="420"/>
        <w:rPr>
          <w:szCs w:val="21"/>
        </w:rPr>
      </w:pPr>
      <w:r>
        <w:rPr>
          <w:rFonts w:hint="eastAsia"/>
          <w:szCs w:val="21"/>
        </w:rPr>
        <w:t>2、投标人和其他利害关系人如认为本次招标投标活动不符合法律、法规和规章规定的，依法先向招标人提出质疑，对质疑回复不满意的，向盐城市大丰区公共资源交易中心办公室投诉。任何以口头形式提出的询问、质疑、投诉等，都不予答复。</w:t>
      </w:r>
    </w:p>
    <w:p>
      <w:pPr>
        <w:spacing w:line="360" w:lineRule="auto"/>
        <w:ind w:firstLine="420"/>
        <w:rPr>
          <w:szCs w:val="21"/>
        </w:rPr>
      </w:pPr>
      <w:r>
        <w:rPr>
          <w:rFonts w:hint="eastAsia"/>
          <w:szCs w:val="21"/>
        </w:rPr>
        <w:t>质疑：投标人对招标活动提出疑义，在开标前若质疑招标文件的相关条款，不得超出质疑期，若超出质疑期对招标文件提出疑义，招标采购单位、招标采购监管部门将不予受理；</w:t>
      </w:r>
    </w:p>
    <w:p>
      <w:pPr>
        <w:spacing w:line="360" w:lineRule="auto"/>
        <w:ind w:firstLine="420"/>
        <w:rPr>
          <w:szCs w:val="21"/>
        </w:rPr>
      </w:pPr>
      <w:r>
        <w:rPr>
          <w:rFonts w:hint="eastAsia"/>
          <w:szCs w:val="21"/>
        </w:rPr>
        <w:t>在评标结束（中标结果公示后）质疑范围为除招标文件以外的招标活动，若在中标结果公示后，对招标文件提出质疑，招标采购单位、招标采购监管部门将不予受理；</w:t>
      </w:r>
    </w:p>
    <w:p>
      <w:pPr>
        <w:spacing w:line="360" w:lineRule="auto"/>
        <w:ind w:firstLine="420"/>
        <w:rPr>
          <w:szCs w:val="21"/>
        </w:rPr>
      </w:pPr>
      <w:r>
        <w:rPr>
          <w:rFonts w:hint="eastAsia"/>
          <w:szCs w:val="21"/>
        </w:rPr>
        <w:t>投诉方面：具体投诉期限及处理办法，请查询《政府采购货物和服务招标投标管理办法》第六十三条，或登录盐城市大丰区公共资源交易中心查阅。</w:t>
      </w:r>
    </w:p>
    <w:p>
      <w:pPr>
        <w:spacing w:line="360" w:lineRule="auto"/>
        <w:ind w:firstLine="420"/>
        <w:rPr>
          <w:szCs w:val="21"/>
        </w:rPr>
      </w:pPr>
      <w:r>
        <w:rPr>
          <w:rFonts w:hint="eastAsia"/>
          <w:szCs w:val="21"/>
        </w:rPr>
        <w:t>特别提示：政府采购类项目投诉须先向采购单位（业主）提供质疑，若对采购单位（业主）的答复不满意，再进入投诉程序。</w:t>
      </w:r>
    </w:p>
    <w:p>
      <w:pPr>
        <w:pStyle w:val="159"/>
        <w:outlineLvl w:val="0"/>
        <w:rPr>
          <w:color w:val="auto"/>
        </w:rPr>
      </w:pPr>
      <w:bookmarkStart w:id="450" w:name="_Toc3631"/>
      <w:bookmarkStart w:id="451" w:name="_Toc22627"/>
      <w:r>
        <w:rPr>
          <w:rFonts w:hint="eastAsia"/>
          <w:color w:val="auto"/>
        </w:rPr>
        <w:t>10. 招标人需要补充的其他内容</w:t>
      </w:r>
      <w:bookmarkEnd w:id="446"/>
      <w:bookmarkEnd w:id="447"/>
      <w:bookmarkEnd w:id="448"/>
      <w:bookmarkEnd w:id="449"/>
      <w:bookmarkEnd w:id="450"/>
      <w:bookmarkEnd w:id="451"/>
    </w:p>
    <w:p>
      <w:pPr>
        <w:spacing w:line="360" w:lineRule="auto"/>
        <w:ind w:firstLine="420"/>
        <w:rPr>
          <w:szCs w:val="21"/>
        </w:rPr>
      </w:pPr>
      <w:r>
        <w:rPr>
          <w:rFonts w:hint="eastAsia"/>
          <w:szCs w:val="21"/>
        </w:rPr>
        <w:t>10.1重新招标与不再招标</w:t>
      </w:r>
    </w:p>
    <w:p>
      <w:pPr>
        <w:spacing w:line="360" w:lineRule="auto"/>
        <w:ind w:firstLine="420"/>
        <w:rPr>
          <w:szCs w:val="21"/>
        </w:rPr>
      </w:pPr>
      <w:r>
        <w:rPr>
          <w:rFonts w:hint="eastAsia"/>
          <w:szCs w:val="21"/>
        </w:rPr>
        <w:t>A、重新招标</w:t>
      </w:r>
    </w:p>
    <w:p>
      <w:pPr>
        <w:spacing w:line="360" w:lineRule="auto"/>
        <w:ind w:firstLine="420"/>
        <w:rPr>
          <w:szCs w:val="21"/>
        </w:rPr>
      </w:pPr>
      <w:r>
        <w:rPr>
          <w:rFonts w:hint="eastAsia"/>
          <w:szCs w:val="21"/>
        </w:rPr>
        <w:t>有下列情形之一的，招标人应当采取改进措施后重新招标：</w:t>
      </w:r>
    </w:p>
    <w:p>
      <w:pPr>
        <w:spacing w:line="360" w:lineRule="auto"/>
        <w:ind w:firstLine="420"/>
        <w:rPr>
          <w:szCs w:val="21"/>
        </w:rPr>
      </w:pPr>
      <w:r>
        <w:rPr>
          <w:rFonts w:hint="eastAsia"/>
          <w:szCs w:val="21"/>
        </w:rPr>
        <w:t>（1）获取招标文件的潜在投标人少于3个的；</w:t>
      </w:r>
    </w:p>
    <w:p>
      <w:pPr>
        <w:spacing w:line="360" w:lineRule="auto"/>
        <w:ind w:firstLine="420"/>
        <w:rPr>
          <w:szCs w:val="21"/>
        </w:rPr>
      </w:pPr>
      <w:r>
        <w:rPr>
          <w:rFonts w:hint="eastAsia"/>
          <w:szCs w:val="21"/>
        </w:rPr>
        <w:t>（2）通过符合性评审的投标申请人少于3个的。</w:t>
      </w:r>
    </w:p>
    <w:p>
      <w:pPr>
        <w:spacing w:line="360" w:lineRule="auto"/>
        <w:ind w:firstLine="420"/>
        <w:rPr>
          <w:szCs w:val="21"/>
        </w:rPr>
      </w:pPr>
      <w:r>
        <w:rPr>
          <w:rFonts w:hint="eastAsia"/>
          <w:szCs w:val="21"/>
        </w:rPr>
        <w:t>B、不再招标</w:t>
      </w:r>
    </w:p>
    <w:p>
      <w:pPr>
        <w:spacing w:line="360" w:lineRule="auto"/>
        <w:ind w:firstLine="420"/>
        <w:rPr>
          <w:szCs w:val="21"/>
        </w:rPr>
      </w:pPr>
      <w:r>
        <w:rPr>
          <w:rFonts w:hint="eastAsia"/>
          <w:szCs w:val="21"/>
        </w:rPr>
        <w:t xml:space="preserve">  重新招标后，仍存在上述A条情形的，属于经相关部门核准后可不再进行招标，招标人</w:t>
      </w:r>
      <w:r>
        <w:rPr>
          <w:rFonts w:hint="eastAsia" w:ascii="宋体" w:hAnsi="TimesNewRomanPSMT"/>
          <w:kern w:val="0"/>
        </w:rPr>
        <w:t>可以采取竞争性谈判方式”、“单一来源采购方式”等条款评审、确定潜在的中标人</w:t>
      </w:r>
      <w:r>
        <w:rPr>
          <w:rFonts w:hint="eastAsia"/>
          <w:szCs w:val="21"/>
        </w:rPr>
        <w:t>。</w:t>
      </w:r>
    </w:p>
    <w:p>
      <w:pPr>
        <w:spacing w:line="360" w:lineRule="auto"/>
        <w:ind w:firstLine="420"/>
        <w:rPr>
          <w:szCs w:val="21"/>
        </w:rPr>
      </w:pPr>
      <w:r>
        <w:rPr>
          <w:rFonts w:hint="eastAsia"/>
          <w:szCs w:val="21"/>
        </w:rPr>
        <w:t>10.2招标人在发出中标通知书前将根据需要组织相关部门或单位对中标候选人进行全面考察，如发现投标人有不列情形的（包括但不限于），将被取消中标资格：</w:t>
      </w:r>
    </w:p>
    <w:p>
      <w:pPr>
        <w:spacing w:line="360" w:lineRule="auto"/>
        <w:ind w:firstLine="420"/>
        <w:rPr>
          <w:szCs w:val="21"/>
        </w:rPr>
      </w:pPr>
      <w:r>
        <w:rPr>
          <w:rFonts w:hint="eastAsia"/>
          <w:szCs w:val="21"/>
        </w:rPr>
        <w:t>（1）投标人在近3年实施的项目中有不按规定履行合同或无故拖延工期或发生安全事故造成社会不良影响的。</w:t>
      </w:r>
    </w:p>
    <w:p>
      <w:pPr>
        <w:spacing w:line="360" w:lineRule="auto"/>
        <w:ind w:firstLine="420"/>
        <w:rPr>
          <w:szCs w:val="21"/>
        </w:rPr>
      </w:pPr>
      <w:r>
        <w:rPr>
          <w:rFonts w:hint="eastAsia"/>
          <w:szCs w:val="21"/>
        </w:rPr>
        <w:t>（2）投标文件所提交的材料经查实存在虚假情形的。</w:t>
      </w:r>
    </w:p>
    <w:p>
      <w:pPr>
        <w:spacing w:line="360" w:lineRule="auto"/>
        <w:ind w:firstLine="420"/>
        <w:rPr>
          <w:szCs w:val="21"/>
        </w:rPr>
      </w:pPr>
      <w:r>
        <w:rPr>
          <w:rFonts w:hint="eastAsia"/>
          <w:szCs w:val="21"/>
        </w:rPr>
        <w:t>（3）投标人不具备本项目生产、供货能力的。</w:t>
      </w:r>
    </w:p>
    <w:p>
      <w:pPr>
        <w:spacing w:line="360" w:lineRule="auto"/>
        <w:ind w:firstLine="420"/>
        <w:rPr>
          <w:rFonts w:hint="eastAsia"/>
          <w:szCs w:val="21"/>
        </w:rPr>
      </w:pPr>
      <w:r>
        <w:rPr>
          <w:rFonts w:hint="eastAsia"/>
          <w:szCs w:val="21"/>
        </w:rPr>
        <w:t>10.3、其他需要补充的其他内容</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b/>
          <w:bCs/>
          <w:color w:val="auto"/>
          <w:sz w:val="21"/>
          <w:szCs w:val="21"/>
          <w:lang w:eastAsia="zh-CN"/>
        </w:rPr>
      </w:pPr>
      <w:r>
        <w:rPr>
          <w:rFonts w:hint="eastAsia"/>
          <w:b/>
          <w:bCs/>
          <w:color w:val="auto"/>
          <w:sz w:val="21"/>
          <w:szCs w:val="21"/>
          <w:lang w:eastAsia="zh-CN"/>
        </w:rPr>
        <w:t>（</w:t>
      </w:r>
      <w:r>
        <w:rPr>
          <w:rFonts w:hint="eastAsia"/>
          <w:b/>
          <w:bCs/>
          <w:color w:val="auto"/>
          <w:sz w:val="21"/>
          <w:szCs w:val="21"/>
          <w:lang w:val="en-US" w:eastAsia="zh-CN"/>
        </w:rPr>
        <w:t>1</w:t>
      </w:r>
      <w:r>
        <w:rPr>
          <w:rFonts w:hint="eastAsia"/>
          <w:b/>
          <w:bCs/>
          <w:color w:val="auto"/>
          <w:sz w:val="21"/>
          <w:szCs w:val="21"/>
          <w:lang w:eastAsia="zh-CN"/>
        </w:rPr>
        <w:t>）中标人施工前必须将原有监控设备拆除，经甲方</w:t>
      </w:r>
      <w:r>
        <w:rPr>
          <w:rFonts w:hint="eastAsia"/>
          <w:b/>
          <w:bCs/>
          <w:color w:val="auto"/>
          <w:sz w:val="21"/>
          <w:szCs w:val="21"/>
          <w:lang w:val="en-US" w:eastAsia="zh-CN"/>
        </w:rPr>
        <w:t>确认</w:t>
      </w:r>
      <w:r>
        <w:rPr>
          <w:rFonts w:hint="eastAsia"/>
          <w:b/>
          <w:bCs/>
          <w:color w:val="auto"/>
          <w:sz w:val="21"/>
          <w:szCs w:val="21"/>
          <w:lang w:eastAsia="zh-CN"/>
        </w:rPr>
        <w:t>后方可进行下一步施工，施工工序，每一步须经甲方保卫科、技装处确认，在签订合同时将施工</w:t>
      </w:r>
      <w:r>
        <w:rPr>
          <w:rFonts w:hint="eastAsia"/>
          <w:b/>
          <w:bCs/>
          <w:color w:val="auto"/>
          <w:sz w:val="21"/>
          <w:szCs w:val="21"/>
          <w:lang w:val="en-US" w:eastAsia="zh-CN"/>
        </w:rPr>
        <w:t>方案</w:t>
      </w:r>
      <w:r>
        <w:rPr>
          <w:rFonts w:hint="eastAsia"/>
          <w:b/>
          <w:bCs/>
          <w:color w:val="auto"/>
          <w:sz w:val="21"/>
          <w:szCs w:val="21"/>
          <w:lang w:eastAsia="zh-CN"/>
        </w:rPr>
        <w:t>汇报</w:t>
      </w:r>
      <w:r>
        <w:rPr>
          <w:rFonts w:hint="eastAsia"/>
          <w:b/>
          <w:bCs/>
          <w:color w:val="auto"/>
          <w:sz w:val="21"/>
          <w:szCs w:val="21"/>
          <w:lang w:val="en-US" w:eastAsia="zh-CN"/>
        </w:rPr>
        <w:t>给采购人，施工方案确定通过后方可签订合同</w:t>
      </w:r>
      <w:r>
        <w:rPr>
          <w:rFonts w:hint="eastAsia"/>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b/>
          <w:bCs/>
          <w:color w:val="auto"/>
          <w:sz w:val="21"/>
          <w:szCs w:val="21"/>
          <w:lang w:eastAsia="zh-CN"/>
        </w:rPr>
      </w:pPr>
      <w:r>
        <w:rPr>
          <w:rFonts w:hint="eastAsia"/>
          <w:b/>
          <w:bCs/>
          <w:color w:val="auto"/>
          <w:sz w:val="21"/>
          <w:szCs w:val="21"/>
          <w:lang w:eastAsia="zh-CN"/>
        </w:rPr>
        <w:t>（</w:t>
      </w:r>
      <w:r>
        <w:rPr>
          <w:rFonts w:hint="eastAsia"/>
          <w:b/>
          <w:bCs/>
          <w:color w:val="auto"/>
          <w:sz w:val="21"/>
          <w:szCs w:val="21"/>
          <w:lang w:val="en-US" w:eastAsia="zh-CN"/>
        </w:rPr>
        <w:t>2</w:t>
      </w:r>
      <w:r>
        <w:rPr>
          <w:rFonts w:hint="eastAsia"/>
          <w:b/>
          <w:bCs/>
          <w:color w:val="auto"/>
          <w:sz w:val="21"/>
          <w:szCs w:val="21"/>
          <w:lang w:eastAsia="zh-CN"/>
        </w:rPr>
        <w:t>）中标人施工拆除旧设备时须注意周围其他设备及</w:t>
      </w:r>
      <w:r>
        <w:rPr>
          <w:rFonts w:hint="eastAsia"/>
          <w:b/>
          <w:bCs/>
          <w:color w:val="auto"/>
          <w:sz w:val="21"/>
          <w:szCs w:val="21"/>
          <w:lang w:val="en-US" w:eastAsia="zh-CN"/>
        </w:rPr>
        <w:t>物</w:t>
      </w:r>
      <w:r>
        <w:rPr>
          <w:rFonts w:hint="eastAsia"/>
          <w:b/>
          <w:bCs/>
          <w:color w:val="auto"/>
          <w:sz w:val="21"/>
          <w:szCs w:val="21"/>
          <w:lang w:eastAsia="zh-CN"/>
        </w:rPr>
        <w:t>品的保护，如有损坏，则全部由中标人承担</w:t>
      </w:r>
      <w:r>
        <w:rPr>
          <w:rFonts w:hint="eastAsia"/>
          <w:b/>
          <w:bCs/>
          <w:color w:val="auto"/>
          <w:sz w:val="21"/>
          <w:szCs w:val="21"/>
          <w:lang w:val="en-US" w:eastAsia="zh-CN"/>
        </w:rPr>
        <w:t>赔偿责任</w:t>
      </w:r>
      <w:r>
        <w:rPr>
          <w:rFonts w:hint="eastAsia"/>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b/>
          <w:bCs/>
          <w:color w:val="auto"/>
          <w:sz w:val="21"/>
          <w:szCs w:val="21"/>
          <w:lang w:eastAsia="zh-CN"/>
        </w:rPr>
      </w:pPr>
      <w:r>
        <w:rPr>
          <w:rFonts w:hint="eastAsia"/>
          <w:b/>
          <w:bCs/>
          <w:color w:val="auto"/>
          <w:sz w:val="21"/>
          <w:szCs w:val="21"/>
          <w:lang w:eastAsia="zh-CN"/>
        </w:rPr>
        <w:t>（</w:t>
      </w:r>
      <w:r>
        <w:rPr>
          <w:rFonts w:hint="eastAsia"/>
          <w:b/>
          <w:bCs/>
          <w:color w:val="auto"/>
          <w:sz w:val="21"/>
          <w:szCs w:val="21"/>
          <w:lang w:val="en-US" w:eastAsia="zh-CN"/>
        </w:rPr>
        <w:t>3</w:t>
      </w:r>
      <w:r>
        <w:rPr>
          <w:rFonts w:hint="eastAsia"/>
          <w:b/>
          <w:bCs/>
          <w:color w:val="auto"/>
          <w:sz w:val="21"/>
          <w:szCs w:val="21"/>
          <w:lang w:eastAsia="zh-CN"/>
        </w:rPr>
        <w:t>）最终的施工布点</w:t>
      </w:r>
      <w:r>
        <w:rPr>
          <w:rFonts w:hint="eastAsia"/>
          <w:b/>
          <w:bCs/>
          <w:color w:val="auto"/>
          <w:sz w:val="21"/>
          <w:szCs w:val="21"/>
          <w:lang w:val="en-US" w:eastAsia="zh-CN"/>
        </w:rPr>
        <w:t>布线位置</w:t>
      </w:r>
      <w:r>
        <w:rPr>
          <w:rFonts w:hint="eastAsia"/>
          <w:b/>
          <w:bCs/>
          <w:color w:val="auto"/>
          <w:sz w:val="21"/>
          <w:szCs w:val="21"/>
          <w:lang w:eastAsia="zh-CN"/>
        </w:rPr>
        <w:t>须与甲方沟通并经甲方确认后方可施工。</w:t>
      </w:r>
    </w:p>
    <w:p>
      <w:pPr>
        <w:spacing w:line="360" w:lineRule="auto"/>
        <w:ind w:firstLine="420"/>
        <w:rPr>
          <w:rFonts w:hint="eastAsia"/>
          <w:szCs w:val="21"/>
          <w:lang w:eastAsia="zh-CN"/>
        </w:rPr>
      </w:pPr>
    </w:p>
    <w:p>
      <w:pPr>
        <w:spacing w:line="360" w:lineRule="auto"/>
        <w:ind w:firstLine="420"/>
        <w:rPr>
          <w:szCs w:val="21"/>
        </w:rPr>
      </w:pPr>
    </w:p>
    <w:p>
      <w:pPr>
        <w:pStyle w:val="2"/>
      </w:pPr>
      <w:r>
        <w:rPr>
          <w:rFonts w:hint="eastAsia"/>
        </w:rPr>
        <w:br w:type="page"/>
      </w:r>
      <w:bookmarkStart w:id="452" w:name="_Toc22233"/>
      <w:bookmarkStart w:id="453" w:name="_Toc6328"/>
      <w:r>
        <w:rPr>
          <w:rFonts w:hint="eastAsia"/>
        </w:rPr>
        <w:t>第三章 评标办法（综合评分法）</w:t>
      </w:r>
      <w:bookmarkEnd w:id="452"/>
      <w:bookmarkEnd w:id="453"/>
    </w:p>
    <w:p>
      <w:pPr>
        <w:pStyle w:val="3"/>
        <w:rPr>
          <w:rFonts w:ascii="宋体" w:hAnsi="宋体" w:eastAsia="宋体"/>
          <w:sz w:val="21"/>
          <w:szCs w:val="21"/>
        </w:rPr>
      </w:pPr>
      <w:bookmarkStart w:id="454" w:name="_Toc28459"/>
      <w:bookmarkStart w:id="455" w:name="_Toc11060"/>
      <w:bookmarkStart w:id="456" w:name="_Toc989"/>
      <w:r>
        <w:rPr>
          <w:rFonts w:hint="eastAsia" w:ascii="宋体" w:hAnsi="宋体" w:eastAsia="宋体"/>
          <w:sz w:val="21"/>
          <w:szCs w:val="21"/>
        </w:rPr>
        <w:t>评标办法前附表</w:t>
      </w:r>
      <w:bookmarkEnd w:id="454"/>
      <w:bookmarkEnd w:id="455"/>
      <w:bookmarkEnd w:id="456"/>
    </w:p>
    <w:p>
      <w:pPr>
        <w:autoSpaceDE w:val="0"/>
        <w:autoSpaceDN w:val="0"/>
        <w:spacing w:line="360" w:lineRule="auto"/>
        <w:ind w:firstLine="420" w:firstLineChars="200"/>
        <w:jc w:val="left"/>
        <w:rPr>
          <w:color w:val="000000"/>
          <w:kern w:val="0"/>
          <w:szCs w:val="21"/>
        </w:rPr>
      </w:pPr>
      <w:r>
        <w:rPr>
          <w:rFonts w:hint="eastAsia"/>
          <w:color w:val="000000"/>
          <w:kern w:val="0"/>
          <w:szCs w:val="21"/>
        </w:rPr>
        <w:t>根据《中华人民共和国政府采购法实施条例》第九条规定，评委评标前签订评标回避书，作为永久档案存档。</w:t>
      </w:r>
    </w:p>
    <w:p>
      <w:pPr>
        <w:pStyle w:val="3"/>
        <w:spacing w:line="360" w:lineRule="auto"/>
        <w:rPr>
          <w:rFonts w:ascii="宋体" w:hAnsi="宋体" w:eastAsia="宋体"/>
          <w:color w:val="000000"/>
        </w:rPr>
      </w:pPr>
      <w:bookmarkStart w:id="457" w:name="_Toc397928601"/>
      <w:bookmarkStart w:id="458" w:name="_Toc454283350"/>
      <w:bookmarkStart w:id="459" w:name="_Toc22000"/>
      <w:bookmarkStart w:id="460" w:name="_Toc21943"/>
      <w:r>
        <w:rPr>
          <w:rFonts w:ascii="宋体" w:hAnsi="宋体" w:eastAsia="宋体"/>
          <w:color w:val="000000"/>
        </w:rPr>
        <w:t>1</w:t>
      </w:r>
      <w:r>
        <w:rPr>
          <w:rFonts w:hint="eastAsia" w:ascii="宋体" w:hAnsi="宋体" w:eastAsia="宋体"/>
          <w:color w:val="000000"/>
        </w:rPr>
        <w:t>．</w:t>
      </w:r>
      <w:r>
        <w:rPr>
          <w:rFonts w:ascii="宋体" w:hAnsi="宋体" w:eastAsia="宋体"/>
          <w:color w:val="000000"/>
        </w:rPr>
        <w:t xml:space="preserve"> </w:t>
      </w:r>
      <w:r>
        <w:rPr>
          <w:rFonts w:hint="eastAsia" w:ascii="宋体" w:hAnsi="宋体" w:eastAsia="宋体"/>
          <w:color w:val="000000"/>
        </w:rPr>
        <w:t>评标方法</w:t>
      </w:r>
      <w:bookmarkEnd w:id="457"/>
      <w:bookmarkEnd w:id="458"/>
      <w:bookmarkEnd w:id="459"/>
      <w:bookmarkEnd w:id="460"/>
    </w:p>
    <w:p>
      <w:pPr>
        <w:autoSpaceDE w:val="0"/>
        <w:autoSpaceDN w:val="0"/>
        <w:spacing w:line="400" w:lineRule="exact"/>
        <w:ind w:firstLine="420" w:firstLineChars="200"/>
        <w:jc w:val="left"/>
        <w:rPr>
          <w:rFonts w:ascii="宋体" w:hAnsi="TimesNewRomanPSMT"/>
          <w:color w:val="000000"/>
          <w:kern w:val="0"/>
          <w:szCs w:val="21"/>
        </w:rPr>
      </w:pPr>
      <w:r>
        <w:rPr>
          <w:rFonts w:hint="eastAsia" w:ascii="宋体" w:hAnsi="TimesNewRomanPSMT"/>
          <w:color w:val="000000"/>
          <w:kern w:val="0"/>
          <w:szCs w:val="21"/>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pStyle w:val="3"/>
        <w:spacing w:line="360" w:lineRule="auto"/>
        <w:rPr>
          <w:rFonts w:ascii="宋体" w:hAnsi="宋体" w:eastAsia="宋体"/>
          <w:color w:val="000000"/>
        </w:rPr>
      </w:pPr>
      <w:bookmarkStart w:id="461" w:name="_Toc454283351"/>
      <w:bookmarkStart w:id="462" w:name="_Toc15971"/>
      <w:bookmarkStart w:id="463" w:name="_Toc7995"/>
      <w:bookmarkStart w:id="464" w:name="_Toc397928602"/>
      <w:r>
        <w:rPr>
          <w:rFonts w:ascii="宋体" w:hAnsi="宋体" w:eastAsia="宋体"/>
          <w:color w:val="000000"/>
        </w:rPr>
        <w:t>2</w:t>
      </w:r>
      <w:r>
        <w:rPr>
          <w:rFonts w:hint="eastAsia" w:ascii="宋体" w:hAnsi="宋体" w:eastAsia="宋体"/>
          <w:color w:val="000000"/>
        </w:rPr>
        <w:t>．</w:t>
      </w:r>
      <w:r>
        <w:rPr>
          <w:rFonts w:ascii="宋体" w:hAnsi="宋体" w:eastAsia="宋体"/>
          <w:color w:val="000000"/>
        </w:rPr>
        <w:t xml:space="preserve"> </w:t>
      </w:r>
      <w:r>
        <w:rPr>
          <w:rFonts w:hint="eastAsia" w:ascii="宋体" w:hAnsi="宋体" w:eastAsia="宋体"/>
          <w:color w:val="000000"/>
        </w:rPr>
        <w:t>评审标准</w:t>
      </w:r>
      <w:bookmarkEnd w:id="461"/>
      <w:bookmarkEnd w:id="462"/>
      <w:bookmarkEnd w:id="463"/>
      <w:bookmarkEnd w:id="464"/>
    </w:p>
    <w:p>
      <w:pPr>
        <w:spacing w:line="400" w:lineRule="exact"/>
        <w:rPr>
          <w:rFonts w:ascii="宋体" w:hAnsi="宋体"/>
          <w:color w:val="000000"/>
          <w:szCs w:val="21"/>
        </w:rPr>
      </w:pPr>
      <w:r>
        <w:rPr>
          <w:rFonts w:hint="eastAsia" w:ascii="宋体" w:hAnsi="宋体"/>
          <w:color w:val="000000"/>
          <w:szCs w:val="21"/>
        </w:rPr>
        <w:t>(如涉及到产品的参考品牌，在评审前评标委员会对照招标文件品牌的要求先进行品牌评审认定。)</w:t>
      </w:r>
    </w:p>
    <w:p>
      <w:pPr>
        <w:pStyle w:val="4"/>
        <w:spacing w:line="400" w:lineRule="exact"/>
        <w:ind w:firstLine="103"/>
        <w:rPr>
          <w:color w:val="000000"/>
          <w:sz w:val="21"/>
          <w:szCs w:val="21"/>
        </w:rPr>
      </w:pPr>
      <w:bookmarkStart w:id="465" w:name="_Toc397928603"/>
      <w:bookmarkStart w:id="466" w:name="_Toc23206"/>
      <w:bookmarkStart w:id="467" w:name="_Toc27382"/>
      <w:bookmarkStart w:id="468" w:name="_Toc454283352"/>
      <w:r>
        <w:rPr>
          <w:color w:val="000000"/>
          <w:sz w:val="21"/>
          <w:szCs w:val="21"/>
        </w:rPr>
        <w:t xml:space="preserve">2.1 </w:t>
      </w:r>
      <w:r>
        <w:rPr>
          <w:rFonts w:hint="eastAsia"/>
          <w:color w:val="000000"/>
          <w:sz w:val="21"/>
          <w:szCs w:val="21"/>
        </w:rPr>
        <w:t>初步评审标准</w:t>
      </w:r>
      <w:bookmarkEnd w:id="465"/>
      <w:bookmarkEnd w:id="466"/>
      <w:bookmarkEnd w:id="467"/>
      <w:bookmarkEnd w:id="468"/>
    </w:p>
    <w:p>
      <w:pPr>
        <w:spacing w:line="400" w:lineRule="exact"/>
        <w:ind w:firstLine="420" w:firstLineChars="200"/>
        <w:rPr>
          <w:rFonts w:ascii="宋体" w:hAnsi="宋体"/>
          <w:color w:val="000000"/>
          <w:szCs w:val="21"/>
        </w:rPr>
      </w:pPr>
      <w:r>
        <w:rPr>
          <w:rFonts w:hint="eastAsia" w:ascii="宋体" w:hAnsi="宋体"/>
          <w:color w:val="000000"/>
          <w:szCs w:val="21"/>
        </w:rPr>
        <w:t>2.1.1 资质性评审标准：</w:t>
      </w:r>
    </w:p>
    <w:p>
      <w:pPr>
        <w:spacing w:line="400" w:lineRule="exact"/>
        <w:ind w:firstLine="422" w:firstLineChars="200"/>
        <w:rPr>
          <w:rFonts w:ascii="宋体" w:hAnsi="宋体"/>
          <w:b/>
          <w:color w:val="000000"/>
          <w:szCs w:val="21"/>
        </w:rPr>
      </w:pPr>
      <w:r>
        <w:rPr>
          <w:rFonts w:hint="eastAsia" w:ascii="宋体" w:hAnsi="宋体"/>
          <w:b/>
          <w:color w:val="000000"/>
          <w:szCs w:val="21"/>
        </w:rPr>
        <w:t>在投标时应按招标文件要求将上述原件放入资质标书封袋内随投标文件一起递交，未提交上述原件资料或资料不全的，资格审查不予通过。</w:t>
      </w:r>
    </w:p>
    <w:p>
      <w:pPr>
        <w:spacing w:line="400" w:lineRule="exact"/>
        <w:ind w:firstLine="420" w:firstLineChars="200"/>
        <w:rPr>
          <w:rFonts w:ascii="宋体" w:hAnsi="宋体"/>
          <w:color w:val="000000"/>
          <w:szCs w:val="21"/>
        </w:rPr>
      </w:pPr>
      <w:r>
        <w:rPr>
          <w:rFonts w:hint="eastAsia" w:ascii="宋体" w:hAnsi="宋体"/>
          <w:color w:val="000000"/>
          <w:szCs w:val="21"/>
        </w:rPr>
        <w:t>2.1.2 符合性评审标准：依据招标文件的规定，从投标文件的有效性、完整性和对招标文件的响应程度进行审查，以确定是否对招标文件的实质性要求作出响应。</w:t>
      </w:r>
    </w:p>
    <w:p>
      <w:pPr>
        <w:shd w:val="clear" w:color="auto" w:fill="FFFFFF"/>
        <w:spacing w:line="400" w:lineRule="exact"/>
        <w:ind w:firstLine="447"/>
        <w:rPr>
          <w:rFonts w:ascii="宋体" w:hAnsi="宋体"/>
          <w:color w:val="000000"/>
          <w:szCs w:val="21"/>
        </w:rPr>
      </w:pPr>
      <w:r>
        <w:rPr>
          <w:rFonts w:hint="eastAsia" w:ascii="宋体" w:hAnsi="宋体"/>
          <w:color w:val="000000"/>
          <w:szCs w:val="21"/>
        </w:rPr>
        <w:t>审查标准主要有投标文件签字盖章、投标文件的组成、投标文件及报价唯一、交货期或工期、质量要求、投标保证金等方面。</w:t>
      </w:r>
    </w:p>
    <w:p>
      <w:pPr>
        <w:pStyle w:val="4"/>
        <w:spacing w:line="360" w:lineRule="auto"/>
        <w:ind w:firstLine="103"/>
        <w:rPr>
          <w:rFonts w:hint="eastAsia"/>
        </w:rPr>
      </w:pPr>
      <w:bookmarkStart w:id="469" w:name="_Toc397928604"/>
      <w:bookmarkStart w:id="470" w:name="_Toc454283353"/>
      <w:bookmarkStart w:id="471" w:name="_Toc16104"/>
      <w:bookmarkStart w:id="472" w:name="_Toc8436"/>
      <w:r>
        <w:rPr>
          <w:color w:val="000000"/>
          <w:sz w:val="21"/>
          <w:szCs w:val="21"/>
        </w:rPr>
        <w:t>2.2</w:t>
      </w:r>
      <w:r>
        <w:rPr>
          <w:rFonts w:hint="eastAsia"/>
          <w:color w:val="000000"/>
          <w:sz w:val="21"/>
          <w:szCs w:val="21"/>
        </w:rPr>
        <w:t xml:space="preserve"> 分值构成与评分标准</w:t>
      </w:r>
      <w:bookmarkEnd w:id="469"/>
      <w:bookmarkEnd w:id="470"/>
      <w:bookmarkEnd w:id="471"/>
      <w:bookmarkEnd w:id="472"/>
    </w:p>
    <w:p>
      <w:pPr>
        <w:numPr>
          <w:ilvl w:val="0"/>
          <w:numId w:val="3"/>
        </w:numPr>
        <w:spacing w:line="360" w:lineRule="auto"/>
        <w:ind w:left="0" w:leftChars="0" w:firstLine="420" w:firstLineChars="0"/>
        <w:rPr>
          <w:rFonts w:ascii="宋体" w:hAnsi="宋体"/>
          <w:b/>
          <w:color w:val="000000"/>
          <w:szCs w:val="21"/>
          <w:highlight w:val="none"/>
        </w:rPr>
      </w:pPr>
      <w:r>
        <w:rPr>
          <w:rFonts w:hint="eastAsia" w:ascii="宋体" w:hAnsi="宋体"/>
          <w:b/>
          <w:color w:val="000000"/>
          <w:szCs w:val="21"/>
          <w:highlight w:val="none"/>
        </w:rPr>
        <w:t>报价部分（</w:t>
      </w:r>
      <w:r>
        <w:rPr>
          <w:rFonts w:hint="eastAsia" w:ascii="宋体" w:hAnsi="宋体"/>
          <w:b/>
          <w:color w:val="000000"/>
          <w:szCs w:val="21"/>
          <w:highlight w:val="none"/>
          <w:lang w:val="en-US" w:eastAsia="zh-CN"/>
        </w:rPr>
        <w:t>35</w:t>
      </w:r>
      <w:r>
        <w:rPr>
          <w:rFonts w:hint="eastAsia" w:ascii="宋体" w:hAnsi="宋体"/>
          <w:b/>
          <w:color w:val="000000"/>
          <w:szCs w:val="21"/>
          <w:highlight w:val="none"/>
        </w:rPr>
        <w:t>分）</w:t>
      </w:r>
    </w:p>
    <w:p>
      <w:pPr>
        <w:spacing w:line="480" w:lineRule="exact"/>
        <w:ind w:firstLine="525" w:firstLineChars="250"/>
        <w:rPr>
          <w:rFonts w:ascii="宋体" w:hAnsi="宋体"/>
          <w:color w:val="000000"/>
          <w:szCs w:val="21"/>
          <w:highlight w:val="none"/>
        </w:rPr>
      </w:pPr>
      <w:r>
        <w:rPr>
          <w:rFonts w:hint="eastAsia" w:ascii="宋体" w:hAnsi="宋体"/>
          <w:color w:val="000000"/>
          <w:szCs w:val="21"/>
          <w:highlight w:val="none"/>
        </w:rPr>
        <w:t xml:space="preserve">以有效投标文件的最低投标价为评标基准价，投标价等于评标基准价的得满分；偏离评标基准价的，得分＝（评标基准价/投标价格）× </w:t>
      </w:r>
      <w:r>
        <w:rPr>
          <w:rFonts w:hint="eastAsia" w:ascii="宋体" w:hAnsi="宋体"/>
          <w:color w:val="000000"/>
          <w:szCs w:val="21"/>
          <w:highlight w:val="none"/>
          <w:lang w:val="en-US" w:eastAsia="zh-CN"/>
        </w:rPr>
        <w:t>35</w:t>
      </w:r>
      <w:r>
        <w:rPr>
          <w:rFonts w:hint="eastAsia" w:ascii="宋体" w:hAnsi="宋体"/>
          <w:color w:val="000000"/>
          <w:szCs w:val="21"/>
          <w:highlight w:val="none"/>
        </w:rPr>
        <w:t>（保留两位小数）</w:t>
      </w:r>
    </w:p>
    <w:p>
      <w:pPr>
        <w:pStyle w:val="26"/>
        <w:numPr>
          <w:ilvl w:val="0"/>
          <w:numId w:val="3"/>
        </w:numPr>
        <w:snapToGrid w:val="0"/>
        <w:spacing w:line="480" w:lineRule="exact"/>
        <w:ind w:left="0" w:leftChars="0" w:firstLine="420" w:firstLineChars="0"/>
        <w:rPr>
          <w:rFonts w:hAnsi="宋体"/>
          <w:b/>
          <w:color w:val="000000"/>
          <w:sz w:val="21"/>
          <w:szCs w:val="21"/>
        </w:rPr>
      </w:pPr>
      <w:r>
        <w:rPr>
          <w:rFonts w:hAnsi="宋体"/>
          <w:b/>
          <w:color w:val="000000"/>
          <w:sz w:val="21"/>
          <w:szCs w:val="21"/>
          <w:highlight w:val="none"/>
        </w:rPr>
        <w:t>技术</w:t>
      </w:r>
      <w:r>
        <w:rPr>
          <w:rFonts w:hint="eastAsia" w:hAnsi="宋体"/>
          <w:b/>
          <w:color w:val="000000"/>
          <w:sz w:val="21"/>
          <w:szCs w:val="21"/>
          <w:highlight w:val="none"/>
        </w:rPr>
        <w:t>部分</w:t>
      </w:r>
      <w:r>
        <w:rPr>
          <w:rFonts w:hAnsi="宋体"/>
          <w:b/>
          <w:color w:val="000000"/>
          <w:sz w:val="21"/>
          <w:szCs w:val="21"/>
          <w:highlight w:val="none"/>
        </w:rPr>
        <w:t>（</w:t>
      </w:r>
      <w:r>
        <w:rPr>
          <w:rFonts w:hint="eastAsia" w:hAnsi="宋体"/>
          <w:b/>
          <w:color w:val="000000"/>
          <w:sz w:val="21"/>
          <w:szCs w:val="21"/>
          <w:highlight w:val="none"/>
          <w:lang w:val="en-US" w:eastAsia="zh-CN"/>
        </w:rPr>
        <w:t>60.5</w:t>
      </w:r>
      <w:r>
        <w:rPr>
          <w:rFonts w:hAnsi="宋体"/>
          <w:b/>
          <w:color w:val="000000"/>
          <w:sz w:val="21"/>
          <w:szCs w:val="21"/>
          <w:highlight w:val="none"/>
        </w:rPr>
        <w:t>分）</w:t>
      </w:r>
    </w:p>
    <w:p>
      <w:pPr>
        <w:pStyle w:val="26"/>
        <w:snapToGrid w:val="0"/>
        <w:spacing w:line="480" w:lineRule="exact"/>
        <w:ind w:firstLine="420" w:firstLineChars="200"/>
        <w:rPr>
          <w:rFonts w:hAnsi="宋体"/>
          <w:color w:val="000000"/>
          <w:sz w:val="21"/>
          <w:szCs w:val="21"/>
        </w:rPr>
      </w:pPr>
    </w:p>
    <w:p>
      <w:pPr>
        <w:pStyle w:val="26"/>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105" w:rightChars="-50" w:firstLine="422" w:firstLineChars="200"/>
        <w:textAlignment w:val="auto"/>
        <w:rPr>
          <w:rFonts w:hint="eastAsia" w:hAnsi="宋体"/>
          <w:sz w:val="21"/>
          <w:szCs w:val="21"/>
        </w:rPr>
      </w:pPr>
      <w:r>
        <w:rPr>
          <w:rFonts w:hAnsi="宋体"/>
          <w:b/>
          <w:bCs/>
          <w:color w:val="000000"/>
          <w:sz w:val="21"/>
          <w:szCs w:val="21"/>
        </w:rPr>
        <w:t>所投</w:t>
      </w:r>
      <w:r>
        <w:rPr>
          <w:rFonts w:hint="eastAsia" w:hAnsi="宋体"/>
          <w:b/>
          <w:bCs/>
          <w:color w:val="000000"/>
          <w:sz w:val="21"/>
          <w:szCs w:val="21"/>
        </w:rPr>
        <w:t>网络系统监控</w:t>
      </w:r>
      <w:r>
        <w:rPr>
          <w:rFonts w:hAnsi="宋体"/>
          <w:b/>
          <w:bCs/>
          <w:color w:val="000000"/>
          <w:sz w:val="21"/>
          <w:szCs w:val="21"/>
        </w:rPr>
        <w:t>硬件设备及软件的组成部分、主要技</w:t>
      </w:r>
      <w:r>
        <w:rPr>
          <w:rFonts w:hAnsi="宋体"/>
          <w:b/>
          <w:bCs/>
          <w:sz w:val="21"/>
          <w:szCs w:val="21"/>
        </w:rPr>
        <w:t>术性能、配置、技术参数、功能描</w:t>
      </w:r>
      <w:r>
        <w:rPr>
          <w:rFonts w:hAnsi="宋体"/>
          <w:b/>
          <w:bCs/>
          <w:sz w:val="21"/>
          <w:szCs w:val="21"/>
          <w:highlight w:val="none"/>
        </w:rPr>
        <w:t>述（</w:t>
      </w:r>
      <w:r>
        <w:rPr>
          <w:rFonts w:hint="eastAsia" w:hAnsi="宋体"/>
          <w:b/>
          <w:bCs/>
          <w:sz w:val="21"/>
          <w:szCs w:val="21"/>
          <w:highlight w:val="none"/>
        </w:rPr>
        <w:t>0</w:t>
      </w:r>
      <w:r>
        <w:rPr>
          <w:rFonts w:hAnsi="宋体"/>
          <w:b/>
          <w:bCs/>
          <w:sz w:val="21"/>
          <w:szCs w:val="21"/>
          <w:highlight w:val="none"/>
        </w:rPr>
        <w:t>-</w:t>
      </w:r>
      <w:r>
        <w:rPr>
          <w:rFonts w:hint="eastAsia" w:hAnsi="宋体"/>
          <w:b/>
          <w:bCs/>
          <w:sz w:val="21"/>
          <w:szCs w:val="21"/>
          <w:highlight w:val="none"/>
        </w:rPr>
        <w:t>1</w:t>
      </w:r>
      <w:r>
        <w:rPr>
          <w:rFonts w:hint="eastAsia" w:hAnsi="宋体"/>
          <w:b/>
          <w:bCs/>
          <w:sz w:val="21"/>
          <w:szCs w:val="21"/>
          <w:highlight w:val="none"/>
          <w:lang w:val="en-US" w:eastAsia="zh-CN"/>
        </w:rPr>
        <w:t>6</w:t>
      </w:r>
      <w:r>
        <w:rPr>
          <w:rFonts w:hAnsi="宋体"/>
          <w:b/>
          <w:bCs/>
          <w:sz w:val="21"/>
          <w:szCs w:val="21"/>
          <w:highlight w:val="none"/>
        </w:rPr>
        <w:t>分）</w:t>
      </w:r>
      <w:r>
        <w:rPr>
          <w:rFonts w:hint="eastAsia" w:hAnsi="宋体"/>
          <w:b/>
          <w:bCs/>
          <w:sz w:val="21"/>
          <w:szCs w:val="21"/>
          <w:highlight w:val="none"/>
        </w:rPr>
        <w:t>：</w:t>
      </w:r>
    </w:p>
    <w:p>
      <w:pPr>
        <w:pStyle w:val="26"/>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420" w:firstLineChars="200"/>
        <w:textAlignment w:val="auto"/>
        <w:rPr>
          <w:rFonts w:hint="eastAsia" w:hAnsi="宋体"/>
          <w:sz w:val="21"/>
          <w:szCs w:val="21"/>
        </w:rPr>
      </w:pPr>
      <w:r>
        <w:rPr>
          <w:rFonts w:hint="eastAsia" w:asciiTheme="minorEastAsia" w:hAnsiTheme="minorEastAsia" w:eastAsiaTheme="minorEastAsia" w:cstheme="minorEastAsia"/>
          <w:b w:val="0"/>
          <w:bCs/>
          <w:color w:val="auto"/>
          <w:sz w:val="21"/>
          <w:szCs w:val="21"/>
          <w:highlight w:val="none"/>
          <w:vertAlign w:val="baseline"/>
          <w:lang w:val="en-US" w:eastAsia="zh-CN"/>
        </w:rPr>
        <w:t>评委依据招标文件要求对投标人投标设备主要技术性能、配置、技术、参数、功能描述及投标设备规格、技术配置参数、设备配置进行评审及招标文件要求提供相应的资料响应程度等：整体等于或高于最低需求；低于最低主要需求，有一项扣1.5分，低于最低非主要需求，有一项扣0.5分（由评标委员会评定主要或非主要需求）；超过3项低于主要需求或超过6项低于非主要需求的，均不得分</w:t>
      </w:r>
      <w:r>
        <w:rPr>
          <w:rFonts w:hint="eastAsia" w:asciiTheme="minorEastAsia" w:hAnsiTheme="minorEastAsia" w:cstheme="minorEastAsia"/>
          <w:b w:val="0"/>
          <w:bCs/>
          <w:color w:val="auto"/>
          <w:sz w:val="21"/>
          <w:szCs w:val="21"/>
          <w:highlight w:val="none"/>
          <w:vertAlign w:val="baseline"/>
          <w:lang w:val="en-US" w:eastAsia="zh-CN"/>
        </w:rPr>
        <w:t>。（0-13分）</w:t>
      </w:r>
    </w:p>
    <w:p>
      <w:pPr>
        <w:pStyle w:val="26"/>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420" w:firstLineChars="200"/>
        <w:textAlignment w:val="auto"/>
        <w:rPr>
          <w:rFonts w:hint="eastAsia" w:hAnsi="宋体"/>
          <w:sz w:val="21"/>
          <w:szCs w:val="21"/>
          <w:highlight w:val="none"/>
        </w:rPr>
      </w:pPr>
      <w:r>
        <w:rPr>
          <w:rFonts w:hint="eastAsia" w:asciiTheme="minorEastAsia" w:hAnsiTheme="minorEastAsia" w:cstheme="minorEastAsia"/>
          <w:b w:val="0"/>
          <w:bCs/>
          <w:color w:val="auto"/>
          <w:sz w:val="21"/>
          <w:szCs w:val="21"/>
          <w:highlight w:val="none"/>
          <w:vertAlign w:val="baseline"/>
          <w:lang w:val="en-US" w:eastAsia="zh-CN"/>
        </w:rPr>
        <w:t>所投产品中的摄像机最低照度彩色低于0.0008lx</w:t>
      </w:r>
      <w:r>
        <w:rPr>
          <w:rFonts w:hint="eastAsia" w:asciiTheme="minorEastAsia" w:hAnsiTheme="minorEastAsia" w:eastAsiaTheme="minorEastAsia" w:cstheme="minorEastAsia"/>
          <w:b w:val="0"/>
          <w:bCs/>
          <w:color w:val="auto"/>
          <w:sz w:val="21"/>
          <w:szCs w:val="21"/>
          <w:highlight w:val="none"/>
          <w:vertAlign w:val="baseline"/>
          <w:lang w:val="en-US" w:eastAsia="zh-CN"/>
        </w:rPr>
        <w:t>得</w:t>
      </w:r>
      <w:r>
        <w:rPr>
          <w:rFonts w:hint="eastAsia" w:asciiTheme="minorEastAsia" w:hAnsiTheme="minorEastAsia" w:cstheme="minorEastAsia"/>
          <w:b w:val="0"/>
          <w:bCs/>
          <w:color w:val="auto"/>
          <w:sz w:val="21"/>
          <w:szCs w:val="21"/>
          <w:highlight w:val="none"/>
          <w:vertAlign w:val="baseline"/>
          <w:lang w:val="en-US" w:eastAsia="zh-CN"/>
        </w:rPr>
        <w:t>1</w:t>
      </w:r>
      <w:r>
        <w:rPr>
          <w:rFonts w:hint="eastAsia" w:asciiTheme="minorEastAsia" w:hAnsiTheme="minorEastAsia" w:eastAsiaTheme="minorEastAsia" w:cstheme="minorEastAsia"/>
          <w:b w:val="0"/>
          <w:bCs/>
          <w:color w:val="auto"/>
          <w:sz w:val="21"/>
          <w:szCs w:val="21"/>
          <w:highlight w:val="none"/>
          <w:vertAlign w:val="baseline"/>
          <w:lang w:val="en-US" w:eastAsia="zh-CN"/>
        </w:rPr>
        <w:t>分</w:t>
      </w:r>
      <w:r>
        <w:rPr>
          <w:rFonts w:hint="eastAsia" w:asciiTheme="minorEastAsia" w:hAnsiTheme="minorEastAsia" w:cstheme="minorEastAsia"/>
          <w:b w:val="0"/>
          <w:bCs/>
          <w:color w:val="auto"/>
          <w:sz w:val="21"/>
          <w:szCs w:val="21"/>
          <w:highlight w:val="none"/>
          <w:vertAlign w:val="baseline"/>
          <w:lang w:val="en-US" w:eastAsia="zh-CN"/>
        </w:rPr>
        <w:t>，最低照度彩色低于0.0006lx得3分。（提供检测报告复印件加盖生产厂商鲜章）（1-3分）</w:t>
      </w:r>
    </w:p>
    <w:p>
      <w:pPr>
        <w:pStyle w:val="26"/>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105" w:rightChars="-50" w:firstLine="422" w:firstLineChars="200"/>
        <w:textAlignment w:val="auto"/>
        <w:rPr>
          <w:rFonts w:hint="eastAsia" w:hAnsi="宋体"/>
          <w:b/>
          <w:bCs/>
          <w:sz w:val="21"/>
          <w:szCs w:val="21"/>
          <w:highlight w:val="none"/>
        </w:rPr>
      </w:pPr>
      <w:r>
        <w:rPr>
          <w:rFonts w:hint="eastAsia" w:asciiTheme="minorEastAsia" w:hAnsiTheme="minorEastAsia" w:eastAsiaTheme="minorEastAsia" w:cstheme="minorEastAsia"/>
          <w:b/>
          <w:bCs/>
          <w:color w:val="auto"/>
          <w:sz w:val="21"/>
          <w:szCs w:val="21"/>
          <w:highlight w:val="none"/>
          <w:vertAlign w:val="baseline"/>
          <w:lang w:val="en-US" w:eastAsia="zh-CN"/>
        </w:rPr>
        <w:t>投标人所投货物（摄像机、</w:t>
      </w:r>
      <w:r>
        <w:rPr>
          <w:rFonts w:hint="eastAsia" w:asciiTheme="minorEastAsia" w:hAnsiTheme="minorEastAsia" w:eastAsiaTheme="minorEastAsia" w:cstheme="minorEastAsia"/>
          <w:b/>
          <w:bCs/>
          <w:color w:val="auto"/>
          <w:sz w:val="21"/>
          <w:szCs w:val="21"/>
          <w:highlight w:val="none"/>
        </w:rPr>
        <w:t>大路数NVR、存储设备</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vertAlign w:val="baseline"/>
          <w:lang w:val="en-US" w:eastAsia="zh-CN"/>
        </w:rPr>
        <w:t xml:space="preserve">品牌及配置由评委根据综合各项产品品牌知名度、市场占有率（一类品牌：4-5分；二类品牌：2-3分；二类以下品牌：1分） </w:t>
      </w:r>
      <w:r>
        <w:rPr>
          <w:rFonts w:hint="eastAsia" w:asciiTheme="minorEastAsia" w:hAnsiTheme="minorEastAsia" w:cstheme="minorEastAsia"/>
          <w:b/>
          <w:bCs/>
          <w:color w:val="auto"/>
          <w:sz w:val="21"/>
          <w:szCs w:val="21"/>
          <w:highlight w:val="none"/>
          <w:vertAlign w:val="baseline"/>
          <w:lang w:val="en-US" w:eastAsia="zh-CN"/>
        </w:rPr>
        <w:t>（1-5分）</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pacing w:line="360" w:lineRule="auto"/>
        <w:ind w:left="0" w:leftChars="0" w:right="-105" w:rightChars="-50" w:firstLine="422" w:firstLineChars="200"/>
        <w:textAlignment w:val="auto"/>
        <w:rPr>
          <w:rFonts w:hint="eastAsia" w:asciiTheme="minorEastAsia" w:hAnsiTheme="minorEastAsia" w:eastAsiaTheme="minorEastAsia" w:cstheme="minorEastAsia"/>
          <w:b/>
          <w:bCs/>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kern w:val="2"/>
          <w:sz w:val="21"/>
          <w:szCs w:val="21"/>
          <w:highlight w:val="none"/>
          <w:vertAlign w:val="baseline"/>
          <w:lang w:val="en-US" w:eastAsia="zh-CN" w:bidi="ar-SA"/>
        </w:rPr>
        <w:t>整个网络监控系统的架构、功能体系、运行环境的设计组织方案、施工方案、验收方案（1-</w:t>
      </w:r>
      <w:r>
        <w:rPr>
          <w:rFonts w:hint="eastAsia" w:asciiTheme="minorEastAsia" w:hAnsiTheme="minorEastAsia" w:cstheme="minorEastAsia"/>
          <w:b/>
          <w:bCs/>
          <w:color w:val="auto"/>
          <w:kern w:val="2"/>
          <w:sz w:val="21"/>
          <w:szCs w:val="21"/>
          <w:highlight w:val="none"/>
          <w:vertAlign w:val="baseline"/>
          <w:lang w:val="en-US" w:eastAsia="zh-CN" w:bidi="ar-SA"/>
        </w:rPr>
        <w:t>10</w:t>
      </w:r>
      <w:r>
        <w:rPr>
          <w:rFonts w:hint="eastAsia" w:asciiTheme="minorEastAsia" w:hAnsiTheme="minorEastAsia" w:eastAsiaTheme="minorEastAsia" w:cstheme="minorEastAsia"/>
          <w:b/>
          <w:bCs/>
          <w:color w:val="auto"/>
          <w:kern w:val="2"/>
          <w:sz w:val="21"/>
          <w:szCs w:val="21"/>
          <w:highlight w:val="none"/>
          <w:vertAlign w:val="baseline"/>
          <w:lang w:val="en-US" w:eastAsia="zh-CN" w:bidi="ar-SA"/>
        </w:rPr>
        <w:t>分）；</w:t>
      </w:r>
    </w:p>
    <w:p>
      <w:pPr>
        <w:pStyle w:val="26"/>
        <w:numPr>
          <w:ilvl w:val="0"/>
          <w:numId w:val="0"/>
        </w:numPr>
        <w:snapToGrid w:val="0"/>
        <w:spacing w:line="480" w:lineRule="auto"/>
        <w:ind w:firstLine="420" w:firstLineChars="200"/>
        <w:rPr>
          <w:rFonts w:hint="eastAsia" w:hAnsi="宋体"/>
          <w:color w:val="auto"/>
          <w:sz w:val="21"/>
          <w:szCs w:val="21"/>
          <w:highlight w:val="none"/>
        </w:rPr>
      </w:pPr>
      <w:r>
        <w:rPr>
          <w:rFonts w:hint="eastAsia" w:hAnsi="宋体"/>
          <w:color w:val="auto"/>
          <w:sz w:val="21"/>
          <w:szCs w:val="21"/>
          <w:highlight w:val="none"/>
        </w:rPr>
        <w:t>根据投标方案针对部署实施方案有详细方案及项目实施方案的完整性、合理性。包含完善可行的工程实施计划、工期管理和人员配备，根据本项目完成时间计划节点编制</w:t>
      </w:r>
      <w:r>
        <w:rPr>
          <w:rFonts w:hint="eastAsia" w:hAnsi="宋体"/>
          <w:color w:val="auto"/>
          <w:sz w:val="21"/>
          <w:szCs w:val="21"/>
          <w:highlight w:val="none"/>
          <w:lang w:eastAsia="zh-CN"/>
        </w:rPr>
        <w:t>，</w:t>
      </w:r>
      <w:r>
        <w:rPr>
          <w:rFonts w:hint="eastAsia" w:hAnsi="宋体"/>
          <w:color w:val="auto"/>
          <w:sz w:val="21"/>
          <w:szCs w:val="21"/>
          <w:highlight w:val="none"/>
        </w:rPr>
        <w:t>设备进场及安装调试计划，以保证项目按期顺利实现等：方案优秀得</w:t>
      </w:r>
      <w:r>
        <w:rPr>
          <w:rFonts w:hint="eastAsia" w:hAnsi="宋体"/>
          <w:color w:val="auto"/>
          <w:sz w:val="21"/>
          <w:szCs w:val="21"/>
          <w:highlight w:val="none"/>
          <w:lang w:val="en-US" w:eastAsia="zh-CN"/>
        </w:rPr>
        <w:t>7-10</w:t>
      </w:r>
      <w:r>
        <w:rPr>
          <w:rFonts w:hint="eastAsia" w:hAnsi="宋体"/>
          <w:color w:val="auto"/>
          <w:sz w:val="21"/>
          <w:szCs w:val="21"/>
          <w:highlight w:val="none"/>
        </w:rPr>
        <w:t>分，较好得</w:t>
      </w:r>
      <w:r>
        <w:rPr>
          <w:rFonts w:hint="eastAsia" w:hAnsi="宋体"/>
          <w:color w:val="auto"/>
          <w:sz w:val="21"/>
          <w:szCs w:val="21"/>
          <w:highlight w:val="none"/>
          <w:lang w:val="en-US" w:eastAsia="zh-CN"/>
        </w:rPr>
        <w:t>5-7</w:t>
      </w:r>
      <w:r>
        <w:rPr>
          <w:rFonts w:hint="eastAsia" w:hAnsi="宋体"/>
          <w:color w:val="auto"/>
          <w:sz w:val="21"/>
          <w:szCs w:val="21"/>
          <w:highlight w:val="none"/>
        </w:rPr>
        <w:t>分，一般得</w:t>
      </w:r>
      <w:r>
        <w:rPr>
          <w:rFonts w:hint="eastAsia" w:hAnsi="宋体"/>
          <w:color w:val="auto"/>
          <w:sz w:val="21"/>
          <w:szCs w:val="21"/>
          <w:highlight w:val="none"/>
          <w:lang w:val="en-US" w:eastAsia="zh-CN"/>
        </w:rPr>
        <w:t>0</w:t>
      </w:r>
      <w:r>
        <w:rPr>
          <w:rFonts w:hint="eastAsia" w:hAnsi="宋体"/>
          <w:color w:val="auto"/>
          <w:sz w:val="21"/>
          <w:szCs w:val="21"/>
          <w:highlight w:val="none"/>
        </w:rPr>
        <w:t>-3分，不符合要求的不得分。</w:t>
      </w:r>
    </w:p>
    <w:p>
      <w:pPr>
        <w:pStyle w:val="26"/>
        <w:keepNext w:val="0"/>
        <w:keepLines w:val="0"/>
        <w:pageBreakBefore w:val="0"/>
        <w:widowControl w:val="0"/>
        <w:numPr>
          <w:ilvl w:val="0"/>
          <w:numId w:val="4"/>
        </w:numPr>
        <w:kinsoku/>
        <w:wordWrap/>
        <w:overflowPunct/>
        <w:topLinePunct w:val="0"/>
        <w:autoSpaceDE/>
        <w:autoSpaceDN/>
        <w:bidi w:val="0"/>
        <w:adjustRightInd/>
        <w:snapToGrid w:val="0"/>
        <w:spacing w:line="480" w:lineRule="auto"/>
        <w:ind w:left="0" w:leftChars="0" w:right="-105" w:rightChars="-50" w:firstLine="425" w:firstLineChars="0"/>
        <w:textAlignment w:val="auto"/>
        <w:rPr>
          <w:rFonts w:hint="eastAsia" w:hAnsi="宋体"/>
          <w:b/>
          <w:bCs w:val="0"/>
          <w:color w:val="auto"/>
          <w:sz w:val="21"/>
          <w:szCs w:val="21"/>
          <w:highlight w:val="yellow"/>
        </w:rPr>
      </w:pPr>
      <w:r>
        <w:rPr>
          <w:rFonts w:hint="eastAsia" w:asciiTheme="minorEastAsia" w:hAnsiTheme="minorEastAsia" w:eastAsiaTheme="minorEastAsia" w:cstheme="minorEastAsia"/>
          <w:b/>
          <w:bCs w:val="0"/>
          <w:color w:val="auto"/>
          <w:sz w:val="21"/>
          <w:szCs w:val="21"/>
          <w:highlight w:val="none"/>
          <w:vertAlign w:val="baseline"/>
          <w:lang w:val="en-US" w:eastAsia="zh-CN"/>
        </w:rPr>
        <w:t>投标人</w:t>
      </w:r>
      <w:r>
        <w:rPr>
          <w:rFonts w:hint="eastAsia" w:asciiTheme="minorEastAsia" w:hAnsiTheme="minorEastAsia" w:cstheme="minorEastAsia"/>
          <w:b/>
          <w:bCs w:val="0"/>
          <w:color w:val="auto"/>
          <w:sz w:val="21"/>
          <w:szCs w:val="21"/>
          <w:highlight w:val="none"/>
          <w:vertAlign w:val="baseline"/>
          <w:lang w:val="en-US" w:eastAsia="zh-CN"/>
        </w:rPr>
        <w:t>须</w:t>
      </w:r>
      <w:r>
        <w:rPr>
          <w:rFonts w:hint="eastAsia" w:asciiTheme="minorEastAsia" w:hAnsiTheme="minorEastAsia" w:eastAsiaTheme="minorEastAsia" w:cstheme="minorEastAsia"/>
          <w:b/>
          <w:bCs w:val="0"/>
          <w:color w:val="auto"/>
          <w:sz w:val="21"/>
          <w:szCs w:val="21"/>
          <w:highlight w:val="none"/>
          <w:vertAlign w:val="baseline"/>
          <w:lang w:val="en-US" w:eastAsia="zh-CN"/>
        </w:rPr>
        <w:t>提供</w:t>
      </w:r>
      <w:r>
        <w:rPr>
          <w:rFonts w:hint="eastAsia" w:asciiTheme="minorEastAsia" w:hAnsiTheme="minorEastAsia" w:cstheme="minorEastAsia"/>
          <w:b/>
          <w:bCs w:val="0"/>
          <w:color w:val="auto"/>
          <w:sz w:val="21"/>
          <w:szCs w:val="21"/>
          <w:highlight w:val="none"/>
          <w:vertAlign w:val="baseline"/>
          <w:lang w:val="en-US" w:eastAsia="zh-CN"/>
        </w:rPr>
        <w:t>满足实际施工现场要求的</w:t>
      </w:r>
      <w:r>
        <w:rPr>
          <w:rFonts w:hint="eastAsia" w:asciiTheme="minorEastAsia" w:hAnsiTheme="minorEastAsia" w:eastAsiaTheme="minorEastAsia" w:cstheme="minorEastAsia"/>
          <w:b/>
          <w:bCs w:val="0"/>
          <w:color w:val="auto"/>
          <w:sz w:val="21"/>
          <w:szCs w:val="21"/>
          <w:highlight w:val="none"/>
          <w:vertAlign w:val="baseline"/>
          <w:lang w:val="en-US" w:eastAsia="zh-CN"/>
        </w:rPr>
        <w:t>CAD</w:t>
      </w:r>
      <w:r>
        <w:rPr>
          <w:rFonts w:hint="eastAsia" w:asciiTheme="minorEastAsia" w:hAnsiTheme="minorEastAsia" w:cstheme="minorEastAsia"/>
          <w:b/>
          <w:bCs w:val="0"/>
          <w:color w:val="auto"/>
          <w:sz w:val="21"/>
          <w:szCs w:val="21"/>
          <w:highlight w:val="none"/>
          <w:vertAlign w:val="baseline"/>
          <w:lang w:val="en-US" w:eastAsia="zh-CN"/>
        </w:rPr>
        <w:t>规划</w:t>
      </w:r>
      <w:r>
        <w:rPr>
          <w:rFonts w:hint="eastAsia" w:asciiTheme="minorEastAsia" w:hAnsiTheme="minorEastAsia" w:eastAsiaTheme="minorEastAsia" w:cstheme="minorEastAsia"/>
          <w:b/>
          <w:bCs w:val="0"/>
          <w:color w:val="auto"/>
          <w:sz w:val="21"/>
          <w:szCs w:val="21"/>
          <w:highlight w:val="none"/>
          <w:vertAlign w:val="baseline"/>
          <w:lang w:val="en-US" w:eastAsia="zh-CN"/>
        </w:rPr>
        <w:t>布线图</w:t>
      </w:r>
      <w:r>
        <w:rPr>
          <w:rFonts w:hint="eastAsia" w:asciiTheme="minorEastAsia" w:hAnsiTheme="minorEastAsia" w:cstheme="minorEastAsia"/>
          <w:b/>
          <w:bCs w:val="0"/>
          <w:color w:val="auto"/>
          <w:sz w:val="21"/>
          <w:szCs w:val="21"/>
          <w:highlight w:val="none"/>
          <w:vertAlign w:val="baseline"/>
          <w:lang w:val="en-US" w:eastAsia="zh-CN"/>
        </w:rPr>
        <w:t>得2分，提供竣工后实际CAD布点布线图承诺函得2分（共4分）。</w:t>
      </w:r>
    </w:p>
    <w:p>
      <w:pPr>
        <w:pStyle w:val="26"/>
        <w:keepNext w:val="0"/>
        <w:keepLines w:val="0"/>
        <w:pageBreakBefore w:val="0"/>
        <w:widowControl w:val="0"/>
        <w:numPr>
          <w:ilvl w:val="0"/>
          <w:numId w:val="4"/>
        </w:numPr>
        <w:kinsoku/>
        <w:wordWrap/>
        <w:overflowPunct/>
        <w:topLinePunct w:val="0"/>
        <w:autoSpaceDE/>
        <w:autoSpaceDN/>
        <w:bidi w:val="0"/>
        <w:adjustRightInd/>
        <w:snapToGrid w:val="0"/>
        <w:spacing w:line="480" w:lineRule="auto"/>
        <w:ind w:left="0" w:leftChars="0" w:right="-105" w:rightChars="-50" w:firstLine="422" w:firstLineChars="200"/>
        <w:textAlignment w:val="auto"/>
        <w:rPr>
          <w:rFonts w:hAnsi="宋体"/>
          <w:b/>
          <w:bCs/>
          <w:color w:val="auto"/>
          <w:sz w:val="21"/>
          <w:szCs w:val="21"/>
          <w:highlight w:val="none"/>
        </w:rPr>
      </w:pPr>
      <w:r>
        <w:rPr>
          <w:rFonts w:hAnsi="宋体"/>
          <w:b/>
          <w:bCs/>
          <w:color w:val="auto"/>
          <w:sz w:val="21"/>
          <w:szCs w:val="21"/>
          <w:highlight w:val="none"/>
        </w:rPr>
        <w:t>投标货物和服务的质量保障及技术支持等（</w:t>
      </w:r>
      <w:r>
        <w:rPr>
          <w:rFonts w:hint="eastAsia" w:hAnsi="宋体"/>
          <w:b/>
          <w:bCs/>
          <w:color w:val="auto"/>
          <w:sz w:val="21"/>
          <w:szCs w:val="21"/>
          <w:highlight w:val="none"/>
        </w:rPr>
        <w:t>2</w:t>
      </w:r>
      <w:r>
        <w:rPr>
          <w:rFonts w:hint="eastAsia" w:hAnsi="宋体"/>
          <w:b/>
          <w:bCs/>
          <w:color w:val="auto"/>
          <w:sz w:val="21"/>
          <w:szCs w:val="21"/>
          <w:highlight w:val="none"/>
          <w:lang w:val="en-US" w:eastAsia="zh-CN"/>
        </w:rPr>
        <w:t>5.5</w:t>
      </w:r>
      <w:r>
        <w:rPr>
          <w:rFonts w:hAnsi="宋体"/>
          <w:b/>
          <w:bCs/>
          <w:color w:val="auto"/>
          <w:sz w:val="21"/>
          <w:szCs w:val="21"/>
          <w:highlight w:val="none"/>
        </w:rPr>
        <w:t>分），应包括但不限于以下内容：</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20" w:firstLineChars="200"/>
        <w:textAlignment w:val="auto"/>
        <w:rPr>
          <w:rFonts w:ascii="宋体" w:hAnsi="宋体"/>
          <w:color w:val="auto"/>
          <w:szCs w:val="21"/>
          <w:highlight w:val="none"/>
        </w:rPr>
      </w:pPr>
      <w:r>
        <w:rPr>
          <w:rFonts w:hint="eastAsia" w:ascii="宋体" w:hAnsi="宋体"/>
          <w:b w:val="0"/>
          <w:bCs w:val="0"/>
          <w:color w:val="auto"/>
          <w:szCs w:val="21"/>
          <w:highlight w:val="none"/>
        </w:rPr>
        <w:t>质保期服务承诺及质保期外的伴随服务承诺</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至少包括下列内容：质保期承诺、操作人</w:t>
      </w:r>
      <w:r>
        <w:rPr>
          <w:rFonts w:hint="eastAsia" w:ascii="宋体" w:hAnsi="宋体"/>
          <w:color w:val="auto"/>
          <w:szCs w:val="21"/>
          <w:highlight w:val="none"/>
        </w:rPr>
        <w:t>员培训计划、质保期内发生故障服务响应时间承诺及保障措施、质保期外提供备品配件及跟踪服务承诺（1-</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本次采购的校园监控系统，投标人承诺在不增加任何费用的前提下无缝对接到“盐城市大丰区教育局宇视一键报警平台系统”，能提供承诺函得3分</w:t>
      </w:r>
      <w:r>
        <w:rPr>
          <w:rFonts w:hint="eastAsia" w:ascii="宋体" w:hAnsi="宋体"/>
          <w:color w:val="auto"/>
          <w:szCs w:val="21"/>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rPr>
        <w:t>投标人所投主要设备品牌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全彩枪机网络摄像机、大路数NVR、存储设备</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为同一品牌得</w:t>
      </w:r>
      <w:r>
        <w:rPr>
          <w:rFonts w:hint="eastAsia" w:ascii="宋体" w:hAnsi="宋体"/>
          <w:b w:val="0"/>
          <w:bCs w:val="0"/>
          <w:color w:val="auto"/>
          <w:szCs w:val="21"/>
          <w:highlight w:val="none"/>
          <w:lang w:val="en-US" w:eastAsia="zh-CN"/>
        </w:rPr>
        <w:t>1分</w:t>
      </w:r>
      <w:r>
        <w:rPr>
          <w:rFonts w:hint="eastAsia" w:ascii="宋体" w:hAnsi="宋体"/>
          <w:b w:val="0"/>
          <w:bCs w:val="0"/>
          <w:color w:val="auto"/>
          <w:szCs w:val="21"/>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20" w:firstLineChars="200"/>
        <w:textAlignment w:val="auto"/>
        <w:rPr>
          <w:rFonts w:ascii="宋体" w:hAnsi="宋体"/>
          <w:szCs w:val="21"/>
        </w:rPr>
      </w:pPr>
      <w:r>
        <w:rPr>
          <w:rFonts w:hint="eastAsia" w:ascii="宋体" w:hAnsi="宋体"/>
          <w:szCs w:val="21"/>
        </w:rPr>
        <w:t>投标人技术能力（1</w:t>
      </w:r>
      <w:r>
        <w:rPr>
          <w:rFonts w:hint="eastAsia" w:ascii="宋体" w:hAnsi="宋体"/>
          <w:szCs w:val="21"/>
          <w:lang w:val="en-US" w:eastAsia="zh-CN"/>
        </w:rPr>
        <w:t>7.5</w:t>
      </w:r>
      <w:r>
        <w:rPr>
          <w:rFonts w:hint="eastAsia" w:ascii="宋体" w:hAnsi="宋体"/>
          <w:szCs w:val="21"/>
        </w:rPr>
        <w:t>分）</w:t>
      </w:r>
    </w:p>
    <w:p>
      <w:pPr>
        <w:pStyle w:val="26"/>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firstLine="210" w:firstLineChars="100"/>
        <w:textAlignment w:val="auto"/>
        <w:rPr>
          <w:rFonts w:hAnsi="宋体"/>
          <w:color w:val="000000"/>
          <w:sz w:val="21"/>
          <w:szCs w:val="21"/>
        </w:rPr>
      </w:pPr>
      <w:r>
        <w:rPr>
          <w:rFonts w:hint="eastAsia" w:hAnsi="宋体"/>
          <w:color w:val="000000"/>
          <w:sz w:val="21"/>
          <w:szCs w:val="21"/>
          <w:highlight w:val="none"/>
        </w:rPr>
        <w:t>投标人所投监控产品的厂家具有软件产品成熟度CMMI5认证得</w:t>
      </w:r>
      <w:r>
        <w:rPr>
          <w:rFonts w:hint="eastAsia" w:hAnsi="宋体"/>
          <w:color w:val="000000"/>
          <w:sz w:val="21"/>
          <w:szCs w:val="21"/>
          <w:highlight w:val="none"/>
          <w:lang w:val="en-US" w:eastAsia="zh-CN"/>
        </w:rPr>
        <w:t>3</w:t>
      </w:r>
      <w:r>
        <w:rPr>
          <w:rFonts w:hint="eastAsia" w:hAnsi="宋体"/>
          <w:color w:val="000000"/>
          <w:sz w:val="21"/>
          <w:szCs w:val="21"/>
          <w:highlight w:val="none"/>
        </w:rPr>
        <w:t>分，CMMI3认证得</w:t>
      </w:r>
      <w:r>
        <w:rPr>
          <w:rFonts w:hint="eastAsia" w:hAnsi="宋体"/>
          <w:color w:val="000000"/>
          <w:sz w:val="21"/>
          <w:szCs w:val="21"/>
          <w:highlight w:val="none"/>
          <w:lang w:val="en-US" w:eastAsia="zh-CN"/>
        </w:rPr>
        <w:t>2</w:t>
      </w:r>
      <w:r>
        <w:rPr>
          <w:rFonts w:hint="eastAsia" w:hAnsi="宋体"/>
          <w:color w:val="000000"/>
          <w:sz w:val="21"/>
          <w:szCs w:val="21"/>
          <w:highlight w:val="none"/>
        </w:rPr>
        <w:t>分，CMMI2认证得</w:t>
      </w:r>
      <w:r>
        <w:rPr>
          <w:rFonts w:hint="eastAsia" w:hAnsi="宋体"/>
          <w:color w:val="000000"/>
          <w:sz w:val="21"/>
          <w:szCs w:val="21"/>
          <w:highlight w:val="none"/>
          <w:lang w:val="en-US" w:eastAsia="zh-CN"/>
        </w:rPr>
        <w:t>1</w:t>
      </w:r>
      <w:r>
        <w:rPr>
          <w:rFonts w:hint="eastAsia" w:hAnsi="宋体"/>
          <w:color w:val="000000"/>
          <w:sz w:val="21"/>
          <w:szCs w:val="21"/>
          <w:highlight w:val="none"/>
        </w:rPr>
        <w:t>分</w:t>
      </w:r>
      <w:r>
        <w:rPr>
          <w:rFonts w:hint="eastAsia" w:hAnsi="宋体"/>
          <w:color w:val="000000"/>
          <w:sz w:val="21"/>
          <w:szCs w:val="21"/>
          <w:highlight w:val="none"/>
          <w:lang w:eastAsia="zh-CN"/>
        </w:rPr>
        <w:t>；</w:t>
      </w:r>
      <w:r>
        <w:rPr>
          <w:rFonts w:hint="eastAsia" w:hAnsi="宋体"/>
          <w:color w:val="000000"/>
          <w:sz w:val="21"/>
          <w:szCs w:val="21"/>
          <w:highlight w:val="none"/>
          <w:lang w:val="en-US" w:eastAsia="zh-CN"/>
        </w:rPr>
        <w:t>具</w:t>
      </w:r>
      <w:r>
        <w:rPr>
          <w:rFonts w:hint="eastAsia" w:hAnsi="宋体"/>
          <w:color w:val="000000"/>
          <w:sz w:val="21"/>
          <w:szCs w:val="21"/>
          <w:lang w:val="en-US" w:eastAsia="zh-CN"/>
        </w:rPr>
        <w:t>有</w:t>
      </w:r>
      <w:r>
        <w:rPr>
          <w:rFonts w:hint="eastAsia" w:hAnsi="宋体"/>
          <w:color w:val="000000"/>
          <w:sz w:val="21"/>
          <w:szCs w:val="21"/>
        </w:rPr>
        <w:t>ITSS信息技术服务运行维护标准符合性证书</w:t>
      </w:r>
      <w:r>
        <w:rPr>
          <w:rFonts w:hint="eastAsia" w:hAnsi="宋体"/>
          <w:color w:val="000000"/>
          <w:sz w:val="21"/>
          <w:szCs w:val="21"/>
          <w:lang w:val="en-US" w:eastAsia="zh-CN"/>
        </w:rPr>
        <w:t>得1.5分</w:t>
      </w:r>
      <w:r>
        <w:rPr>
          <w:rFonts w:hint="eastAsia" w:hAnsi="宋体"/>
          <w:color w:val="000000"/>
          <w:sz w:val="21"/>
          <w:szCs w:val="21"/>
        </w:rPr>
        <w:t>（须提供相关证明复印件并加盖企业</w:t>
      </w:r>
      <w:r>
        <w:rPr>
          <w:rFonts w:hint="eastAsia" w:hAnsi="宋体"/>
          <w:color w:val="000000"/>
          <w:sz w:val="21"/>
          <w:szCs w:val="21"/>
          <w:lang w:val="en-US" w:eastAsia="zh-CN"/>
        </w:rPr>
        <w:t>鲜</w:t>
      </w:r>
      <w:r>
        <w:rPr>
          <w:rFonts w:hint="eastAsia" w:hAnsi="宋体"/>
          <w:color w:val="000000"/>
          <w:sz w:val="21"/>
          <w:szCs w:val="21"/>
        </w:rPr>
        <w:t>章）。</w:t>
      </w:r>
    </w:p>
    <w:p>
      <w:pPr>
        <w:pStyle w:val="26"/>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leftChars="0" w:firstLine="210" w:firstLineChars="100"/>
        <w:textAlignment w:val="auto"/>
        <w:rPr>
          <w:rFonts w:hint="eastAsia" w:hAnsi="宋体"/>
          <w:b w:val="0"/>
          <w:bCs w:val="0"/>
          <w:color w:val="auto"/>
          <w:sz w:val="21"/>
          <w:szCs w:val="21"/>
          <w:lang w:eastAsia="zh-CN"/>
        </w:rPr>
      </w:pPr>
      <w:r>
        <w:rPr>
          <w:rFonts w:hint="eastAsia" w:hAnsi="宋体"/>
          <w:b w:val="0"/>
          <w:bCs w:val="0"/>
          <w:color w:val="auto"/>
          <w:sz w:val="21"/>
          <w:szCs w:val="21"/>
          <w:highlight w:val="none"/>
          <w:lang w:val="en-US" w:eastAsia="zh-CN"/>
        </w:rPr>
        <w:t>投标人</w:t>
      </w:r>
      <w:r>
        <w:rPr>
          <w:rFonts w:hint="eastAsia" w:asciiTheme="minorEastAsia" w:hAnsiTheme="minorEastAsia" w:eastAsiaTheme="minorEastAsia" w:cstheme="minorEastAsia"/>
          <w:b w:val="0"/>
          <w:bCs w:val="0"/>
          <w:color w:val="auto"/>
          <w:sz w:val="21"/>
          <w:szCs w:val="21"/>
          <w:highlight w:val="none"/>
          <w:vertAlign w:val="baseline"/>
          <w:lang w:val="en-US" w:eastAsia="zh-CN"/>
        </w:rPr>
        <w:t>所</w:t>
      </w:r>
      <w:r>
        <w:rPr>
          <w:rFonts w:hint="eastAsia" w:asciiTheme="minorEastAsia" w:hAnsiTheme="minorEastAsia" w:eastAsiaTheme="minorEastAsia" w:cstheme="minorEastAsia"/>
          <w:b w:val="0"/>
          <w:bCs/>
          <w:color w:val="auto"/>
          <w:sz w:val="21"/>
          <w:szCs w:val="21"/>
          <w:highlight w:val="none"/>
          <w:vertAlign w:val="baseline"/>
          <w:lang w:val="en-US" w:eastAsia="zh-CN"/>
        </w:rPr>
        <w:t>投摄像机制造商需提供 IS014001 环境管理体系认证证书 ；IS018001职业健康安全管理体系认证证书 ；IS0900</w:t>
      </w:r>
      <w:r>
        <w:rPr>
          <w:rFonts w:hint="eastAsia" w:asciiTheme="minorEastAsia" w:hAnsiTheme="minorEastAsia" w:cstheme="minorEastAsia"/>
          <w:b w:val="0"/>
          <w:bCs/>
          <w:color w:val="auto"/>
          <w:sz w:val="21"/>
          <w:szCs w:val="21"/>
          <w:highlight w:val="none"/>
          <w:vertAlign w:val="baseline"/>
          <w:lang w:val="en-US" w:eastAsia="zh-CN"/>
        </w:rPr>
        <w:t>1</w:t>
      </w:r>
      <w:r>
        <w:rPr>
          <w:rFonts w:hint="eastAsia" w:asciiTheme="minorEastAsia" w:hAnsiTheme="minorEastAsia" w:eastAsiaTheme="minorEastAsia" w:cstheme="minorEastAsia"/>
          <w:b w:val="0"/>
          <w:bCs/>
          <w:color w:val="auto"/>
          <w:sz w:val="21"/>
          <w:szCs w:val="21"/>
          <w:highlight w:val="none"/>
          <w:vertAlign w:val="baseline"/>
          <w:lang w:val="en-US" w:eastAsia="zh-CN"/>
        </w:rPr>
        <w:t>质量管理体系认证证书 。</w:t>
      </w:r>
      <w:r>
        <w:rPr>
          <w:rFonts w:hint="eastAsia" w:asciiTheme="minorEastAsia" w:hAnsiTheme="minorEastAsia" w:cstheme="minorEastAsia"/>
          <w:b w:val="0"/>
          <w:bCs/>
          <w:color w:val="auto"/>
          <w:sz w:val="21"/>
          <w:szCs w:val="21"/>
          <w:highlight w:val="none"/>
          <w:vertAlign w:val="baseline"/>
          <w:lang w:val="en-US" w:eastAsia="zh-CN"/>
        </w:rPr>
        <w:t>（</w:t>
      </w:r>
      <w:r>
        <w:rPr>
          <w:rFonts w:hint="eastAsia" w:asciiTheme="minorEastAsia" w:hAnsiTheme="minorEastAsia" w:eastAsiaTheme="minorEastAsia" w:cstheme="minorEastAsia"/>
          <w:b w:val="0"/>
          <w:bCs/>
          <w:color w:val="auto"/>
          <w:sz w:val="21"/>
          <w:szCs w:val="21"/>
          <w:highlight w:val="none"/>
          <w:vertAlign w:val="baseline"/>
          <w:lang w:val="en-US" w:eastAsia="zh-CN"/>
        </w:rPr>
        <w:t>提供以上证书复印件加盖厂商</w:t>
      </w:r>
      <w:r>
        <w:rPr>
          <w:rFonts w:hint="eastAsia" w:asciiTheme="minorEastAsia" w:hAnsiTheme="minorEastAsia" w:cstheme="minorEastAsia"/>
          <w:b w:val="0"/>
          <w:bCs/>
          <w:color w:val="auto"/>
          <w:sz w:val="21"/>
          <w:szCs w:val="21"/>
          <w:highlight w:val="none"/>
          <w:vertAlign w:val="baseline"/>
          <w:lang w:val="en-US" w:eastAsia="zh-CN"/>
        </w:rPr>
        <w:t>鲜</w:t>
      </w:r>
      <w:r>
        <w:rPr>
          <w:rFonts w:hint="eastAsia" w:asciiTheme="minorEastAsia" w:hAnsiTheme="minorEastAsia" w:eastAsiaTheme="minorEastAsia" w:cstheme="minorEastAsia"/>
          <w:b w:val="0"/>
          <w:bCs/>
          <w:color w:val="auto"/>
          <w:sz w:val="21"/>
          <w:szCs w:val="21"/>
          <w:highlight w:val="none"/>
          <w:vertAlign w:val="baseline"/>
          <w:lang w:val="en-US" w:eastAsia="zh-CN"/>
        </w:rPr>
        <w:t>章</w:t>
      </w:r>
      <w:r>
        <w:rPr>
          <w:rFonts w:hint="eastAsia" w:asciiTheme="minorEastAsia" w:hAnsiTheme="minorEastAsia" w:cstheme="minorEastAsia"/>
          <w:b w:val="0"/>
          <w:bCs/>
          <w:color w:val="auto"/>
          <w:sz w:val="21"/>
          <w:szCs w:val="21"/>
          <w:highlight w:val="none"/>
          <w:vertAlign w:val="baseline"/>
          <w:lang w:val="en-US" w:eastAsia="zh-CN"/>
        </w:rPr>
        <w:t>并附官网验证查询截图；</w:t>
      </w:r>
      <w:r>
        <w:rPr>
          <w:rFonts w:hint="eastAsia" w:asciiTheme="minorEastAsia" w:hAnsiTheme="minorEastAsia" w:eastAsiaTheme="minorEastAsia" w:cstheme="minorEastAsia"/>
          <w:b w:val="0"/>
          <w:bCs/>
          <w:color w:val="auto"/>
          <w:sz w:val="21"/>
          <w:szCs w:val="21"/>
          <w:highlight w:val="none"/>
          <w:vertAlign w:val="baseline"/>
          <w:lang w:val="en-US" w:eastAsia="zh-CN"/>
        </w:rPr>
        <w:t>每提供一个证书得1分，最高得3分</w:t>
      </w:r>
      <w:r>
        <w:rPr>
          <w:rFonts w:hint="eastAsia" w:asciiTheme="minorEastAsia" w:hAnsiTheme="minorEastAsia" w:cstheme="minorEastAsia"/>
          <w:b w:val="0"/>
          <w:bCs/>
          <w:color w:val="auto"/>
          <w:sz w:val="21"/>
          <w:szCs w:val="21"/>
          <w:highlight w:val="none"/>
          <w:vertAlign w:val="baseline"/>
          <w:lang w:val="en-US" w:eastAsia="zh-CN"/>
        </w:rPr>
        <w:t>）</w:t>
      </w:r>
      <w:r>
        <w:rPr>
          <w:rFonts w:hint="eastAsia" w:asciiTheme="minorEastAsia" w:hAnsiTheme="minorEastAsia" w:eastAsiaTheme="minorEastAsia" w:cstheme="minorEastAsia"/>
          <w:b w:val="0"/>
          <w:bCs/>
          <w:color w:val="auto"/>
          <w:sz w:val="21"/>
          <w:szCs w:val="21"/>
          <w:highlight w:val="none"/>
          <w:vertAlign w:val="baseline"/>
          <w:lang w:val="en-US" w:eastAsia="zh-CN"/>
        </w:rPr>
        <w:t>。</w:t>
      </w:r>
    </w:p>
    <w:p>
      <w:pPr>
        <w:pStyle w:val="26"/>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leftChars="0" w:firstLine="210" w:firstLineChars="100"/>
        <w:textAlignment w:val="auto"/>
        <w:rPr>
          <w:rFonts w:hint="eastAsia" w:hAnsi="宋体"/>
          <w:b w:val="0"/>
          <w:bCs w:val="0"/>
          <w:color w:val="auto"/>
          <w:sz w:val="21"/>
          <w:szCs w:val="21"/>
          <w:lang w:eastAsia="zh-CN"/>
        </w:rPr>
      </w:pPr>
      <w:r>
        <w:rPr>
          <w:rFonts w:hint="eastAsia" w:hAnsi="宋体"/>
          <w:color w:val="auto"/>
          <w:sz w:val="21"/>
          <w:szCs w:val="21"/>
        </w:rPr>
        <w:t>且承诺三年内</w:t>
      </w:r>
      <w:r>
        <w:rPr>
          <w:rFonts w:hint="eastAsia" w:hAnsi="宋体"/>
          <w:b w:val="0"/>
          <w:bCs w:val="0"/>
          <w:color w:val="auto"/>
          <w:sz w:val="21"/>
          <w:szCs w:val="21"/>
        </w:rPr>
        <w:t>无条件响应招标人针对本次招标的系统平台个性化定制需求（如调试、升级、售后服务等）</w:t>
      </w:r>
      <w:r>
        <w:rPr>
          <w:rFonts w:hint="eastAsia" w:hAnsi="宋体"/>
          <w:b w:val="0"/>
          <w:bCs w:val="0"/>
          <w:color w:val="auto"/>
          <w:sz w:val="21"/>
          <w:szCs w:val="21"/>
          <w:lang w:val="en-US" w:eastAsia="zh-CN"/>
        </w:rPr>
        <w:t>最高</w:t>
      </w:r>
      <w:r>
        <w:rPr>
          <w:rFonts w:hint="eastAsia" w:hAnsi="宋体"/>
          <w:b w:val="0"/>
          <w:bCs w:val="0"/>
          <w:color w:val="auto"/>
          <w:sz w:val="21"/>
          <w:szCs w:val="21"/>
        </w:rPr>
        <w:t>得</w:t>
      </w:r>
      <w:r>
        <w:rPr>
          <w:rFonts w:hint="eastAsia" w:hAnsi="宋体"/>
          <w:b w:val="0"/>
          <w:bCs w:val="0"/>
          <w:color w:val="auto"/>
          <w:sz w:val="21"/>
          <w:szCs w:val="21"/>
          <w:lang w:val="en-US" w:eastAsia="zh-CN"/>
        </w:rPr>
        <w:t>1</w:t>
      </w:r>
      <w:r>
        <w:rPr>
          <w:rFonts w:hint="eastAsia" w:hAnsi="宋体"/>
          <w:b w:val="0"/>
          <w:bCs w:val="0"/>
          <w:color w:val="auto"/>
          <w:sz w:val="21"/>
          <w:szCs w:val="21"/>
        </w:rPr>
        <w:t>分。</w:t>
      </w:r>
      <w:r>
        <w:rPr>
          <w:rFonts w:hint="eastAsia" w:hAnsi="宋体"/>
          <w:b w:val="0"/>
          <w:bCs w:val="0"/>
          <w:color w:val="auto"/>
          <w:sz w:val="21"/>
          <w:szCs w:val="21"/>
          <w:lang w:eastAsia="zh-CN"/>
        </w:rPr>
        <w:t>（</w:t>
      </w:r>
      <w:r>
        <w:rPr>
          <w:rFonts w:hint="eastAsia" w:hAnsi="宋体"/>
          <w:b w:val="0"/>
          <w:bCs w:val="0"/>
          <w:color w:val="auto"/>
          <w:sz w:val="21"/>
          <w:szCs w:val="21"/>
          <w:lang w:val="en-US" w:eastAsia="zh-CN"/>
        </w:rPr>
        <w:t>须提供生产厂商承诺函原件</w:t>
      </w:r>
      <w:r>
        <w:rPr>
          <w:rFonts w:hint="eastAsia" w:hAnsi="宋体"/>
          <w:b w:val="0"/>
          <w:bCs w:val="0"/>
          <w:color w:val="auto"/>
          <w:sz w:val="21"/>
          <w:szCs w:val="21"/>
          <w:lang w:eastAsia="zh-CN"/>
        </w:rPr>
        <w:t>）。</w:t>
      </w:r>
    </w:p>
    <w:p>
      <w:pPr>
        <w:pStyle w:val="26"/>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leftChars="0" w:firstLine="210" w:firstLineChars="100"/>
        <w:textAlignment w:val="auto"/>
        <w:rPr>
          <w:rFonts w:hint="default" w:hAnsi="宋体" w:eastAsia="宋体"/>
          <w:b w:val="0"/>
          <w:bCs w:val="0"/>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投标人承诺在三年质保的基础上每增加一年免费维保加 1 分</w:t>
      </w:r>
      <w:r>
        <w:rPr>
          <w:rFonts w:hint="eastAsia" w:asciiTheme="minorEastAsia" w:hAnsi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lang w:val="en-US" w:eastAsia="zh-CN"/>
        </w:rPr>
        <w:t>最多加 2 分</w:t>
      </w:r>
      <w:r>
        <w:rPr>
          <w:rFonts w:hint="eastAsia" w:asciiTheme="minorEastAsia" w:hAnsiTheme="minorEastAsia" w:cstheme="minorEastAsia"/>
          <w:b w:val="0"/>
          <w:bCs/>
          <w:color w:val="auto"/>
          <w:sz w:val="21"/>
          <w:szCs w:val="21"/>
          <w:highlight w:val="none"/>
          <w:lang w:val="en-US" w:eastAsia="zh-CN"/>
        </w:rPr>
        <w:t>。</w:t>
      </w:r>
    </w:p>
    <w:p>
      <w:pPr>
        <w:pStyle w:val="26"/>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leftChars="0" w:firstLine="210" w:firstLineChars="100"/>
        <w:textAlignment w:val="auto"/>
        <w:rPr>
          <w:rFonts w:hint="default" w:hAnsi="宋体" w:eastAsia="宋体"/>
          <w:b w:val="0"/>
          <w:bCs w:val="0"/>
          <w:color w:val="auto"/>
          <w:sz w:val="21"/>
          <w:szCs w:val="21"/>
          <w:highlight w:val="none"/>
          <w:lang w:val="en-US" w:eastAsia="zh-CN"/>
        </w:rPr>
      </w:pPr>
      <w:r>
        <w:rPr>
          <w:rFonts w:hint="eastAsia" w:hAnsi="宋体"/>
          <w:b w:val="0"/>
          <w:bCs w:val="0"/>
          <w:color w:val="auto"/>
          <w:sz w:val="21"/>
          <w:szCs w:val="21"/>
          <w:highlight w:val="none"/>
        </w:rPr>
        <w:t>投标</w:t>
      </w:r>
      <w:r>
        <w:rPr>
          <w:rFonts w:hint="eastAsia" w:hAnsi="宋体"/>
          <w:b w:val="0"/>
          <w:bCs w:val="0"/>
          <w:color w:val="auto"/>
          <w:sz w:val="21"/>
          <w:szCs w:val="21"/>
          <w:highlight w:val="none"/>
          <w:lang w:val="en-US" w:eastAsia="zh-CN"/>
        </w:rPr>
        <w:t>产品制造商提供中国软件行业协会颁发的企业信用评价AAA信用等级证书复印件加盖鲜章，得2分。</w:t>
      </w:r>
    </w:p>
    <w:p>
      <w:pPr>
        <w:pStyle w:val="26"/>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leftChars="0" w:firstLine="210" w:firstLineChars="100"/>
        <w:textAlignment w:val="auto"/>
        <w:rPr>
          <w:rFonts w:hint="eastAsia" w:hAnsi="宋体"/>
          <w:b w:val="0"/>
          <w:bCs w:val="0"/>
          <w:color w:val="auto"/>
          <w:sz w:val="21"/>
          <w:szCs w:val="21"/>
          <w:highlight w:val="none"/>
        </w:rPr>
      </w:pPr>
      <w:r>
        <w:rPr>
          <w:rFonts w:hint="eastAsia" w:ascii="宋体" w:hAnsi="宋体" w:eastAsiaTheme="minorEastAsia" w:cstheme="minorBidi"/>
          <w:b w:val="0"/>
          <w:bCs w:val="0"/>
          <w:color w:val="auto"/>
          <w:kern w:val="2"/>
          <w:sz w:val="21"/>
          <w:szCs w:val="21"/>
          <w:highlight w:val="none"/>
          <w:lang w:val="en-US" w:eastAsia="zh-CN" w:bidi="ar-SA"/>
        </w:rPr>
        <w:t>投标产品制造商获得省级或省级以上的《守合同重信用》企业证明文件</w:t>
      </w:r>
      <w:r>
        <w:rPr>
          <w:rFonts w:hint="eastAsia" w:hAnsi="宋体"/>
          <w:b w:val="0"/>
          <w:bCs w:val="0"/>
          <w:color w:val="auto"/>
          <w:sz w:val="21"/>
          <w:szCs w:val="21"/>
          <w:highlight w:val="none"/>
          <w:lang w:val="en-US" w:eastAsia="zh-CN"/>
        </w:rPr>
        <w:t>复印件加盖鲜章，</w:t>
      </w:r>
      <w:r>
        <w:rPr>
          <w:rFonts w:hint="eastAsia" w:ascii="宋体" w:hAnsi="宋体" w:eastAsiaTheme="minorEastAsia" w:cstheme="minorBidi"/>
          <w:b w:val="0"/>
          <w:bCs w:val="0"/>
          <w:color w:val="auto"/>
          <w:kern w:val="2"/>
          <w:sz w:val="21"/>
          <w:szCs w:val="21"/>
          <w:highlight w:val="none"/>
          <w:lang w:val="en-US" w:eastAsia="zh-CN" w:bidi="ar-SA"/>
        </w:rPr>
        <w:t>得2分。</w:t>
      </w:r>
    </w:p>
    <w:p>
      <w:pPr>
        <w:pStyle w:val="26"/>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leftChars="0" w:firstLine="210" w:firstLineChars="100"/>
        <w:textAlignment w:val="auto"/>
        <w:rPr>
          <w:rFonts w:hint="eastAsia" w:hAnsi="宋体"/>
          <w:b w:val="0"/>
          <w:bCs w:val="0"/>
          <w:color w:val="auto"/>
          <w:sz w:val="21"/>
          <w:szCs w:val="21"/>
          <w:highlight w:val="none"/>
        </w:rPr>
      </w:pPr>
      <w:r>
        <w:rPr>
          <w:rFonts w:hint="eastAsia" w:hAnsi="宋体"/>
          <w:b w:val="0"/>
          <w:bCs w:val="0"/>
          <w:color w:val="auto"/>
          <w:sz w:val="21"/>
          <w:szCs w:val="21"/>
          <w:highlight w:val="none"/>
          <w:lang w:val="en-US" w:eastAsia="zh-CN"/>
        </w:rPr>
        <w:t>投标人具有本地化服务能力，在盐城市大丰区有常驻的售后服务机构，或在盐城市大丰区有分公司或办事处等作为常驻服务和技术支持服务的加3分，需提供本地工商注册资料以及距采购人最近的服务网点情况表、售后服务机构地址、人员名单、联系方式等。</w:t>
      </w:r>
    </w:p>
    <w:p>
      <w:pPr>
        <w:pStyle w:val="26"/>
        <w:numPr>
          <w:ilvl w:val="0"/>
          <w:numId w:val="3"/>
        </w:numPr>
        <w:snapToGrid w:val="0"/>
        <w:spacing w:line="480" w:lineRule="exact"/>
        <w:ind w:left="0" w:leftChars="0" w:firstLine="420" w:firstLineChars="0"/>
        <w:rPr>
          <w:rFonts w:hint="eastAsia" w:hAnsi="宋体"/>
          <w:b/>
          <w:color w:val="auto"/>
          <w:sz w:val="21"/>
          <w:szCs w:val="21"/>
          <w:highlight w:val="none"/>
        </w:rPr>
      </w:pPr>
      <w:r>
        <w:rPr>
          <w:rFonts w:hint="eastAsia" w:hAnsi="宋体"/>
          <w:b/>
          <w:color w:val="auto"/>
          <w:sz w:val="21"/>
          <w:szCs w:val="21"/>
          <w:highlight w:val="none"/>
        </w:rPr>
        <w:t>商务部分</w:t>
      </w:r>
      <w:r>
        <w:rPr>
          <w:rFonts w:hAnsi="宋体"/>
          <w:b/>
          <w:color w:val="auto"/>
          <w:sz w:val="21"/>
          <w:szCs w:val="21"/>
          <w:highlight w:val="none"/>
        </w:rPr>
        <w:t>（</w:t>
      </w:r>
      <w:r>
        <w:rPr>
          <w:rFonts w:hint="eastAsia" w:hAnsi="宋体"/>
          <w:b/>
          <w:color w:val="auto"/>
          <w:sz w:val="21"/>
          <w:szCs w:val="21"/>
          <w:highlight w:val="none"/>
          <w:lang w:val="en-US" w:eastAsia="zh-CN"/>
        </w:rPr>
        <w:t>2.5</w:t>
      </w:r>
      <w:r>
        <w:rPr>
          <w:rFonts w:hAnsi="宋体"/>
          <w:b/>
          <w:color w:val="auto"/>
          <w:sz w:val="21"/>
          <w:szCs w:val="21"/>
          <w:highlight w:val="none"/>
        </w:rPr>
        <w:t>分</w:t>
      </w:r>
      <w:r>
        <w:rPr>
          <w:rFonts w:hint="eastAsia" w:hAnsi="宋体"/>
          <w:b/>
          <w:color w:val="auto"/>
          <w:sz w:val="21"/>
          <w:szCs w:val="21"/>
          <w:highlight w:val="none"/>
        </w:rPr>
        <w:t>）</w:t>
      </w:r>
    </w:p>
    <w:p>
      <w:pPr>
        <w:pStyle w:val="26"/>
        <w:snapToGrid w:val="0"/>
        <w:spacing w:line="480" w:lineRule="exact"/>
        <w:ind w:firstLine="420" w:firstLineChars="200"/>
        <w:rPr>
          <w:rFonts w:hint="default" w:hAnsi="宋体" w:eastAsia="宋体"/>
          <w:b w:val="0"/>
          <w:bCs/>
          <w:color w:val="auto"/>
          <w:sz w:val="21"/>
          <w:szCs w:val="21"/>
          <w:highlight w:val="none"/>
          <w:lang w:val="en-US" w:eastAsia="zh-CN"/>
        </w:rPr>
      </w:pPr>
      <w:r>
        <w:rPr>
          <w:rFonts w:hint="eastAsia" w:hAnsi="宋体"/>
          <w:b w:val="0"/>
          <w:bCs/>
          <w:color w:val="auto"/>
          <w:sz w:val="21"/>
          <w:szCs w:val="21"/>
          <w:highlight w:val="none"/>
          <w:lang w:val="en-US" w:eastAsia="zh-CN"/>
        </w:rPr>
        <w:t>为保证所投产品的（全彩枪机网络摄像机、汇聚交换机、分支交换机、大路数NVR、存储设备）稳定，可靠，提供产品制造商针对上述产品的授权及质保函得2.5分。</w:t>
      </w:r>
    </w:p>
    <w:p>
      <w:pPr>
        <w:pStyle w:val="26"/>
        <w:numPr>
          <w:ilvl w:val="0"/>
          <w:numId w:val="3"/>
        </w:numPr>
        <w:snapToGrid w:val="0"/>
        <w:spacing w:line="480" w:lineRule="exact"/>
        <w:ind w:left="0" w:leftChars="0" w:firstLine="420" w:firstLineChars="0"/>
        <w:rPr>
          <w:rFonts w:hAnsi="宋体"/>
          <w:b/>
          <w:color w:val="000000"/>
          <w:sz w:val="21"/>
          <w:szCs w:val="21"/>
        </w:rPr>
      </w:pPr>
      <w:r>
        <w:rPr>
          <w:rFonts w:hint="eastAsia" w:hAnsi="宋体"/>
          <w:b/>
          <w:color w:val="000000"/>
          <w:sz w:val="21"/>
          <w:szCs w:val="21"/>
        </w:rPr>
        <w:t>其他</w:t>
      </w:r>
      <w:r>
        <w:rPr>
          <w:rFonts w:hAnsi="宋体"/>
          <w:b/>
          <w:color w:val="000000"/>
          <w:sz w:val="21"/>
          <w:szCs w:val="21"/>
        </w:rPr>
        <w:t>得分（</w:t>
      </w:r>
      <w:r>
        <w:rPr>
          <w:rFonts w:hint="eastAsia" w:hAnsi="宋体"/>
          <w:b/>
          <w:color w:val="000000"/>
          <w:sz w:val="21"/>
          <w:szCs w:val="21"/>
        </w:rPr>
        <w:t>2</w:t>
      </w:r>
      <w:r>
        <w:rPr>
          <w:rFonts w:hAnsi="宋体"/>
          <w:b/>
          <w:color w:val="000000"/>
          <w:sz w:val="21"/>
          <w:szCs w:val="21"/>
        </w:rPr>
        <w:t>分）</w:t>
      </w:r>
    </w:p>
    <w:p>
      <w:pPr>
        <w:pStyle w:val="26"/>
        <w:snapToGrid w:val="0"/>
        <w:spacing w:line="480" w:lineRule="exact"/>
        <w:ind w:firstLine="525" w:firstLineChars="250"/>
        <w:rPr>
          <w:rFonts w:hAnsi="宋体"/>
          <w:sz w:val="21"/>
          <w:szCs w:val="21"/>
        </w:rPr>
      </w:pPr>
      <w:r>
        <w:rPr>
          <w:rFonts w:hint="eastAsia" w:hAnsi="宋体"/>
          <w:color w:val="000000"/>
          <w:sz w:val="21"/>
          <w:szCs w:val="21"/>
        </w:rPr>
        <w:t>1、</w:t>
      </w:r>
      <w:r>
        <w:rPr>
          <w:rFonts w:hint="eastAsia" w:hAnsi="宋体"/>
          <w:sz w:val="21"/>
          <w:szCs w:val="21"/>
        </w:rPr>
        <w:t>投标文件的编制：是否按招标文件规定提供所有内容，最高为0.5分；是否有投标文件目录，最高为0.5分；投标文件是否有编页码，最高为0.5分；是否有“评标引索页”，有利于评委评审、查阅，最高为0.5分。</w:t>
      </w:r>
    </w:p>
    <w:p>
      <w:pPr>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
      <w:pPr>
        <w:pStyle w:val="3"/>
        <w:spacing w:line="360" w:lineRule="auto"/>
        <w:rPr>
          <w:rFonts w:ascii="宋体" w:hAnsi="宋体" w:eastAsia="宋体"/>
        </w:rPr>
      </w:pPr>
      <w:bookmarkStart w:id="473" w:name="_Toc21439"/>
      <w:bookmarkStart w:id="474" w:name="_Toc511142498"/>
      <w:bookmarkStart w:id="475" w:name="_Toc387526240"/>
      <w:bookmarkStart w:id="476" w:name="_Toc246996252"/>
      <w:bookmarkStart w:id="477" w:name="_Toc17692"/>
      <w:bookmarkStart w:id="478" w:name="_Toc144974577"/>
      <w:bookmarkStart w:id="479" w:name="_Toc179632627"/>
      <w:bookmarkStart w:id="480" w:name="_Toc247085767"/>
      <w:bookmarkStart w:id="481" w:name="_Toc152045609"/>
      <w:bookmarkStart w:id="482" w:name="_Toc366679736"/>
      <w:bookmarkStart w:id="483" w:name="_Toc387526344"/>
      <w:bookmarkStart w:id="484" w:name="_Toc387526436"/>
      <w:bookmarkStart w:id="485" w:name="_Toc152042387"/>
      <w:bookmarkStart w:id="486" w:name="_Toc246996995"/>
      <w:r>
        <w:rPr>
          <w:rFonts w:hint="eastAsia" w:hAnsi="宋体" w:eastAsia="宋体"/>
          <w:sz w:val="21"/>
          <w:szCs w:val="21"/>
          <w:lang w:val="en-US" w:eastAsia="zh-CN"/>
        </w:rPr>
        <w:t xml:space="preserve">  </w:t>
      </w:r>
      <w:bookmarkStart w:id="487" w:name="_Toc25353"/>
      <w:r>
        <w:rPr>
          <w:rFonts w:ascii="宋体" w:hAnsi="宋体" w:eastAsia="宋体"/>
        </w:rPr>
        <w:t>3</w:t>
      </w:r>
      <w:r>
        <w:rPr>
          <w:rFonts w:hint="eastAsia" w:ascii="宋体" w:hAnsi="宋体" w:eastAsia="宋体"/>
        </w:rPr>
        <w:t>． 评标程序</w:t>
      </w:r>
      <w:bookmarkEnd w:id="473"/>
      <w:bookmarkEnd w:id="474"/>
      <w:bookmarkEnd w:id="487"/>
    </w:p>
    <w:p>
      <w:pPr>
        <w:pStyle w:val="4"/>
        <w:spacing w:line="400" w:lineRule="exact"/>
        <w:ind w:firstLine="103"/>
        <w:rPr>
          <w:sz w:val="21"/>
          <w:szCs w:val="21"/>
        </w:rPr>
      </w:pPr>
      <w:bookmarkStart w:id="488" w:name="_Toc397928606"/>
      <w:bookmarkStart w:id="489" w:name="_Toc18979"/>
      <w:bookmarkStart w:id="490" w:name="_Toc511142499"/>
      <w:bookmarkStart w:id="491" w:name="_Toc22907"/>
      <w:bookmarkStart w:id="492" w:name="_Toc8634"/>
      <w:r>
        <w:rPr>
          <w:kern w:val="0"/>
          <w:sz w:val="21"/>
          <w:szCs w:val="21"/>
        </w:rPr>
        <w:t xml:space="preserve">3.1 </w:t>
      </w:r>
      <w:r>
        <w:rPr>
          <w:rFonts w:hint="eastAsia"/>
          <w:kern w:val="0"/>
          <w:sz w:val="21"/>
          <w:szCs w:val="21"/>
        </w:rPr>
        <w:t>评标准备</w:t>
      </w:r>
      <w:bookmarkEnd w:id="488"/>
      <w:bookmarkEnd w:id="489"/>
      <w:bookmarkEnd w:id="490"/>
      <w:bookmarkEnd w:id="491"/>
      <w:bookmarkEnd w:id="492"/>
    </w:p>
    <w:p>
      <w:pPr>
        <w:autoSpaceDE w:val="0"/>
        <w:autoSpaceDN w:val="0"/>
        <w:spacing w:line="400" w:lineRule="exact"/>
        <w:ind w:firstLine="420" w:firstLineChars="200"/>
        <w:jc w:val="left"/>
        <w:rPr>
          <w:kern w:val="0"/>
          <w:szCs w:val="21"/>
        </w:rPr>
      </w:pPr>
      <w:r>
        <w:rPr>
          <w:rFonts w:hint="eastAsia" w:ascii="宋体" w:hAnsi="宋体"/>
          <w:kern w:val="0"/>
          <w:szCs w:val="21"/>
        </w:rPr>
        <w:t>3.1.1 评标委员会成员到达评标现场时应在签到表上签到</w:t>
      </w:r>
      <w:r>
        <w:rPr>
          <w:rFonts w:hint="eastAsia" w:ascii="宋体" w:hAnsi="TimesNewRomanPSMT" w:cs="宋体"/>
          <w:kern w:val="0"/>
          <w:szCs w:val="21"/>
        </w:rPr>
        <w:t>（或通过门禁系统签到）</w:t>
      </w:r>
      <w:r>
        <w:rPr>
          <w:rFonts w:hint="eastAsia" w:ascii="宋体" w:hAnsi="宋体"/>
          <w:kern w:val="0"/>
          <w:szCs w:val="21"/>
        </w:rPr>
        <w:t>以证明其出席。</w:t>
      </w:r>
    </w:p>
    <w:p>
      <w:pPr>
        <w:autoSpaceDE w:val="0"/>
        <w:autoSpaceDN w:val="0"/>
        <w:spacing w:line="400" w:lineRule="exact"/>
        <w:ind w:firstLine="420" w:firstLineChars="200"/>
        <w:jc w:val="left"/>
        <w:rPr>
          <w:kern w:val="0"/>
          <w:szCs w:val="21"/>
        </w:rPr>
      </w:pPr>
      <w:r>
        <w:rPr>
          <w:rFonts w:hint="eastAsia" w:ascii="宋体" w:hAnsi="宋体"/>
          <w:kern w:val="0"/>
          <w:szCs w:val="21"/>
        </w:rPr>
        <w:t>3.1.2 评标委员会成员首先推选一名评标委员会负责人，负责评标活动的组织领导工作。</w:t>
      </w:r>
    </w:p>
    <w:p>
      <w:pPr>
        <w:autoSpaceDE w:val="0"/>
        <w:autoSpaceDN w:val="0"/>
        <w:spacing w:line="400" w:lineRule="exact"/>
        <w:ind w:firstLine="420" w:firstLineChars="200"/>
        <w:jc w:val="left"/>
        <w:rPr>
          <w:kern w:val="0"/>
          <w:szCs w:val="21"/>
        </w:rPr>
      </w:pPr>
      <w:r>
        <w:rPr>
          <w:rFonts w:hint="eastAsia" w:ascii="宋体" w:hAnsi="宋体"/>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pStyle w:val="4"/>
        <w:spacing w:line="400" w:lineRule="exact"/>
        <w:ind w:firstLine="103"/>
        <w:rPr>
          <w:sz w:val="21"/>
          <w:szCs w:val="21"/>
        </w:rPr>
      </w:pPr>
      <w:bookmarkStart w:id="493" w:name="_Toc19211"/>
      <w:bookmarkStart w:id="494" w:name="_Toc21357"/>
      <w:bookmarkStart w:id="495" w:name="_Toc6331"/>
      <w:bookmarkStart w:id="496" w:name="_Toc511142500"/>
      <w:bookmarkStart w:id="497" w:name="_Toc397928607"/>
      <w:r>
        <w:rPr>
          <w:sz w:val="21"/>
          <w:szCs w:val="21"/>
        </w:rPr>
        <w:t xml:space="preserve">3.2 </w:t>
      </w:r>
      <w:r>
        <w:rPr>
          <w:rFonts w:hint="eastAsia"/>
          <w:sz w:val="21"/>
          <w:szCs w:val="21"/>
        </w:rPr>
        <w:t>初步评审</w:t>
      </w:r>
      <w:bookmarkEnd w:id="493"/>
      <w:bookmarkEnd w:id="494"/>
      <w:bookmarkEnd w:id="495"/>
      <w:bookmarkEnd w:id="496"/>
      <w:bookmarkEnd w:id="497"/>
    </w:p>
    <w:p>
      <w:pPr>
        <w:spacing w:line="400" w:lineRule="exact"/>
        <w:ind w:firstLine="420" w:firstLineChars="200"/>
        <w:rPr>
          <w:rFonts w:ascii="宋体" w:hAnsi="宋体"/>
          <w:szCs w:val="21"/>
        </w:rPr>
      </w:pPr>
      <w:r>
        <w:rPr>
          <w:rFonts w:hint="eastAsia" w:ascii="宋体" w:hAnsi="宋体"/>
          <w:szCs w:val="21"/>
        </w:rPr>
        <w:t>3.2.1评标委员会依据本章第2.1 款规定的标准对投标文件进行初步评审。</w:t>
      </w:r>
    </w:p>
    <w:p>
      <w:pPr>
        <w:spacing w:line="400" w:lineRule="exact"/>
        <w:ind w:firstLine="420" w:firstLineChars="200"/>
        <w:rPr>
          <w:rFonts w:ascii="宋体" w:hAnsi="宋体"/>
          <w:szCs w:val="21"/>
        </w:rPr>
      </w:pPr>
      <w:r>
        <w:rPr>
          <w:rFonts w:hint="eastAsia" w:ascii="宋体" w:hAnsi="宋体"/>
          <w:szCs w:val="21"/>
        </w:rPr>
        <w:t>3.2.2投标文件不符合本章第2.1款评审标准的，属于重大偏差，视为未能对招标文件作出实质性响应，应当作为无效投标予以否决。</w:t>
      </w:r>
    </w:p>
    <w:p>
      <w:pPr>
        <w:spacing w:line="400" w:lineRule="exact"/>
        <w:ind w:firstLine="420" w:firstLineChars="200"/>
        <w:rPr>
          <w:rFonts w:ascii="宋体" w:hAnsi="宋体"/>
          <w:szCs w:val="21"/>
        </w:rPr>
      </w:pPr>
      <w:r>
        <w:rPr>
          <w:rFonts w:hint="eastAsia" w:ascii="宋体" w:hAnsi="宋体"/>
          <w:szCs w:val="21"/>
        </w:rPr>
        <w:t>3.2.3对照投标人须知6.5款，投标文件有上述情况之一，视为未能对招标文件作出实质性响应，凡招标文件未明确标明无效标条款的，</w:t>
      </w:r>
      <w:r>
        <w:rPr>
          <w:rFonts w:ascii="宋体" w:hAnsi="宋体"/>
          <w:szCs w:val="21"/>
        </w:rPr>
        <w:t>评标委员会</w:t>
      </w:r>
      <w:r>
        <w:rPr>
          <w:rFonts w:hint="eastAsia" w:ascii="宋体" w:hAnsi="宋体"/>
          <w:szCs w:val="21"/>
        </w:rPr>
        <w:t>不得作为判定无效投标的依据。</w:t>
      </w:r>
    </w:p>
    <w:p>
      <w:pPr>
        <w:spacing w:line="400" w:lineRule="exact"/>
        <w:ind w:firstLine="420" w:firstLineChars="200"/>
        <w:rPr>
          <w:szCs w:val="21"/>
        </w:rPr>
      </w:pPr>
      <w:r>
        <w:rPr>
          <w:rFonts w:hint="eastAsia" w:ascii="宋体" w:hAnsi="宋体"/>
          <w:szCs w:val="21"/>
        </w:rPr>
        <w:t>3.2.4 投标报价有算术错误的，评标委员会按以下原则对投标报价进行修正，修正的价格经投标人书面确认后具有约束力。</w:t>
      </w:r>
    </w:p>
    <w:p>
      <w:pPr>
        <w:spacing w:line="400" w:lineRule="exact"/>
        <w:ind w:firstLine="420" w:firstLineChars="200"/>
        <w:rPr>
          <w:szCs w:val="21"/>
        </w:rPr>
      </w:pPr>
      <w:r>
        <w:rPr>
          <w:rFonts w:hint="eastAsia" w:ascii="宋体" w:hAnsi="宋体"/>
          <w:szCs w:val="21"/>
        </w:rPr>
        <w:t>(1）投标文件中的大写金额与小写金额不一致的，以大写金额为准；</w:t>
      </w:r>
    </w:p>
    <w:p>
      <w:pPr>
        <w:spacing w:line="400" w:lineRule="exact"/>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pPr>
        <w:spacing w:line="400" w:lineRule="exact"/>
        <w:ind w:firstLine="420" w:firstLineChars="200"/>
        <w:rPr>
          <w:rFonts w:ascii="宋体" w:hAnsi="宋体"/>
          <w:szCs w:val="21"/>
        </w:rPr>
      </w:pPr>
      <w:r>
        <w:rPr>
          <w:rFonts w:hint="eastAsia" w:ascii="宋体" w:hAnsi="宋体"/>
          <w:szCs w:val="21"/>
        </w:rPr>
        <w:t>3.2.5只有通过初步评审的投标文件才能进入详细评审。</w:t>
      </w:r>
    </w:p>
    <w:p>
      <w:pPr>
        <w:pStyle w:val="4"/>
        <w:spacing w:line="400" w:lineRule="exact"/>
        <w:ind w:firstLine="103"/>
        <w:rPr>
          <w:sz w:val="21"/>
          <w:szCs w:val="21"/>
        </w:rPr>
      </w:pPr>
      <w:bookmarkStart w:id="498" w:name="_Toc511142501"/>
      <w:bookmarkStart w:id="499" w:name="_Toc7389"/>
      <w:bookmarkStart w:id="500" w:name="_Toc397928608"/>
      <w:bookmarkStart w:id="501" w:name="_Toc4255"/>
      <w:bookmarkStart w:id="502" w:name="_Toc609"/>
      <w:r>
        <w:rPr>
          <w:sz w:val="21"/>
          <w:szCs w:val="21"/>
        </w:rPr>
        <w:t xml:space="preserve">3.3 </w:t>
      </w:r>
      <w:r>
        <w:rPr>
          <w:rFonts w:hint="eastAsia"/>
          <w:sz w:val="21"/>
          <w:szCs w:val="21"/>
        </w:rPr>
        <w:t>详细评审</w:t>
      </w:r>
      <w:bookmarkEnd w:id="498"/>
      <w:bookmarkEnd w:id="499"/>
      <w:bookmarkEnd w:id="500"/>
      <w:bookmarkEnd w:id="501"/>
      <w:bookmarkEnd w:id="502"/>
    </w:p>
    <w:p>
      <w:pPr>
        <w:spacing w:line="400" w:lineRule="exact"/>
        <w:ind w:firstLine="420" w:firstLineChars="200"/>
        <w:rPr>
          <w:szCs w:val="21"/>
        </w:rPr>
      </w:pPr>
      <w:r>
        <w:rPr>
          <w:rFonts w:hint="eastAsia"/>
          <w:szCs w:val="21"/>
        </w:rPr>
        <w:t>3.3.1 在详细评审发现符合“无效标书条款”的，应当作为无效投标予以否决，其投标报价亦不作为评标基准价A值的依据。</w:t>
      </w:r>
    </w:p>
    <w:p>
      <w:pPr>
        <w:spacing w:line="400" w:lineRule="exact"/>
        <w:ind w:firstLine="420" w:firstLineChars="200"/>
        <w:rPr>
          <w:szCs w:val="21"/>
        </w:rPr>
      </w:pPr>
      <w:r>
        <w:rPr>
          <w:rFonts w:hint="eastAsia"/>
          <w:szCs w:val="21"/>
        </w:rPr>
        <w:t>3.3.2 评标委员会按本章第2.2款规定的量化因素和分值进行打分，并计算出综合评估得分。</w:t>
      </w:r>
    </w:p>
    <w:p>
      <w:pPr>
        <w:spacing w:line="400" w:lineRule="exact"/>
        <w:ind w:firstLine="420" w:firstLineChars="200"/>
        <w:rPr>
          <w:szCs w:val="21"/>
        </w:rPr>
      </w:pPr>
      <w:r>
        <w:rPr>
          <w:rFonts w:hint="eastAsia"/>
          <w:szCs w:val="21"/>
        </w:rPr>
        <w:t>3.3.3 评分分值计算保留小数点后两位，小数点后第三位“四舍五入”。</w:t>
      </w:r>
    </w:p>
    <w:p>
      <w:pPr>
        <w:pStyle w:val="4"/>
        <w:spacing w:line="400" w:lineRule="exact"/>
        <w:ind w:firstLine="103"/>
        <w:rPr>
          <w:sz w:val="21"/>
          <w:szCs w:val="21"/>
        </w:rPr>
      </w:pPr>
      <w:bookmarkStart w:id="503" w:name="_Toc5826"/>
      <w:bookmarkStart w:id="504" w:name="_Toc511142502"/>
      <w:bookmarkStart w:id="505" w:name="_Toc397928609"/>
      <w:bookmarkStart w:id="506" w:name="_Toc22577"/>
      <w:bookmarkStart w:id="507" w:name="_Toc12932"/>
      <w:r>
        <w:rPr>
          <w:sz w:val="21"/>
          <w:szCs w:val="21"/>
        </w:rPr>
        <w:t xml:space="preserve">3.4 </w:t>
      </w:r>
      <w:r>
        <w:rPr>
          <w:rFonts w:hint="eastAsia"/>
          <w:sz w:val="21"/>
          <w:szCs w:val="21"/>
        </w:rPr>
        <w:t>投标文件的澄清和补正</w:t>
      </w:r>
      <w:bookmarkEnd w:id="503"/>
      <w:bookmarkEnd w:id="504"/>
      <w:bookmarkEnd w:id="505"/>
      <w:bookmarkEnd w:id="506"/>
      <w:bookmarkEnd w:id="507"/>
    </w:p>
    <w:p>
      <w:pPr>
        <w:spacing w:line="400" w:lineRule="exact"/>
        <w:ind w:firstLine="420" w:firstLineChars="200"/>
        <w:rPr>
          <w:szCs w:val="21"/>
        </w:rPr>
      </w:pPr>
      <w:r>
        <w:rPr>
          <w:rFonts w:hint="eastAsia" w:ascii="宋体" w:hAnsi="宋体"/>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szCs w:val="21"/>
        </w:rPr>
      </w:pPr>
      <w:r>
        <w:rPr>
          <w:rFonts w:hint="eastAsia" w:ascii="宋体" w:hAnsi="宋体"/>
          <w:szCs w:val="21"/>
        </w:rPr>
        <w:t>3.4.2 澄清、说明和补正不得改变投标文件的实质性内容（算术性错误修正的除外）。投标人的书面澄清、说明和补正属于投标文件的组成部分。</w:t>
      </w:r>
    </w:p>
    <w:p>
      <w:pPr>
        <w:spacing w:line="400" w:lineRule="exact"/>
        <w:ind w:firstLine="420" w:firstLineChars="200"/>
        <w:rPr>
          <w:szCs w:val="21"/>
        </w:rPr>
      </w:pPr>
      <w:r>
        <w:rPr>
          <w:rFonts w:hint="eastAsia" w:ascii="宋体" w:hAnsi="宋体"/>
          <w:szCs w:val="21"/>
        </w:rPr>
        <w:t>3.4.3 评标委员会对投标人提交的澄清、说明或补正有疑问的，可以要求投标人进一步澄清、说明或补正。</w:t>
      </w:r>
    </w:p>
    <w:p>
      <w:pPr>
        <w:pStyle w:val="4"/>
        <w:spacing w:line="400" w:lineRule="exact"/>
        <w:ind w:firstLine="103"/>
        <w:rPr>
          <w:b/>
          <w:kern w:val="0"/>
          <w:sz w:val="21"/>
          <w:szCs w:val="21"/>
        </w:rPr>
      </w:pPr>
      <w:bookmarkStart w:id="508" w:name="_Toc29288"/>
      <w:bookmarkStart w:id="509" w:name="_Toc511142503"/>
      <w:bookmarkStart w:id="510" w:name="_Toc25145"/>
      <w:bookmarkStart w:id="511" w:name="_Toc397928610"/>
      <w:bookmarkStart w:id="512" w:name="_Toc21075"/>
      <w:r>
        <w:rPr>
          <w:rFonts w:hint="eastAsia"/>
          <w:sz w:val="21"/>
          <w:szCs w:val="21"/>
        </w:rPr>
        <w:t>3.5 推荐中标候选人或直接确定中标人</w:t>
      </w:r>
      <w:bookmarkEnd w:id="508"/>
      <w:bookmarkEnd w:id="509"/>
      <w:bookmarkEnd w:id="510"/>
      <w:bookmarkEnd w:id="511"/>
      <w:bookmarkEnd w:id="512"/>
    </w:p>
    <w:p>
      <w:pPr>
        <w:autoSpaceDE w:val="0"/>
        <w:autoSpaceDN w:val="0"/>
        <w:spacing w:line="400" w:lineRule="exact"/>
        <w:ind w:firstLine="420" w:firstLineChars="200"/>
        <w:jc w:val="left"/>
        <w:rPr>
          <w:rFonts w:ascii="宋体" w:hAnsi="TimesNewRomanPSMT"/>
          <w:kern w:val="0"/>
          <w:szCs w:val="21"/>
        </w:rPr>
      </w:pPr>
      <w:r>
        <w:rPr>
          <w:rFonts w:hint="eastAsia" w:ascii="宋体" w:hAnsi="宋体"/>
          <w:szCs w:val="21"/>
        </w:rPr>
        <w:t xml:space="preserve">3.5.1 </w:t>
      </w:r>
      <w:r>
        <w:rPr>
          <w:rFonts w:hint="eastAsia" w:ascii="宋体" w:hAnsi="TimesNewRomanPSMT"/>
          <w:kern w:val="0"/>
          <w:szCs w:val="21"/>
        </w:rPr>
        <w:t>除投标人须知前附表授权直接确定中标人外，评标委员会在推荐中标候选人时，应遵照以下原则:</w:t>
      </w:r>
    </w:p>
    <w:p>
      <w:pPr>
        <w:autoSpaceDE w:val="0"/>
        <w:autoSpaceDN w:val="0"/>
        <w:spacing w:line="400" w:lineRule="exact"/>
        <w:ind w:firstLine="420" w:firstLineChars="200"/>
        <w:jc w:val="left"/>
        <w:rPr>
          <w:rFonts w:ascii="宋体" w:hAnsi="TimesNewRomanPSMT"/>
          <w:kern w:val="0"/>
          <w:szCs w:val="21"/>
        </w:rPr>
      </w:pPr>
      <w:r>
        <w:rPr>
          <w:rFonts w:hint="eastAsia" w:ascii="宋体" w:hAnsi="TimesNewRomanPSMT"/>
          <w:kern w:val="0"/>
          <w:szCs w:val="21"/>
        </w:rPr>
        <w:t>评标委员会按照最终得分由高至低的次序排列，并根据投标人须知前附表规定的中标候选人数量，将排序在前的投标人推荐为中标候选人。</w:t>
      </w:r>
    </w:p>
    <w:p>
      <w:pPr>
        <w:pStyle w:val="4"/>
        <w:spacing w:line="400" w:lineRule="exact"/>
        <w:ind w:firstLine="103"/>
        <w:rPr>
          <w:sz w:val="21"/>
          <w:szCs w:val="21"/>
        </w:rPr>
      </w:pPr>
      <w:bookmarkStart w:id="513" w:name="_Toc25834"/>
      <w:bookmarkStart w:id="514" w:name="_Toc511142504"/>
      <w:bookmarkStart w:id="515" w:name="_Toc27809"/>
      <w:bookmarkStart w:id="516" w:name="_Toc397928611"/>
      <w:r>
        <w:rPr>
          <w:rFonts w:hint="eastAsia"/>
          <w:sz w:val="21"/>
          <w:szCs w:val="21"/>
        </w:rPr>
        <w:t>3.6 提交评标报告</w:t>
      </w:r>
      <w:bookmarkEnd w:id="513"/>
      <w:bookmarkEnd w:id="514"/>
      <w:bookmarkEnd w:id="515"/>
      <w:bookmarkEnd w:id="516"/>
      <w:r>
        <w:rPr>
          <w:rFonts w:hint="eastAsia"/>
          <w:sz w:val="21"/>
          <w:szCs w:val="21"/>
        </w:rPr>
        <w:t xml:space="preserve"> </w:t>
      </w:r>
    </w:p>
    <w:p>
      <w:pPr>
        <w:autoSpaceDE w:val="0"/>
        <w:autoSpaceDN w:val="0"/>
        <w:spacing w:line="400" w:lineRule="exact"/>
        <w:ind w:firstLine="420" w:firstLineChars="200"/>
        <w:jc w:val="left"/>
        <w:rPr>
          <w:rFonts w:ascii="宋体" w:hAnsi="TimesNewRomanPSMT"/>
          <w:kern w:val="0"/>
          <w:szCs w:val="21"/>
        </w:rPr>
      </w:pPr>
      <w:r>
        <w:rPr>
          <w:rFonts w:hint="eastAsia" w:ascii="宋体" w:hAnsi="TimesNewRomanPSMT"/>
          <w:kern w:val="0"/>
          <w:szCs w:val="21"/>
        </w:rPr>
        <w:t>评标委员会完成评标后，应当向招标人提交书面评标报告。评标报告应当由全体评标委员会成员签字，并于评标结束时抄送有关行政监督部门。</w:t>
      </w:r>
    </w:p>
    <w:p>
      <w:pPr>
        <w:pStyle w:val="3"/>
        <w:spacing w:line="360" w:lineRule="auto"/>
        <w:rPr>
          <w:rFonts w:ascii="宋体" w:hAnsi="宋体" w:eastAsia="宋体"/>
        </w:rPr>
      </w:pPr>
      <w:bookmarkStart w:id="517" w:name="_Toc20986"/>
      <w:bookmarkStart w:id="518" w:name="_Toc28903"/>
      <w:bookmarkStart w:id="519" w:name="_Toc511142505"/>
      <w:r>
        <w:rPr>
          <w:rFonts w:hint="eastAsia" w:ascii="宋体" w:hAnsi="宋体" w:eastAsia="宋体"/>
        </w:rPr>
        <w:t>4． 通用评标规则</w:t>
      </w:r>
      <w:bookmarkEnd w:id="517"/>
      <w:bookmarkEnd w:id="518"/>
      <w:bookmarkEnd w:id="519"/>
    </w:p>
    <w:p>
      <w:pPr>
        <w:pStyle w:val="4"/>
        <w:spacing w:line="400" w:lineRule="exact"/>
        <w:ind w:firstLine="103"/>
        <w:rPr>
          <w:sz w:val="21"/>
          <w:szCs w:val="21"/>
        </w:rPr>
      </w:pPr>
      <w:bookmarkStart w:id="520" w:name="_Toc28019"/>
      <w:bookmarkStart w:id="521" w:name="_Toc24789"/>
      <w:bookmarkStart w:id="522" w:name="_Toc511142506"/>
      <w:r>
        <w:rPr>
          <w:rFonts w:hint="eastAsia"/>
          <w:sz w:val="21"/>
          <w:szCs w:val="21"/>
        </w:rPr>
        <w:t>4.1 评标程序</w:t>
      </w:r>
      <w:bookmarkEnd w:id="520"/>
      <w:bookmarkEnd w:id="521"/>
      <w:bookmarkEnd w:id="522"/>
    </w:p>
    <w:p>
      <w:pPr>
        <w:snapToGrid w:val="0"/>
        <w:spacing w:line="400" w:lineRule="exact"/>
        <w:ind w:firstLine="420" w:firstLineChars="200"/>
        <w:rPr>
          <w:rFonts w:hAnsi="黑体" w:eastAsia="黑体"/>
          <w:kern w:val="0"/>
          <w:szCs w:val="21"/>
        </w:rPr>
      </w:pPr>
      <w:r>
        <w:rPr>
          <w:rFonts w:hint="eastAsia" w:ascii="宋体" w:hAnsi="TimesNewRomanPSMT"/>
          <w:kern w:val="0"/>
          <w:szCs w:val="21"/>
        </w:rPr>
        <w:t>资质标、商务标、技术标应分别评审，评审后不得更改。</w:t>
      </w:r>
    </w:p>
    <w:p>
      <w:pPr>
        <w:pStyle w:val="4"/>
        <w:spacing w:line="400" w:lineRule="exact"/>
        <w:ind w:firstLine="103"/>
        <w:rPr>
          <w:sz w:val="21"/>
          <w:szCs w:val="21"/>
        </w:rPr>
      </w:pPr>
      <w:bookmarkStart w:id="523" w:name="_Toc9345"/>
      <w:bookmarkStart w:id="524" w:name="_Toc16440"/>
      <w:bookmarkStart w:id="525" w:name="_Toc511142507"/>
      <w:r>
        <w:rPr>
          <w:rFonts w:hint="eastAsia"/>
          <w:sz w:val="21"/>
          <w:szCs w:val="21"/>
        </w:rPr>
        <w:t>4.2不规范标书</w:t>
      </w:r>
      <w:bookmarkEnd w:id="523"/>
      <w:bookmarkEnd w:id="524"/>
      <w:bookmarkEnd w:id="525"/>
    </w:p>
    <w:p>
      <w:pPr>
        <w:snapToGrid w:val="0"/>
        <w:spacing w:line="400" w:lineRule="exact"/>
        <w:ind w:firstLine="420" w:firstLineChars="200"/>
        <w:rPr>
          <w:rFonts w:ascii="宋体" w:hAnsi="TimesNewRomanPSMT"/>
          <w:kern w:val="0"/>
          <w:szCs w:val="21"/>
        </w:rPr>
      </w:pPr>
      <w:r>
        <w:rPr>
          <w:rFonts w:hint="eastAsia" w:ascii="宋体" w:hAnsi="TimesNewRomanPSMT"/>
          <w:kern w:val="0"/>
          <w:szCs w:val="21"/>
        </w:rPr>
        <w:t>评标审查中有发现投标书或投标人行为属不规范者，评标办法采用综合评分法的，且无法形成无效投标的，经评标委员会认定后扣减0.3—2分。</w:t>
      </w:r>
    </w:p>
    <w:p>
      <w:pPr>
        <w:pStyle w:val="4"/>
        <w:spacing w:line="400" w:lineRule="exact"/>
        <w:ind w:firstLine="103"/>
        <w:rPr>
          <w:rFonts w:ascii="宋体" w:hAnsi="TimesNewRomanPSMT"/>
          <w:kern w:val="0"/>
          <w:sz w:val="21"/>
          <w:szCs w:val="21"/>
        </w:rPr>
      </w:pPr>
      <w:bookmarkStart w:id="526" w:name="_Toc511142508"/>
      <w:bookmarkStart w:id="527" w:name="_Toc16888"/>
      <w:bookmarkStart w:id="528" w:name="_Toc12505"/>
      <w:r>
        <w:rPr>
          <w:rFonts w:hint="eastAsia"/>
          <w:sz w:val="21"/>
          <w:szCs w:val="21"/>
        </w:rPr>
        <w:t>4.3计价文件评审规定</w:t>
      </w:r>
      <w:bookmarkEnd w:id="526"/>
      <w:bookmarkEnd w:id="527"/>
      <w:bookmarkEnd w:id="528"/>
    </w:p>
    <w:p>
      <w:pPr>
        <w:snapToGrid w:val="0"/>
        <w:spacing w:line="400" w:lineRule="exact"/>
        <w:ind w:firstLine="420" w:firstLineChars="200"/>
        <w:rPr>
          <w:rFonts w:ascii="宋体" w:hAnsi="TimesNewRomanPSMT"/>
          <w:kern w:val="0"/>
          <w:szCs w:val="21"/>
        </w:rPr>
      </w:pPr>
      <w:r>
        <w:rPr>
          <w:rFonts w:hint="eastAsia" w:ascii="宋体" w:hAnsi="TimesNewRomanPSMT"/>
          <w:kern w:val="0"/>
          <w:szCs w:val="21"/>
        </w:rPr>
        <w:t>评标委员会认为投标人的投标报价有可能低于其个别成本时，应当要求投标人以书面方式作出澄清，并提供相关证明材料后再进行认定。</w:t>
      </w:r>
    </w:p>
    <w:p>
      <w:pPr>
        <w:pStyle w:val="4"/>
        <w:spacing w:line="400" w:lineRule="exact"/>
        <w:ind w:firstLine="103"/>
        <w:rPr>
          <w:sz w:val="21"/>
          <w:szCs w:val="21"/>
        </w:rPr>
      </w:pPr>
      <w:bookmarkStart w:id="529" w:name="_Toc17555"/>
      <w:bookmarkStart w:id="530" w:name="_Toc511142509"/>
      <w:bookmarkStart w:id="531" w:name="_Toc7575"/>
      <w:r>
        <w:rPr>
          <w:rFonts w:hint="eastAsia"/>
          <w:sz w:val="21"/>
          <w:szCs w:val="21"/>
        </w:rPr>
        <w:t>4.4打分</w:t>
      </w:r>
      <w:bookmarkEnd w:id="529"/>
      <w:bookmarkEnd w:id="530"/>
      <w:bookmarkEnd w:id="531"/>
    </w:p>
    <w:p>
      <w:pPr>
        <w:snapToGrid w:val="0"/>
        <w:spacing w:line="400" w:lineRule="exact"/>
        <w:ind w:firstLine="420" w:firstLineChars="200"/>
        <w:rPr>
          <w:rFonts w:ascii="宋体" w:hAnsi="TimesNewRomanPSMT"/>
          <w:kern w:val="0"/>
          <w:szCs w:val="21"/>
        </w:rPr>
      </w:pPr>
      <w:r>
        <w:rPr>
          <w:rFonts w:hint="eastAsia" w:ascii="宋体" w:hAnsi="TimesNewRomanPSMT"/>
          <w:kern w:val="0"/>
          <w:szCs w:val="21"/>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pPr>
        <w:pStyle w:val="4"/>
        <w:numPr>
          <w:ins w:id="0" w:author="微软用户" w:date="2014-05-17T16:25:00Z"/>
        </w:numPr>
        <w:spacing w:line="400" w:lineRule="exact"/>
        <w:ind w:firstLine="103"/>
        <w:rPr>
          <w:sz w:val="21"/>
          <w:szCs w:val="21"/>
        </w:rPr>
      </w:pPr>
      <w:bookmarkStart w:id="532" w:name="_Toc11886"/>
      <w:bookmarkStart w:id="533" w:name="_Toc28457"/>
      <w:bookmarkStart w:id="534" w:name="_Toc511142510"/>
      <w:r>
        <w:rPr>
          <w:rFonts w:hint="eastAsia"/>
          <w:sz w:val="21"/>
          <w:szCs w:val="21"/>
        </w:rPr>
        <w:t>4.5争议处理</w:t>
      </w:r>
      <w:bookmarkEnd w:id="532"/>
      <w:bookmarkEnd w:id="533"/>
      <w:bookmarkEnd w:id="534"/>
    </w:p>
    <w:p>
      <w:pPr>
        <w:snapToGrid w:val="0"/>
        <w:spacing w:line="400" w:lineRule="exact"/>
        <w:rPr>
          <w:rFonts w:ascii="宋体" w:hAnsi="TimesNewRomanPSMT"/>
          <w:kern w:val="0"/>
          <w:szCs w:val="21"/>
        </w:rPr>
      </w:pPr>
      <w:r>
        <w:rPr>
          <w:rFonts w:hint="eastAsia" w:ascii="宋体" w:hAnsi="TimesNewRomanPSMT"/>
          <w:kern w:val="0"/>
          <w:szCs w:val="21"/>
        </w:rPr>
        <w:t xml:space="preserve">    评标中发生重大情况或重大争议，需要进一步调查了解、协调处理的，现场监督人员报招标投标管理部门同意后可暂时休会，待有关问题得到澄清后再行复会。休会期间，所有招投标资料一律封存盐城市大丰区公共资源交易中心档案室，所有与会人员一律不得泄露评标情况。</w:t>
      </w:r>
    </w:p>
    <w:p>
      <w:pPr>
        <w:pStyle w:val="4"/>
        <w:spacing w:line="400" w:lineRule="exact"/>
        <w:ind w:firstLine="103"/>
        <w:rPr>
          <w:sz w:val="21"/>
          <w:szCs w:val="21"/>
        </w:rPr>
      </w:pPr>
      <w:bookmarkStart w:id="535" w:name="_Toc21447"/>
      <w:bookmarkStart w:id="536" w:name="_Toc30718"/>
      <w:bookmarkStart w:id="537" w:name="_Toc511142511"/>
      <w:r>
        <w:rPr>
          <w:rFonts w:hint="eastAsia"/>
          <w:sz w:val="21"/>
          <w:szCs w:val="21"/>
        </w:rPr>
        <w:t>4.6违法违纪行为</w:t>
      </w:r>
      <w:bookmarkEnd w:id="535"/>
      <w:bookmarkEnd w:id="536"/>
      <w:bookmarkEnd w:id="537"/>
    </w:p>
    <w:p>
      <w:pPr>
        <w:spacing w:line="400" w:lineRule="exact"/>
        <w:ind w:firstLine="420" w:firstLineChars="200"/>
        <w:rPr>
          <w:rFonts w:ascii="宋体" w:hAnsi="TimesNewRomanPSMT"/>
          <w:kern w:val="0"/>
          <w:szCs w:val="21"/>
        </w:rPr>
      </w:pPr>
      <w:r>
        <w:rPr>
          <w:rFonts w:hint="eastAsia" w:ascii="宋体" w:hAnsi="TimesNewRomanPSMT"/>
          <w:kern w:val="0"/>
          <w:szCs w:val="21"/>
        </w:rPr>
        <w:t>在招投标过程中发生行贿受贿、扰乱招投标活动秩序及其他严重违法违纪行为的，一律取消有关责任人参与招投标活动的资格；影响评审结果的，应宣布评审结果无效。</w:t>
      </w:r>
    </w:p>
    <w:p>
      <w:pPr>
        <w:pStyle w:val="4"/>
        <w:spacing w:line="400" w:lineRule="exact"/>
        <w:ind w:firstLine="103"/>
        <w:rPr>
          <w:sz w:val="21"/>
          <w:szCs w:val="21"/>
        </w:rPr>
      </w:pPr>
      <w:bookmarkStart w:id="538" w:name="_Toc511142512"/>
      <w:bookmarkStart w:id="539" w:name="_Toc21297"/>
      <w:bookmarkStart w:id="540" w:name="_Toc22032"/>
      <w:r>
        <w:rPr>
          <w:rFonts w:hint="eastAsia"/>
          <w:sz w:val="21"/>
          <w:szCs w:val="21"/>
        </w:rPr>
        <w:t>4.7其它</w:t>
      </w:r>
      <w:bookmarkEnd w:id="538"/>
      <w:bookmarkEnd w:id="539"/>
      <w:bookmarkEnd w:id="540"/>
    </w:p>
    <w:p>
      <w:pPr>
        <w:spacing w:line="400" w:lineRule="exact"/>
        <w:ind w:firstLine="420" w:firstLineChars="200"/>
        <w:rPr>
          <w:rFonts w:ascii="宋体" w:hAnsi="TimesNewRomanPSMT"/>
          <w:b/>
          <w:kern w:val="0"/>
          <w:szCs w:val="21"/>
        </w:rPr>
      </w:pPr>
      <w:r>
        <w:rPr>
          <w:rFonts w:hint="eastAsia" w:ascii="宋体" w:hAnsi="TimesNewRomanPSMT"/>
          <w:b/>
          <w:kern w:val="0"/>
          <w:szCs w:val="21"/>
        </w:rPr>
        <w:t>在评审过程中，一旦发现招标文件中发现以下现象的，经评标委员会认定，删除该项评审或记分。</w:t>
      </w:r>
    </w:p>
    <w:p>
      <w:pPr>
        <w:spacing w:line="400" w:lineRule="exact"/>
        <w:ind w:firstLine="420" w:firstLineChars="200"/>
        <w:rPr>
          <w:rFonts w:ascii="宋体" w:hAnsi="TimesNewRomanPSMT"/>
          <w:b/>
          <w:kern w:val="0"/>
          <w:szCs w:val="21"/>
        </w:rPr>
      </w:pPr>
      <w:r>
        <w:rPr>
          <w:rFonts w:hint="eastAsia" w:ascii="宋体" w:hAnsi="TimesNewRomanPSMT"/>
          <w:b/>
          <w:kern w:val="0"/>
          <w:szCs w:val="21"/>
        </w:rPr>
        <w:t>（1）招标文件内容中某项条款，有明显倾向或歧视的；</w:t>
      </w:r>
    </w:p>
    <w:p>
      <w:pPr>
        <w:spacing w:line="400" w:lineRule="exact"/>
        <w:ind w:firstLine="420" w:firstLineChars="200"/>
        <w:rPr>
          <w:rFonts w:ascii="宋体" w:hAnsi="TimesNewRomanPSMT"/>
          <w:b/>
          <w:kern w:val="0"/>
          <w:szCs w:val="21"/>
        </w:rPr>
      </w:pPr>
      <w:r>
        <w:rPr>
          <w:rFonts w:hint="eastAsia" w:ascii="宋体" w:hAnsi="TimesNewRomanPSMT"/>
          <w:b/>
          <w:kern w:val="0"/>
          <w:szCs w:val="21"/>
        </w:rPr>
        <w:t>（2）招标文件内容中某项条款有多种解释的。</w:t>
      </w:r>
    </w:p>
    <w:p>
      <w:pPr>
        <w:spacing w:line="400" w:lineRule="exact"/>
        <w:ind w:firstLine="420" w:firstLineChars="200"/>
        <w:jc w:val="left"/>
        <w:rPr>
          <w:rFonts w:ascii="宋体" w:hAnsi="TimesNewRomanPSMT"/>
          <w:kern w:val="0"/>
          <w:szCs w:val="21"/>
        </w:rPr>
      </w:pPr>
      <w:r>
        <w:rPr>
          <w:rFonts w:hint="eastAsia" w:ascii="宋体" w:hAnsi="TimesNewRomanPSMT"/>
          <w:kern w:val="0"/>
          <w:szCs w:val="21"/>
        </w:rPr>
        <w:t>评标委员会对优、良、中分档记分的，必须先确定优、良、中档次，再独立记分。评标委员会在评审中意见不统一并可能影响结果的，请评委各自留下书面意见，并以少数服从多数形成结论。</w:t>
      </w:r>
    </w:p>
    <w:p>
      <w:pPr>
        <w:autoSpaceDE w:val="0"/>
        <w:autoSpaceDN w:val="0"/>
        <w:spacing w:line="360" w:lineRule="auto"/>
        <w:ind w:firstLine="420" w:firstLineChars="200"/>
        <w:rPr>
          <w:rFonts w:hint="eastAsia" w:ascii="宋体" w:hAnsi="TimesNewRomanPSMT"/>
          <w:kern w:val="0"/>
          <w:szCs w:val="21"/>
        </w:rPr>
      </w:pPr>
      <w:r>
        <w:rPr>
          <w:rFonts w:hint="eastAsia" w:ascii="宋体" w:hAnsi="TimesNewRomanPSMT"/>
          <w:kern w:val="0"/>
          <w:szCs w:val="21"/>
        </w:rPr>
        <w:t>经评审委员会评审，认为所有投标都不符合招标文件要求的，或符合的投标人少于三家的，可以否决所有投标；也可以根据《政府采购货物和服务招标投标管理办法》相关规定：“在评标期间，出现符合专业条件的供应商或者对招标文件作出实质性响应的供应商不足三家情形的，经相关主管部门同意，可以采取竞争性谈判方式”等条款评审，具体依据政府采购法第三十八条“竞争性谈判程序”执行。</w:t>
      </w:r>
    </w:p>
    <w:p>
      <w:pPr>
        <w:autoSpaceDE w:val="0"/>
        <w:autoSpaceDN w:val="0"/>
        <w:spacing w:line="360" w:lineRule="auto"/>
        <w:ind w:firstLine="420" w:firstLineChars="200"/>
        <w:rPr>
          <w:b/>
          <w:color w:val="000000"/>
          <w:kern w:val="0"/>
          <w:szCs w:val="21"/>
        </w:rPr>
      </w:pPr>
      <w:r>
        <w:rPr>
          <w:rFonts w:hint="eastAsia"/>
          <w:b/>
          <w:color w:val="000000"/>
          <w:kern w:val="0"/>
          <w:szCs w:val="21"/>
        </w:rPr>
        <w:t>根据《中华人民共和国政府采购法实施条例》第九条规定，评委评标前签订评标回避书，作为永久档案存档。</w:t>
      </w:r>
    </w:p>
    <w:p>
      <w:pPr>
        <w:autoSpaceDE w:val="0"/>
        <w:autoSpaceDN w:val="0"/>
        <w:spacing w:line="360" w:lineRule="auto"/>
        <w:ind w:firstLine="420" w:firstLineChars="200"/>
        <w:jc w:val="left"/>
        <w:rPr>
          <w:b/>
          <w:color w:val="000000"/>
          <w:kern w:val="0"/>
          <w:szCs w:val="21"/>
        </w:rPr>
      </w:pPr>
      <w:r>
        <w:rPr>
          <w:rFonts w:hint="eastAsia"/>
          <w:b/>
          <w:color w:val="000000"/>
          <w:kern w:val="0"/>
          <w:szCs w:val="21"/>
        </w:rPr>
        <w:t>评标回避书参考格式：</w:t>
      </w:r>
    </w:p>
    <w:p>
      <w:pPr>
        <w:autoSpaceDE w:val="0"/>
        <w:autoSpaceDN w:val="0"/>
        <w:spacing w:line="360" w:lineRule="auto"/>
        <w:ind w:firstLine="420" w:firstLineChars="200"/>
        <w:jc w:val="center"/>
        <w:rPr>
          <w:b/>
          <w:color w:val="000000"/>
          <w:kern w:val="0"/>
          <w:szCs w:val="21"/>
        </w:rPr>
      </w:pPr>
      <w:r>
        <w:rPr>
          <w:rFonts w:hint="eastAsia"/>
          <w:b/>
          <w:color w:val="000000"/>
          <w:kern w:val="0"/>
          <w:szCs w:val="21"/>
        </w:rPr>
        <w:t>评标回避书</w:t>
      </w:r>
    </w:p>
    <w:p>
      <w:pPr>
        <w:autoSpaceDE w:val="0"/>
        <w:autoSpaceDN w:val="0"/>
        <w:spacing w:line="360" w:lineRule="auto"/>
        <w:ind w:firstLine="420" w:firstLineChars="200"/>
        <w:rPr>
          <w:color w:val="000000"/>
          <w:szCs w:val="21"/>
        </w:rPr>
      </w:pPr>
      <w:r>
        <w:rPr>
          <w:rFonts w:hint="eastAsia"/>
          <w:color w:val="000000"/>
          <w:szCs w:val="21"/>
        </w:rPr>
        <w:t>根据《中华人民共和国政府采购法实施条例》第九条规定，在政府采购活动中，采购人员及相关人员与供应商有下列利害关系之一的，应当回避：</w:t>
      </w:r>
    </w:p>
    <w:p>
      <w:pPr>
        <w:autoSpaceDE w:val="0"/>
        <w:autoSpaceDN w:val="0"/>
        <w:spacing w:line="360" w:lineRule="auto"/>
        <w:ind w:firstLine="420" w:firstLineChars="200"/>
        <w:rPr>
          <w:color w:val="000000"/>
          <w:szCs w:val="21"/>
        </w:rPr>
      </w:pPr>
      <w:r>
        <w:rPr>
          <w:rFonts w:hint="eastAsia"/>
          <w:color w:val="000000"/>
          <w:szCs w:val="21"/>
        </w:rPr>
        <w:t>　　（一）参加采购活动前3年内与供应商存在劳动关系；</w:t>
      </w:r>
    </w:p>
    <w:p>
      <w:pPr>
        <w:autoSpaceDE w:val="0"/>
        <w:autoSpaceDN w:val="0"/>
        <w:spacing w:line="360" w:lineRule="auto"/>
        <w:ind w:firstLine="420" w:firstLineChars="200"/>
        <w:rPr>
          <w:color w:val="000000"/>
          <w:szCs w:val="21"/>
        </w:rPr>
      </w:pPr>
      <w:r>
        <w:rPr>
          <w:rFonts w:hint="eastAsia"/>
          <w:color w:val="000000"/>
          <w:szCs w:val="21"/>
        </w:rPr>
        <w:t>　　（二）参加采购活动前3年内担任供应商的董事、监事；</w:t>
      </w:r>
    </w:p>
    <w:p>
      <w:pPr>
        <w:autoSpaceDE w:val="0"/>
        <w:autoSpaceDN w:val="0"/>
        <w:spacing w:line="360" w:lineRule="auto"/>
        <w:ind w:firstLine="420" w:firstLineChars="200"/>
        <w:rPr>
          <w:color w:val="000000"/>
          <w:szCs w:val="21"/>
        </w:rPr>
      </w:pPr>
      <w:r>
        <w:rPr>
          <w:rFonts w:hint="eastAsia"/>
          <w:color w:val="000000"/>
          <w:szCs w:val="21"/>
        </w:rPr>
        <w:t>　　（三）参加采购活动前3年内是供应商的控股股东或者实际控制人；</w:t>
      </w:r>
    </w:p>
    <w:p>
      <w:pPr>
        <w:autoSpaceDE w:val="0"/>
        <w:autoSpaceDN w:val="0"/>
        <w:spacing w:line="360" w:lineRule="auto"/>
        <w:ind w:firstLine="420" w:firstLineChars="200"/>
        <w:rPr>
          <w:color w:val="000000"/>
          <w:szCs w:val="21"/>
        </w:rPr>
      </w:pPr>
      <w:r>
        <w:rPr>
          <w:rFonts w:hint="eastAsia"/>
          <w:color w:val="000000"/>
          <w:szCs w:val="21"/>
        </w:rPr>
        <w:t>　　（四）与供应商的法定代表人或者负责人有夫妻、直系血亲、三代以内旁系血亲或者近姻亲关系；</w:t>
      </w:r>
    </w:p>
    <w:p>
      <w:pPr>
        <w:autoSpaceDE w:val="0"/>
        <w:autoSpaceDN w:val="0"/>
        <w:spacing w:line="360" w:lineRule="auto"/>
        <w:ind w:firstLine="420" w:firstLineChars="200"/>
        <w:rPr>
          <w:color w:val="000000"/>
          <w:szCs w:val="21"/>
        </w:rPr>
      </w:pPr>
      <w:r>
        <w:rPr>
          <w:rFonts w:hint="eastAsia"/>
          <w:color w:val="000000"/>
          <w:szCs w:val="21"/>
        </w:rPr>
        <w:t>　　（五）与供应商有其他可能影响政府采购活动公平、公正进行的关系。</w:t>
      </w:r>
    </w:p>
    <w:p>
      <w:pPr>
        <w:autoSpaceDE w:val="0"/>
        <w:autoSpaceDN w:val="0"/>
        <w:spacing w:line="360" w:lineRule="auto"/>
        <w:ind w:firstLine="420" w:firstLineChars="200"/>
        <w:rPr>
          <w:color w:val="000000"/>
          <w:szCs w:val="21"/>
          <w:u w:val="single"/>
        </w:rPr>
      </w:pPr>
      <w:r>
        <w:rPr>
          <w:rFonts w:hint="eastAsia"/>
          <w:color w:val="000000"/>
          <w:szCs w:val="21"/>
        </w:rPr>
        <w:t>本招标项目名称：</w:t>
      </w:r>
      <w:r>
        <w:rPr>
          <w:rFonts w:hint="eastAsia"/>
          <w:color w:val="000000"/>
          <w:szCs w:val="21"/>
          <w:u w:val="single"/>
        </w:rPr>
        <w:t xml:space="preserve">                             </w:t>
      </w:r>
    </w:p>
    <w:p>
      <w:pPr>
        <w:autoSpaceDE w:val="0"/>
        <w:autoSpaceDN w:val="0"/>
        <w:spacing w:line="360" w:lineRule="auto"/>
        <w:ind w:firstLine="420" w:firstLineChars="200"/>
        <w:rPr>
          <w:color w:val="000000"/>
          <w:szCs w:val="21"/>
        </w:rPr>
      </w:pPr>
      <w:r>
        <w:rPr>
          <w:rFonts w:hint="eastAsia"/>
          <w:color w:val="000000"/>
          <w:szCs w:val="21"/>
        </w:rPr>
        <w:t>我作为本招标项目的评委，已经获知投标人名称，我对本招标项目评标：</w:t>
      </w:r>
    </w:p>
    <w:p>
      <w:pPr>
        <w:autoSpaceDE w:val="0"/>
        <w:autoSpaceDN w:val="0"/>
        <w:spacing w:line="360" w:lineRule="auto"/>
        <w:ind w:firstLine="420" w:firstLineChars="200"/>
        <w:rPr>
          <w:color w:val="000000"/>
          <w:szCs w:val="21"/>
        </w:rPr>
      </w:pPr>
      <w:r>
        <w:rPr>
          <w:rFonts w:hint="eastAsia"/>
          <w:color w:val="000000"/>
          <w:szCs w:val="21"/>
        </w:rPr>
        <w:t>□需要回避</w:t>
      </w:r>
    </w:p>
    <w:p>
      <w:pPr>
        <w:autoSpaceDE w:val="0"/>
        <w:autoSpaceDN w:val="0"/>
        <w:spacing w:line="360" w:lineRule="auto"/>
        <w:ind w:firstLine="420" w:firstLineChars="200"/>
        <w:rPr>
          <w:color w:val="000000"/>
          <w:szCs w:val="21"/>
        </w:rPr>
      </w:pPr>
      <w:r>
        <w:rPr>
          <w:rFonts w:hint="eastAsia"/>
          <w:color w:val="000000"/>
          <w:szCs w:val="21"/>
        </w:rPr>
        <w:t>□无需回避</w:t>
      </w:r>
    </w:p>
    <w:p>
      <w:pPr>
        <w:autoSpaceDE w:val="0"/>
        <w:autoSpaceDN w:val="0"/>
        <w:spacing w:line="360" w:lineRule="auto"/>
        <w:ind w:firstLine="420" w:firstLineChars="200"/>
        <w:rPr>
          <w:color w:val="000000"/>
          <w:szCs w:val="21"/>
        </w:rPr>
      </w:pPr>
      <w:r>
        <w:rPr>
          <w:rFonts w:hint="eastAsia"/>
          <w:color w:val="000000"/>
          <w:szCs w:val="21"/>
        </w:rPr>
        <w:t xml:space="preserve">                                          评委签名：</w:t>
      </w:r>
    </w:p>
    <w:p>
      <w:pPr>
        <w:autoSpaceDE w:val="0"/>
        <w:autoSpaceDN w:val="0"/>
        <w:spacing w:line="360" w:lineRule="auto"/>
        <w:ind w:firstLine="420" w:firstLineChars="200"/>
        <w:rPr>
          <w:color w:val="000000"/>
          <w:szCs w:val="21"/>
        </w:rPr>
      </w:pPr>
      <w:r>
        <w:rPr>
          <w:rFonts w:hint="eastAsia"/>
          <w:color w:val="000000"/>
          <w:szCs w:val="21"/>
        </w:rPr>
        <w:t xml:space="preserve">                                          日期：</w:t>
      </w:r>
    </w:p>
    <w:p>
      <w:pPr>
        <w:autoSpaceDE w:val="0"/>
        <w:autoSpaceDN w:val="0"/>
        <w:spacing w:line="360" w:lineRule="auto"/>
        <w:ind w:firstLine="420" w:firstLineChars="200"/>
        <w:rPr>
          <w:color w:val="000000"/>
          <w:szCs w:val="21"/>
        </w:rPr>
      </w:pPr>
    </w:p>
    <w:p>
      <w:pPr>
        <w:autoSpaceDE w:val="0"/>
        <w:autoSpaceDN w:val="0"/>
        <w:spacing w:line="360" w:lineRule="auto"/>
        <w:ind w:firstLine="420" w:firstLineChars="200"/>
        <w:rPr>
          <w:color w:val="000000"/>
          <w:szCs w:val="21"/>
        </w:rPr>
      </w:pPr>
    </w:p>
    <w:p>
      <w:pPr>
        <w:rPr>
          <w:rFonts w:hint="eastAsia"/>
        </w:rPr>
      </w:pPr>
      <w:bookmarkStart w:id="541" w:name="_Toc32255"/>
      <w:r>
        <w:rPr>
          <w:rFonts w:hint="eastAsia"/>
        </w:rPr>
        <w:br w:type="page"/>
      </w:r>
    </w:p>
    <w:p>
      <w:pPr>
        <w:pStyle w:val="2"/>
      </w:pPr>
      <w:bookmarkStart w:id="542" w:name="_Toc16025"/>
      <w:r>
        <w:rPr>
          <w:rFonts w:hint="eastAsia"/>
        </w:rPr>
        <w:t>第四章 合同条款及格式</w:t>
      </w:r>
      <w:bookmarkEnd w:id="475"/>
      <w:bookmarkEnd w:id="476"/>
      <w:bookmarkEnd w:id="477"/>
      <w:bookmarkEnd w:id="478"/>
      <w:bookmarkEnd w:id="479"/>
      <w:bookmarkEnd w:id="480"/>
      <w:bookmarkEnd w:id="481"/>
      <w:bookmarkEnd w:id="482"/>
      <w:bookmarkEnd w:id="483"/>
      <w:bookmarkEnd w:id="484"/>
      <w:bookmarkEnd w:id="485"/>
      <w:bookmarkEnd w:id="486"/>
      <w:bookmarkEnd w:id="541"/>
      <w:bookmarkEnd w:id="542"/>
    </w:p>
    <w:p>
      <w:pPr>
        <w:pStyle w:val="26"/>
        <w:snapToGrid w:val="0"/>
        <w:spacing w:before="120" w:after="120" w:line="420" w:lineRule="exact"/>
        <w:rPr>
          <w:rFonts w:hAnsi="宋体"/>
          <w:sz w:val="21"/>
          <w:szCs w:val="21"/>
          <w:u w:val="single"/>
        </w:rPr>
      </w:pPr>
      <w:r>
        <w:rPr>
          <w:rFonts w:hint="eastAsia" w:hAnsi="宋体"/>
          <w:sz w:val="21"/>
          <w:szCs w:val="21"/>
        </w:rPr>
        <w:t>甲方：</w:t>
      </w:r>
      <w:r>
        <w:rPr>
          <w:rFonts w:hint="eastAsia" w:hAnsi="宋体"/>
          <w:sz w:val="21"/>
          <w:szCs w:val="21"/>
          <w:u w:val="single"/>
        </w:rPr>
        <w:t>盐城市大丰区幸福路小学（买方）</w:t>
      </w:r>
    </w:p>
    <w:p>
      <w:pPr>
        <w:pStyle w:val="26"/>
        <w:snapToGrid w:val="0"/>
        <w:spacing w:before="120" w:after="120" w:line="420" w:lineRule="exact"/>
        <w:rPr>
          <w:rFonts w:hAnsi="宋体"/>
          <w:sz w:val="21"/>
          <w:szCs w:val="21"/>
        </w:rPr>
      </w:pPr>
      <w:r>
        <w:rPr>
          <w:rFonts w:hint="eastAsia" w:hAnsi="宋体"/>
          <w:sz w:val="21"/>
          <w:szCs w:val="21"/>
        </w:rPr>
        <w:t>乙方：</w:t>
      </w:r>
      <w:r>
        <w:rPr>
          <w:rFonts w:hint="eastAsia" w:hAnsi="宋体"/>
          <w:sz w:val="21"/>
          <w:szCs w:val="21"/>
          <w:u w:val="single"/>
        </w:rPr>
        <w:t>中标人名称（卖方）</w:t>
      </w:r>
    </w:p>
    <w:p>
      <w:pPr>
        <w:pStyle w:val="26"/>
        <w:snapToGrid w:val="0"/>
        <w:spacing w:before="120" w:after="120" w:line="420" w:lineRule="exact"/>
        <w:rPr>
          <w:rFonts w:hAnsi="宋体"/>
          <w:b/>
          <w:sz w:val="21"/>
          <w:szCs w:val="21"/>
        </w:rPr>
      </w:pPr>
      <w:r>
        <w:rPr>
          <w:rFonts w:hint="eastAsia" w:hAnsi="宋体"/>
          <w:sz w:val="21"/>
          <w:szCs w:val="21"/>
        </w:rPr>
        <w:t>甲、乙双方根据公开招标的中标结果及中标通知书，签署本合同。</w:t>
      </w:r>
    </w:p>
    <w:p>
      <w:pPr>
        <w:pStyle w:val="26"/>
        <w:snapToGrid w:val="0"/>
        <w:spacing w:before="163" w:after="163" w:line="460" w:lineRule="exact"/>
        <w:rPr>
          <w:rFonts w:ascii="Arial" w:hAnsi="宋体" w:cs="Arial"/>
          <w:sz w:val="21"/>
          <w:szCs w:val="21"/>
        </w:rPr>
      </w:pPr>
      <w:r>
        <w:rPr>
          <w:rFonts w:ascii="Arial" w:hAnsi="宋体" w:cs="Arial"/>
          <w:sz w:val="21"/>
          <w:szCs w:val="21"/>
        </w:rPr>
        <w:t>一、合同内容</w:t>
      </w:r>
    </w:p>
    <w:p>
      <w:pPr>
        <w:pStyle w:val="26"/>
        <w:snapToGrid w:val="0"/>
        <w:spacing w:before="163" w:after="163" w:line="460" w:lineRule="exact"/>
        <w:rPr>
          <w:rFonts w:ascii="Arial" w:hAnsi="宋体" w:cs="Arial"/>
          <w:sz w:val="21"/>
          <w:szCs w:val="21"/>
        </w:rPr>
      </w:pPr>
      <w:r>
        <w:rPr>
          <w:rFonts w:ascii="Arial" w:hAnsi="宋体" w:cs="Arial"/>
          <w:sz w:val="21"/>
          <w:szCs w:val="21"/>
        </w:rPr>
        <w:t>1.项目名称：</w:t>
      </w:r>
      <w:r>
        <w:rPr>
          <w:rFonts w:ascii="Arial" w:hAnsi="宋体" w:cs="Arial"/>
          <w:sz w:val="21"/>
          <w:szCs w:val="21"/>
          <w:u w:val="single"/>
        </w:rPr>
        <w:t xml:space="preserve">                                                </w:t>
      </w:r>
      <w:r>
        <w:rPr>
          <w:rFonts w:ascii="Arial" w:hAnsi="宋体" w:cs="Arial"/>
          <w:sz w:val="21"/>
          <w:szCs w:val="21"/>
        </w:rPr>
        <w:t xml:space="preserve"> </w:t>
      </w:r>
    </w:p>
    <w:p>
      <w:pPr>
        <w:pStyle w:val="26"/>
        <w:snapToGrid w:val="0"/>
        <w:spacing w:before="163" w:after="163" w:line="460" w:lineRule="exact"/>
        <w:rPr>
          <w:rFonts w:ascii="Arial" w:hAnsi="宋体" w:cs="Arial"/>
          <w:sz w:val="21"/>
          <w:szCs w:val="21"/>
        </w:rPr>
      </w:pPr>
      <w:r>
        <w:rPr>
          <w:rFonts w:ascii="Arial" w:hAnsi="宋体" w:cs="Arial"/>
          <w:sz w:val="21"/>
          <w:szCs w:val="21"/>
        </w:rPr>
        <w:t>2.项目内容：本项目招标文件规定的全部工作内容</w:t>
      </w:r>
    </w:p>
    <w:p>
      <w:pPr>
        <w:pStyle w:val="26"/>
        <w:snapToGrid w:val="0"/>
        <w:spacing w:before="163" w:after="163" w:line="460" w:lineRule="exact"/>
        <w:rPr>
          <w:rFonts w:ascii="Arial" w:hAnsi="宋体" w:cs="Arial"/>
          <w:sz w:val="21"/>
          <w:szCs w:val="21"/>
        </w:rPr>
      </w:pPr>
      <w:r>
        <w:rPr>
          <w:rFonts w:ascii="Arial" w:hAnsi="宋体" w:cs="Arial"/>
          <w:sz w:val="21"/>
          <w:szCs w:val="21"/>
        </w:rPr>
        <w:t>二、合同金额</w:t>
      </w:r>
    </w:p>
    <w:p>
      <w:pPr>
        <w:pStyle w:val="26"/>
        <w:snapToGrid w:val="0"/>
        <w:spacing w:before="163" w:after="163" w:line="460" w:lineRule="exact"/>
        <w:rPr>
          <w:rFonts w:ascii="Arial" w:hAnsi="宋体" w:cs="Arial"/>
          <w:sz w:val="21"/>
          <w:szCs w:val="21"/>
        </w:rPr>
      </w:pPr>
      <w:r>
        <w:rPr>
          <w:rFonts w:ascii="Arial" w:hAnsi="宋体" w:cs="Arial"/>
          <w:sz w:val="21"/>
          <w:szCs w:val="21"/>
        </w:rPr>
        <w:t>1、本合同金额为人民币（大写）：</w:t>
      </w:r>
      <w:r>
        <w:rPr>
          <w:rFonts w:ascii="Arial" w:hAnsi="宋体" w:cs="Arial"/>
          <w:sz w:val="21"/>
          <w:szCs w:val="21"/>
          <w:u w:val="single"/>
        </w:rPr>
        <w:t xml:space="preserve">            </w:t>
      </w:r>
      <w:r>
        <w:rPr>
          <w:rFonts w:ascii="Arial" w:hAnsi="宋体" w:cs="Arial"/>
          <w:sz w:val="21"/>
          <w:szCs w:val="21"/>
        </w:rPr>
        <w:t>元（￥</w:t>
      </w:r>
      <w:r>
        <w:rPr>
          <w:rFonts w:ascii="Arial" w:hAnsi="宋体" w:cs="Arial"/>
          <w:sz w:val="21"/>
          <w:szCs w:val="21"/>
          <w:u w:val="single"/>
        </w:rPr>
        <w:t xml:space="preserve">         </w:t>
      </w:r>
      <w:r>
        <w:rPr>
          <w:rFonts w:ascii="Arial" w:hAnsi="宋体" w:cs="Arial"/>
          <w:sz w:val="21"/>
          <w:szCs w:val="21"/>
        </w:rPr>
        <w:t>元）。</w:t>
      </w:r>
    </w:p>
    <w:p>
      <w:pPr>
        <w:pStyle w:val="26"/>
        <w:snapToGrid w:val="0"/>
        <w:spacing w:before="163" w:after="163" w:line="460" w:lineRule="exact"/>
        <w:rPr>
          <w:rFonts w:ascii="Arial" w:hAnsi="宋体" w:cs="Arial"/>
          <w:sz w:val="21"/>
          <w:szCs w:val="21"/>
        </w:rPr>
      </w:pPr>
      <w:r>
        <w:rPr>
          <w:rFonts w:ascii="Arial" w:hAnsi="宋体" w:cs="Arial"/>
          <w:sz w:val="21"/>
          <w:szCs w:val="21"/>
        </w:rPr>
        <w:t>三、技术性能和技术资料</w:t>
      </w:r>
    </w:p>
    <w:p>
      <w:pPr>
        <w:spacing w:line="500" w:lineRule="exact"/>
        <w:rPr>
          <w:rFonts w:ascii="Arial" w:hAnsi="宋体" w:cs="Arial"/>
          <w:szCs w:val="21"/>
        </w:rPr>
      </w:pPr>
      <w:r>
        <w:rPr>
          <w:rFonts w:hint="eastAsia" w:ascii="Arial" w:hAnsi="宋体" w:cs="Arial"/>
          <w:szCs w:val="21"/>
        </w:rPr>
        <w:t>1. 乙方所提供货物、软件和服务的技术规格、内容应与招标文件规定的技术规范和需要相一致；符合国家有关部门最新颁布的标准及规范，乙方在投标文件中承诺的标准或技术参数高于（或优于）招标文件要求的按乙方投标文件执行。</w:t>
      </w:r>
    </w:p>
    <w:p>
      <w:pPr>
        <w:pStyle w:val="26"/>
        <w:snapToGrid w:val="0"/>
        <w:spacing w:before="163" w:after="163" w:line="460" w:lineRule="exact"/>
        <w:ind w:left="1"/>
        <w:rPr>
          <w:rFonts w:ascii="Arial" w:hAnsi="宋体" w:cs="Arial"/>
          <w:sz w:val="21"/>
          <w:szCs w:val="21"/>
        </w:rPr>
      </w:pPr>
      <w:r>
        <w:rPr>
          <w:rFonts w:ascii="Arial" w:hAnsi="宋体" w:cs="Arial"/>
          <w:sz w:val="21"/>
          <w:szCs w:val="21"/>
        </w:rPr>
        <w:t>2. 没有招标人事先书面同意，乙方不得将由招标人提供的有关合同或任何合同条文、规格、计划、图纸、样品或资料提供给与履行本合同无关的任何其他人。即使向履行本合同有关的人员提供，也应注意保密并限于履行合同的必需范围。</w:t>
      </w:r>
    </w:p>
    <w:p>
      <w:pPr>
        <w:pStyle w:val="26"/>
        <w:snapToGrid w:val="0"/>
        <w:spacing w:before="163" w:after="163" w:line="460" w:lineRule="exact"/>
        <w:ind w:left="359" w:hanging="359" w:hangingChars="171"/>
        <w:rPr>
          <w:rFonts w:ascii="Arial" w:hAnsi="宋体" w:cs="Arial"/>
          <w:sz w:val="21"/>
          <w:szCs w:val="21"/>
        </w:rPr>
      </w:pPr>
      <w:r>
        <w:rPr>
          <w:rFonts w:ascii="Arial" w:hAnsi="宋体" w:cs="Arial"/>
          <w:sz w:val="21"/>
          <w:szCs w:val="21"/>
        </w:rPr>
        <w:t>四、知识产权</w:t>
      </w:r>
    </w:p>
    <w:p>
      <w:pPr>
        <w:pStyle w:val="26"/>
        <w:snapToGrid w:val="0"/>
        <w:spacing w:before="163" w:after="163" w:line="460" w:lineRule="exact"/>
        <w:ind w:firstLine="420" w:firstLineChars="200"/>
        <w:rPr>
          <w:rFonts w:ascii="Arial" w:hAnsi="宋体" w:cs="Arial"/>
          <w:sz w:val="21"/>
          <w:szCs w:val="21"/>
        </w:rPr>
      </w:pPr>
      <w:r>
        <w:rPr>
          <w:rFonts w:ascii="Arial" w:hAnsi="宋体" w:cs="Arial"/>
          <w:sz w:val="21"/>
          <w:szCs w:val="21"/>
        </w:rPr>
        <w:t>乙方应保证所提供的货物及服务或其任何一部分均不会侵犯任何第三方的知识产权，乙方对买方提供的业务资料、技术资料应严格保密，不得扩散。乙方应保证买方在使用、接受本合同货物和服务或其任何一部分时不受乙方及第三方提出侵犯其专利权、版权、商标权和工业设计权等知识产权的起诉。一旦出现侵权，由乙方</w:t>
      </w:r>
      <w:r>
        <w:rPr>
          <w:rFonts w:hint="eastAsia" w:ascii="Arial" w:hAnsi="宋体" w:cs="Arial"/>
          <w:sz w:val="21"/>
          <w:szCs w:val="21"/>
        </w:rPr>
        <w:t>承担相应</w:t>
      </w:r>
      <w:r>
        <w:rPr>
          <w:rFonts w:ascii="Arial" w:hAnsi="宋体" w:cs="Arial"/>
          <w:sz w:val="21"/>
          <w:szCs w:val="21"/>
        </w:rPr>
        <w:t>责任</w:t>
      </w:r>
      <w:r>
        <w:rPr>
          <w:rFonts w:hint="eastAsia" w:ascii="Arial" w:hAnsi="宋体" w:cs="Arial"/>
          <w:sz w:val="21"/>
          <w:szCs w:val="21"/>
        </w:rPr>
        <w:t>并赔偿甲方损失，构成违约的，按合同约定计取违约金</w:t>
      </w:r>
      <w:r>
        <w:rPr>
          <w:rFonts w:ascii="Arial" w:hAnsi="宋体" w:cs="Arial"/>
          <w:sz w:val="21"/>
          <w:szCs w:val="21"/>
        </w:rPr>
        <w:t>。</w:t>
      </w:r>
    </w:p>
    <w:p>
      <w:pPr>
        <w:pStyle w:val="26"/>
        <w:snapToGrid w:val="0"/>
        <w:spacing w:before="163" w:after="163" w:line="460" w:lineRule="exact"/>
        <w:rPr>
          <w:rFonts w:ascii="Arial" w:hAnsi="宋体" w:cs="Arial"/>
          <w:sz w:val="21"/>
          <w:szCs w:val="21"/>
        </w:rPr>
      </w:pPr>
      <w:r>
        <w:rPr>
          <w:rFonts w:ascii="Arial" w:hAnsi="宋体" w:cs="Arial"/>
          <w:sz w:val="21"/>
          <w:szCs w:val="21"/>
        </w:rPr>
        <w:t>五、产权担保</w:t>
      </w:r>
    </w:p>
    <w:p>
      <w:pPr>
        <w:pStyle w:val="26"/>
        <w:snapToGrid w:val="0"/>
        <w:spacing w:before="163" w:after="163" w:line="460" w:lineRule="exact"/>
        <w:ind w:left="357" w:hanging="357" w:hangingChars="170"/>
        <w:rPr>
          <w:rFonts w:ascii="Arial" w:hAnsi="宋体" w:cs="Arial"/>
          <w:sz w:val="21"/>
          <w:szCs w:val="21"/>
        </w:rPr>
      </w:pPr>
      <w:r>
        <w:rPr>
          <w:rFonts w:ascii="Arial" w:hAnsi="宋体" w:cs="Arial"/>
          <w:sz w:val="21"/>
          <w:szCs w:val="21"/>
        </w:rPr>
        <w:t>乙方保证所交付的货物的所有权完全属于乙方且无任何抵押、查封等产权瑕疵。</w:t>
      </w:r>
    </w:p>
    <w:p>
      <w:pPr>
        <w:pStyle w:val="26"/>
        <w:snapToGrid w:val="0"/>
        <w:spacing w:before="163" w:after="163" w:line="460" w:lineRule="exact"/>
        <w:ind w:left="357" w:hanging="357" w:hangingChars="170"/>
        <w:rPr>
          <w:rFonts w:ascii="Arial" w:hAnsi="宋体" w:cs="Arial"/>
          <w:sz w:val="21"/>
          <w:szCs w:val="21"/>
        </w:rPr>
      </w:pPr>
      <w:r>
        <w:rPr>
          <w:rFonts w:ascii="Arial" w:hAnsi="宋体" w:cs="Arial"/>
          <w:sz w:val="21"/>
          <w:szCs w:val="21"/>
        </w:rPr>
        <w:t>六、履约保证金</w:t>
      </w:r>
    </w:p>
    <w:p>
      <w:pPr>
        <w:pStyle w:val="26"/>
        <w:snapToGrid w:val="0"/>
        <w:spacing w:before="163" w:after="163" w:line="460" w:lineRule="exact"/>
        <w:ind w:firstLine="420" w:firstLineChars="200"/>
        <w:rPr>
          <w:rFonts w:ascii="Arial" w:hAnsi="宋体" w:cs="Arial"/>
          <w:sz w:val="21"/>
          <w:szCs w:val="21"/>
        </w:rPr>
      </w:pPr>
      <w:r>
        <w:rPr>
          <w:rFonts w:ascii="Arial" w:hAnsi="宋体" w:cs="Arial"/>
          <w:sz w:val="21"/>
          <w:szCs w:val="21"/>
        </w:rPr>
        <w:t>乙方交纳人民币（项目中标价的</w:t>
      </w:r>
      <w:r>
        <w:rPr>
          <w:rFonts w:ascii="Arial" w:hAnsi="宋体" w:cs="Arial"/>
          <w:sz w:val="21"/>
          <w:szCs w:val="21"/>
          <w:u w:val="single"/>
        </w:rPr>
        <w:t>10</w:t>
      </w:r>
      <w:r>
        <w:rPr>
          <w:rFonts w:ascii="Arial" w:hAnsi="宋体" w:cs="Arial"/>
          <w:sz w:val="21"/>
          <w:szCs w:val="21"/>
        </w:rPr>
        <w:t>%）元作为本合同的履约保证金，履约保证金在完成全部项目经验收合格后无息退还</w:t>
      </w:r>
      <w:r>
        <w:rPr>
          <w:rFonts w:hint="eastAsia" w:ascii="Arial" w:hAnsi="宋体" w:cs="Arial"/>
          <w:sz w:val="21"/>
          <w:szCs w:val="21"/>
        </w:rPr>
        <w:t>，履约保证金也可转为质量保证金，质量保证金按本合同相应条款执行</w:t>
      </w:r>
      <w:r>
        <w:rPr>
          <w:rFonts w:ascii="Arial" w:hAnsi="宋体" w:cs="Arial"/>
          <w:sz w:val="21"/>
          <w:szCs w:val="21"/>
        </w:rPr>
        <w:t>。</w:t>
      </w:r>
    </w:p>
    <w:p>
      <w:pPr>
        <w:pStyle w:val="26"/>
        <w:snapToGrid w:val="0"/>
        <w:spacing w:before="163" w:after="163" w:line="460" w:lineRule="exact"/>
        <w:ind w:left="357" w:hanging="357" w:hangingChars="170"/>
        <w:rPr>
          <w:rFonts w:ascii="Arial" w:hAnsi="宋体" w:cs="Arial"/>
          <w:sz w:val="21"/>
          <w:szCs w:val="21"/>
        </w:rPr>
      </w:pPr>
      <w:r>
        <w:rPr>
          <w:rFonts w:ascii="Arial" w:hAnsi="宋体" w:cs="Arial"/>
          <w:sz w:val="21"/>
          <w:szCs w:val="21"/>
        </w:rPr>
        <w:t>七、转包或分包</w:t>
      </w:r>
    </w:p>
    <w:p>
      <w:pPr>
        <w:snapToGrid w:val="0"/>
        <w:spacing w:before="156" w:beforeLines="50" w:after="156" w:afterLines="50" w:line="460" w:lineRule="exact"/>
        <w:rPr>
          <w:rFonts w:ascii="Arial" w:hAnsi="宋体" w:cs="Arial"/>
          <w:szCs w:val="21"/>
        </w:rPr>
      </w:pPr>
      <w:r>
        <w:rPr>
          <w:rFonts w:hint="eastAsia" w:ascii="Arial" w:hAnsi="宋体" w:cs="Arial"/>
          <w:szCs w:val="21"/>
        </w:rPr>
        <w:t>1.本合同范围的货物，应由乙方直接供应，不得转让他人供应；</w:t>
      </w:r>
    </w:p>
    <w:p>
      <w:pPr>
        <w:snapToGrid w:val="0"/>
        <w:spacing w:before="156" w:beforeLines="50" w:after="156" w:afterLines="50" w:line="460" w:lineRule="exact"/>
        <w:rPr>
          <w:rFonts w:ascii="Arial" w:hAnsi="宋体" w:cs="Arial"/>
          <w:szCs w:val="21"/>
        </w:rPr>
      </w:pPr>
      <w:r>
        <w:rPr>
          <w:rFonts w:hint="eastAsia" w:ascii="Arial" w:hAnsi="宋体" w:cs="Arial"/>
          <w:szCs w:val="21"/>
        </w:rPr>
        <w:t>2.除非得到招标人的书面同意，乙方不得将本合同范围的货物全部或部分分包给他人供应；</w:t>
      </w:r>
    </w:p>
    <w:p>
      <w:pPr>
        <w:snapToGrid w:val="0"/>
        <w:spacing w:before="156" w:beforeLines="50" w:after="156" w:afterLines="50" w:line="460" w:lineRule="exact"/>
        <w:rPr>
          <w:rFonts w:ascii="Arial" w:hAnsi="宋体" w:cs="Arial"/>
          <w:szCs w:val="21"/>
        </w:rPr>
      </w:pPr>
      <w:r>
        <w:rPr>
          <w:rFonts w:hint="eastAsia" w:ascii="Arial" w:hAnsi="宋体" w:cs="Arial"/>
          <w:szCs w:val="21"/>
        </w:rPr>
        <w:t>3.如有转让和未经招标人同意的分包行为，招标人有权解除合同，没收履约保证金并追究乙方的违约责任。</w:t>
      </w:r>
    </w:p>
    <w:p>
      <w:pPr>
        <w:pStyle w:val="26"/>
        <w:snapToGrid w:val="0"/>
        <w:spacing w:before="163" w:after="163" w:line="460" w:lineRule="exact"/>
        <w:rPr>
          <w:rFonts w:ascii="Arial" w:hAnsi="宋体" w:cs="Arial"/>
          <w:sz w:val="21"/>
          <w:szCs w:val="21"/>
        </w:rPr>
      </w:pPr>
      <w:r>
        <w:rPr>
          <w:rFonts w:ascii="Arial" w:hAnsi="宋体" w:cs="Arial"/>
          <w:sz w:val="21"/>
          <w:szCs w:val="21"/>
        </w:rPr>
        <w:t>八、质保金</w:t>
      </w:r>
    </w:p>
    <w:p>
      <w:pPr>
        <w:pStyle w:val="26"/>
        <w:snapToGrid w:val="0"/>
        <w:spacing w:before="163" w:after="163" w:line="460" w:lineRule="exact"/>
        <w:ind w:left="1"/>
        <w:rPr>
          <w:rFonts w:ascii="Arial" w:hAnsi="宋体" w:cs="Arial"/>
          <w:sz w:val="21"/>
          <w:szCs w:val="21"/>
        </w:rPr>
      </w:pPr>
      <w:r>
        <w:rPr>
          <w:rFonts w:ascii="Arial" w:hAnsi="宋体" w:cs="Arial"/>
          <w:sz w:val="21"/>
          <w:szCs w:val="21"/>
        </w:rPr>
        <w:t>1.本项目质保金为项目合同价款的10%。质保金的返还：</w:t>
      </w:r>
      <w:r>
        <w:rPr>
          <w:rFonts w:hint="eastAsia" w:ascii="Arial" w:hAnsi="宋体" w:cs="Arial"/>
          <w:sz w:val="21"/>
          <w:szCs w:val="21"/>
          <w:u w:val="single"/>
        </w:rPr>
        <w:t>在质保期满后且运行无质量问题的条件下结清（不计利息）</w:t>
      </w:r>
      <w:r>
        <w:rPr>
          <w:rFonts w:ascii="Arial" w:hAnsi="宋体" w:cs="Arial"/>
          <w:sz w:val="21"/>
          <w:szCs w:val="21"/>
        </w:rPr>
        <w:t>。</w:t>
      </w:r>
    </w:p>
    <w:p>
      <w:pPr>
        <w:pStyle w:val="26"/>
        <w:snapToGrid w:val="0"/>
        <w:spacing w:before="163" w:after="163" w:line="460" w:lineRule="exact"/>
        <w:rPr>
          <w:rFonts w:ascii="Arial" w:hAnsi="宋体" w:cs="Arial"/>
          <w:sz w:val="21"/>
          <w:szCs w:val="21"/>
        </w:rPr>
      </w:pPr>
      <w:r>
        <w:rPr>
          <w:rFonts w:ascii="Arial" w:hAnsi="宋体" w:cs="Arial"/>
          <w:sz w:val="21"/>
          <w:szCs w:val="21"/>
        </w:rPr>
        <w:t>九、项目完成时间、交货方式及交货地点</w:t>
      </w:r>
    </w:p>
    <w:p>
      <w:pPr>
        <w:pStyle w:val="26"/>
        <w:snapToGrid w:val="0"/>
        <w:spacing w:before="163" w:after="163" w:line="460" w:lineRule="exact"/>
        <w:rPr>
          <w:rFonts w:ascii="Arial" w:hAnsi="宋体" w:cs="Arial"/>
          <w:sz w:val="21"/>
          <w:szCs w:val="21"/>
        </w:rPr>
      </w:pPr>
      <w:r>
        <w:rPr>
          <w:rFonts w:ascii="Arial" w:hAnsi="宋体" w:cs="Arial"/>
          <w:sz w:val="21"/>
          <w:szCs w:val="21"/>
        </w:rPr>
        <w:t>1. 项目完成时间：（投标人承诺时间）。</w:t>
      </w:r>
    </w:p>
    <w:p>
      <w:pPr>
        <w:pStyle w:val="26"/>
        <w:snapToGrid w:val="0"/>
        <w:spacing w:before="163" w:after="163" w:line="460" w:lineRule="exact"/>
        <w:rPr>
          <w:rFonts w:ascii="Arial" w:hAnsi="宋体" w:cs="Arial"/>
          <w:sz w:val="21"/>
          <w:szCs w:val="21"/>
        </w:rPr>
      </w:pPr>
      <w:r>
        <w:rPr>
          <w:rFonts w:ascii="Arial" w:hAnsi="宋体" w:cs="Arial"/>
          <w:sz w:val="21"/>
          <w:szCs w:val="21"/>
        </w:rPr>
        <w:t>2. 交货方式：</w:t>
      </w:r>
    </w:p>
    <w:p>
      <w:pPr>
        <w:pStyle w:val="26"/>
        <w:snapToGrid w:val="0"/>
        <w:spacing w:before="163" w:after="163" w:line="460" w:lineRule="exact"/>
        <w:rPr>
          <w:rFonts w:ascii="Arial" w:hAnsi="宋体" w:cs="Arial"/>
          <w:sz w:val="21"/>
          <w:szCs w:val="21"/>
        </w:rPr>
      </w:pPr>
      <w:r>
        <w:rPr>
          <w:rFonts w:ascii="Arial" w:hAnsi="宋体" w:cs="Arial"/>
          <w:sz w:val="21"/>
          <w:szCs w:val="21"/>
        </w:rPr>
        <w:t>（1）乙方交货前应对产品作出全面检查和对验收文件进行整理，并列出清单，作为招标人收货验收和使用的技术条件依据，检验的结果应随货物交招标人。</w:t>
      </w:r>
    </w:p>
    <w:p>
      <w:pPr>
        <w:pStyle w:val="26"/>
        <w:snapToGrid w:val="0"/>
        <w:spacing w:before="163" w:after="163" w:line="460" w:lineRule="exact"/>
        <w:rPr>
          <w:rFonts w:ascii="Arial" w:hAnsi="宋体" w:cs="Arial"/>
          <w:sz w:val="21"/>
          <w:szCs w:val="21"/>
        </w:rPr>
      </w:pPr>
      <w:r>
        <w:rPr>
          <w:rFonts w:ascii="Arial" w:hAnsi="宋体" w:cs="Arial"/>
          <w:sz w:val="21"/>
          <w:szCs w:val="21"/>
        </w:rPr>
        <w:t>（2）货物、材料运抵现场后，甲方对乙方提交的货物依据招标文件上的技术规格要求和国家有关质量标准进行现场初步验收，外观、说明书符合招标文件技术要求的，给予签收，初步验收不合格的不予签收。</w:t>
      </w:r>
    </w:p>
    <w:p>
      <w:pPr>
        <w:pStyle w:val="26"/>
        <w:snapToGrid w:val="0"/>
        <w:spacing w:before="163" w:after="163" w:line="460" w:lineRule="exact"/>
        <w:rPr>
          <w:rFonts w:ascii="Arial" w:hAnsi="宋体" w:cs="Arial"/>
          <w:sz w:val="21"/>
          <w:szCs w:val="21"/>
        </w:rPr>
      </w:pPr>
      <w:r>
        <w:rPr>
          <w:rFonts w:ascii="Arial" w:hAnsi="宋体" w:cs="Arial"/>
          <w:sz w:val="21"/>
          <w:szCs w:val="21"/>
        </w:rPr>
        <w:t>（3）对设备、材料的品牌、型号、数量、产地等进行检查和清点，同类型的所有设备和材料应属同一制造商的同一地产品。如检验中发现短缺、损坏或假冒伪劣商品，乙方应立即采取补救措施，不得因此影响施工，否则一切损失由乙方负责</w:t>
      </w:r>
      <w:r>
        <w:rPr>
          <w:rFonts w:hint="eastAsia" w:ascii="Arial" w:hAnsi="宋体" w:cs="Arial"/>
          <w:sz w:val="21"/>
          <w:szCs w:val="21"/>
        </w:rPr>
        <w:t>承担相应责任</w:t>
      </w:r>
      <w:r>
        <w:rPr>
          <w:rFonts w:ascii="Arial" w:hAnsi="宋体" w:cs="Arial"/>
          <w:sz w:val="21"/>
          <w:szCs w:val="21"/>
        </w:rPr>
        <w:t>。</w:t>
      </w:r>
    </w:p>
    <w:p>
      <w:pPr>
        <w:pStyle w:val="26"/>
        <w:snapToGrid w:val="0"/>
        <w:spacing w:before="163" w:after="163" w:line="460" w:lineRule="exact"/>
        <w:rPr>
          <w:rFonts w:ascii="Arial" w:hAnsi="宋体" w:cs="Arial"/>
          <w:sz w:val="21"/>
          <w:szCs w:val="21"/>
        </w:rPr>
      </w:pPr>
      <w:r>
        <w:rPr>
          <w:rFonts w:ascii="Arial" w:hAnsi="宋体" w:cs="Arial"/>
          <w:sz w:val="21"/>
          <w:szCs w:val="21"/>
        </w:rPr>
        <w:t>（4）所有税费均由乙方承担。</w:t>
      </w:r>
    </w:p>
    <w:p>
      <w:pPr>
        <w:pStyle w:val="26"/>
        <w:snapToGrid w:val="0"/>
        <w:spacing w:before="163" w:after="163" w:line="460" w:lineRule="exact"/>
        <w:rPr>
          <w:rFonts w:ascii="Arial" w:hAnsi="宋体" w:cs="Arial"/>
          <w:sz w:val="21"/>
          <w:szCs w:val="21"/>
        </w:rPr>
      </w:pPr>
      <w:r>
        <w:rPr>
          <w:rFonts w:ascii="Arial" w:hAnsi="宋体" w:cs="Arial"/>
          <w:sz w:val="21"/>
          <w:szCs w:val="21"/>
        </w:rPr>
        <w:t>十、合同价款与支付</w:t>
      </w:r>
    </w:p>
    <w:p>
      <w:pPr>
        <w:pStyle w:val="26"/>
        <w:snapToGrid w:val="0"/>
        <w:spacing w:before="163" w:after="163" w:line="460" w:lineRule="exact"/>
        <w:rPr>
          <w:rFonts w:ascii="Arial" w:hAnsi="宋体" w:cs="Arial"/>
          <w:b/>
          <w:bCs/>
          <w:color w:val="auto"/>
          <w:sz w:val="21"/>
          <w:szCs w:val="21"/>
        </w:rPr>
      </w:pPr>
      <w:r>
        <w:rPr>
          <w:rFonts w:ascii="Arial" w:hAnsi="宋体" w:cs="Arial"/>
          <w:b/>
          <w:bCs/>
          <w:color w:val="auto"/>
          <w:sz w:val="21"/>
          <w:szCs w:val="21"/>
        </w:rPr>
        <w:t>1、付款方式：</w:t>
      </w:r>
      <w:r>
        <w:rPr>
          <w:rFonts w:hint="eastAsia" w:ascii="Arial" w:hAnsi="宋体" w:eastAsia="宋体" w:cs="Arial"/>
          <w:b/>
          <w:bCs/>
          <w:kern w:val="2"/>
          <w:sz w:val="21"/>
          <w:szCs w:val="21"/>
          <w:lang w:val="en-US" w:eastAsia="zh-CN" w:bidi="ar-SA"/>
        </w:rPr>
        <w:t>付款方式：本项目无预付款，在签订合同后货物送达到招标人指定地点并安装完毕且验收合格后支付至审计价款的90%；余款作为质量保证金，在质保期满后且运行无质量问题的条件下结清，无任何利息补偿。</w:t>
      </w:r>
    </w:p>
    <w:p>
      <w:pPr>
        <w:spacing w:line="520" w:lineRule="exact"/>
        <w:rPr>
          <w:rFonts w:ascii="Arial" w:hAnsi="宋体" w:cs="Arial"/>
          <w:szCs w:val="21"/>
        </w:rPr>
      </w:pPr>
      <w:r>
        <w:rPr>
          <w:rFonts w:hint="eastAsia" w:ascii="Arial" w:hAnsi="宋体" w:cs="Arial"/>
          <w:b w:val="0"/>
          <w:bCs w:val="0"/>
          <w:szCs w:val="21"/>
        </w:rPr>
        <w:t>2、结</w:t>
      </w:r>
      <w:r>
        <w:rPr>
          <w:rFonts w:hint="eastAsia" w:ascii="Arial" w:hAnsi="宋体" w:cs="Arial"/>
          <w:szCs w:val="21"/>
        </w:rPr>
        <w:t>算方式：本项目采用“固定价格”合同。</w:t>
      </w:r>
    </w:p>
    <w:p>
      <w:pPr>
        <w:spacing w:line="520" w:lineRule="exact"/>
        <w:rPr>
          <w:rFonts w:ascii="Arial" w:hAnsi="宋体" w:cs="Arial"/>
          <w:szCs w:val="21"/>
        </w:rPr>
      </w:pPr>
      <w:r>
        <w:rPr>
          <w:rFonts w:hint="eastAsia" w:ascii="Arial" w:hAnsi="宋体" w:cs="Arial"/>
          <w:szCs w:val="21"/>
        </w:rPr>
        <w:t>本项目为交钥匙工程，除设计变更、业主签证外，其他因素均视为可预见的风险包括在合同风险范围之内（不论材料价格的涨跌、政策性文件是否调整，结算时一律不调整）。</w:t>
      </w:r>
    </w:p>
    <w:p>
      <w:pPr>
        <w:snapToGrid w:val="0"/>
        <w:spacing w:before="156" w:beforeLines="50" w:after="156" w:afterLines="50" w:line="460" w:lineRule="exact"/>
        <w:rPr>
          <w:rFonts w:ascii="Arial" w:hAnsi="宋体" w:cs="Arial"/>
          <w:szCs w:val="21"/>
        </w:rPr>
      </w:pPr>
      <w:r>
        <w:rPr>
          <w:rFonts w:hint="eastAsia" w:ascii="Arial" w:hAnsi="宋体" w:cs="Arial"/>
          <w:szCs w:val="21"/>
        </w:rPr>
        <w:t>十一、税费</w:t>
      </w:r>
    </w:p>
    <w:p>
      <w:pPr>
        <w:snapToGrid w:val="0"/>
        <w:spacing w:before="156" w:beforeLines="50" w:after="156" w:afterLines="50" w:line="460" w:lineRule="exact"/>
        <w:rPr>
          <w:rFonts w:ascii="Arial" w:hAnsi="宋体" w:cs="Arial"/>
          <w:szCs w:val="21"/>
        </w:rPr>
      </w:pPr>
      <w:r>
        <w:rPr>
          <w:rFonts w:hint="eastAsia" w:ascii="Arial" w:hAnsi="宋体" w:cs="Arial"/>
          <w:szCs w:val="21"/>
        </w:rPr>
        <w:t>本合同执行中相关的一切税费均由乙方负担。</w:t>
      </w:r>
    </w:p>
    <w:p>
      <w:pPr>
        <w:pStyle w:val="26"/>
        <w:snapToGrid w:val="0"/>
        <w:spacing w:before="163" w:after="163" w:line="460" w:lineRule="exact"/>
        <w:ind w:left="359" w:hanging="359" w:hangingChars="171"/>
        <w:rPr>
          <w:rFonts w:ascii="Arial" w:hAnsi="宋体" w:cs="Arial"/>
          <w:sz w:val="21"/>
          <w:szCs w:val="21"/>
        </w:rPr>
      </w:pPr>
      <w:r>
        <w:rPr>
          <w:rFonts w:ascii="Arial" w:hAnsi="宋体" w:cs="Arial"/>
          <w:sz w:val="21"/>
          <w:szCs w:val="21"/>
        </w:rPr>
        <w:t>十二、质量保证及售后服务</w:t>
      </w:r>
    </w:p>
    <w:p>
      <w:pPr>
        <w:spacing w:line="360" w:lineRule="auto"/>
        <w:rPr>
          <w:rFonts w:ascii="Arial" w:hAnsi="宋体" w:cs="Arial"/>
          <w:szCs w:val="21"/>
        </w:rPr>
      </w:pPr>
      <w:r>
        <w:rPr>
          <w:rFonts w:hint="eastAsia" w:ascii="Arial" w:hAnsi="宋体" w:cs="Arial"/>
          <w:szCs w:val="21"/>
        </w:rPr>
        <w:t>1、乙方负责提供本项目范围内所使用的所有设备、材料、装置的原产地证明、质保、售后文件和相应的等级标准证明并承诺向甲方提供有关制造业的质保证明。所有设备和软件在进场时须提供原厂商2年现场服务承诺，7×24小时响应服务,(原厂商承诺，要求加盖原厂商印章)，并提供设备和软件原厂商出具的正式授权书，列出原厂售后工程师的名称和联系方式。</w:t>
      </w:r>
    </w:p>
    <w:p>
      <w:pPr>
        <w:spacing w:line="360" w:lineRule="auto"/>
        <w:rPr>
          <w:rFonts w:ascii="Arial" w:hAnsi="宋体" w:cs="Arial"/>
          <w:szCs w:val="21"/>
        </w:rPr>
      </w:pPr>
      <w:r>
        <w:rPr>
          <w:rFonts w:hint="eastAsia" w:ascii="Arial" w:hAnsi="宋体" w:cs="Arial"/>
          <w:szCs w:val="21"/>
        </w:rPr>
        <w:t>2、乙方应保证货物是全新、未使用过的，经过相关行政主管部门、社会机构论证、检验、检测合格（如无相关论证、检验、检测的，则经由生产企业检验合格），通过合法渠道进货的正宗、原装合格正品，并完全符合合同规定的质量、规格和性能的要求，符合本合同订立目的。乙方应保证其货物在正确安装、正常使用和保养条件下，在其使用寿命期内应具有的性能。货物最终验收后，在质量保证期内，乙方应对由于设计、工艺或材料的缺陷而发生的任何不足或故障负责更换或维修，费用由乙方负担。</w:t>
      </w:r>
    </w:p>
    <w:p>
      <w:pPr>
        <w:spacing w:line="360" w:lineRule="auto"/>
        <w:rPr>
          <w:rFonts w:ascii="Arial" w:hAnsi="宋体" w:cs="Arial"/>
          <w:szCs w:val="21"/>
        </w:rPr>
      </w:pPr>
      <w:r>
        <w:rPr>
          <w:rFonts w:hint="eastAsia" w:ascii="Arial" w:hAnsi="宋体" w:cs="Arial"/>
          <w:szCs w:val="21"/>
        </w:rPr>
        <w:t>3、在质量保证期内，如果货物的数量、质量或规格与合同及招标需求不符，或证明货物是有缺陷的，包括潜在的缺陷或使用不符合要求的材料等，甲方以书面形式向乙方提出维修、更换和索赔。</w:t>
      </w:r>
    </w:p>
    <w:p>
      <w:pPr>
        <w:spacing w:line="360" w:lineRule="auto"/>
        <w:rPr>
          <w:rFonts w:ascii="Arial" w:hAnsi="宋体" w:cs="Arial"/>
          <w:szCs w:val="21"/>
        </w:rPr>
      </w:pPr>
      <w:r>
        <w:rPr>
          <w:rFonts w:hint="eastAsia" w:ascii="Arial" w:hAnsi="宋体" w:cs="Arial"/>
          <w:szCs w:val="21"/>
        </w:rPr>
        <w:t>4、乙方在收到通知后，应在合同中所附服务承诺约定的时间内必须对设备免费更换有缺陷的货物或部件。</w:t>
      </w:r>
    </w:p>
    <w:p>
      <w:pPr>
        <w:spacing w:line="360" w:lineRule="auto"/>
        <w:rPr>
          <w:rFonts w:ascii="Arial" w:hAnsi="宋体" w:cs="Arial"/>
          <w:szCs w:val="21"/>
        </w:rPr>
      </w:pPr>
      <w:r>
        <w:rPr>
          <w:rFonts w:hint="eastAsia" w:ascii="Arial" w:hAnsi="宋体" w:cs="Arial"/>
          <w:szCs w:val="21"/>
        </w:rPr>
        <w:t>5、如果乙方在收到通知后，在合同中所附服务承诺约定的时间内没有弥补缺陷，甲方可采取必要的补救措施，但风险和费用将由乙方承担，并且造成的损失由乙方负责赔偿。</w:t>
      </w:r>
    </w:p>
    <w:p>
      <w:pPr>
        <w:pStyle w:val="26"/>
        <w:snapToGrid w:val="0"/>
        <w:spacing w:line="460" w:lineRule="exact"/>
        <w:rPr>
          <w:rFonts w:ascii="Arial" w:hAnsi="宋体" w:cs="Arial"/>
          <w:sz w:val="21"/>
          <w:szCs w:val="21"/>
        </w:rPr>
      </w:pPr>
      <w:r>
        <w:rPr>
          <w:rFonts w:ascii="Arial" w:hAnsi="宋体" w:cs="Arial"/>
          <w:sz w:val="21"/>
          <w:szCs w:val="21"/>
        </w:rPr>
        <w:t>6、在质保期内，乙方应对货物出现的质量及安全问题负责处理解决并承担一切费用。</w:t>
      </w:r>
    </w:p>
    <w:p>
      <w:pPr>
        <w:pStyle w:val="26"/>
        <w:snapToGrid w:val="0"/>
        <w:spacing w:before="163" w:after="163" w:line="460" w:lineRule="exact"/>
        <w:rPr>
          <w:rFonts w:ascii="Arial" w:hAnsi="宋体" w:cs="Arial"/>
          <w:sz w:val="21"/>
          <w:szCs w:val="21"/>
        </w:rPr>
      </w:pPr>
      <w:r>
        <w:rPr>
          <w:rFonts w:ascii="Arial" w:hAnsi="宋体" w:cs="Arial"/>
          <w:sz w:val="21"/>
          <w:szCs w:val="21"/>
        </w:rPr>
        <w:t>7、质量保证及售后服务要求：本项目质保期为</w:t>
      </w:r>
      <w:r>
        <w:rPr>
          <w:rFonts w:ascii="Arial" w:hAnsi="宋体" w:cs="Arial"/>
          <w:sz w:val="21"/>
          <w:szCs w:val="21"/>
          <w:u w:val="single"/>
        </w:rPr>
        <w:t xml:space="preserve"> （以投标时限为准） </w:t>
      </w:r>
      <w:r>
        <w:rPr>
          <w:rFonts w:ascii="Arial" w:hAnsi="宋体" w:cs="Arial"/>
          <w:sz w:val="21"/>
          <w:szCs w:val="21"/>
        </w:rPr>
        <w:t>，对所建设的项目在质保期内提供技术支持、备品备件及维保服务。质保期过后仅收工本费，对设备故障保证在6小时内到场处理，修复时间不超过12小时。每年对所供设备免费巡检、保养不少于三次。</w:t>
      </w:r>
    </w:p>
    <w:p>
      <w:pPr>
        <w:spacing w:line="360" w:lineRule="auto"/>
        <w:rPr>
          <w:rFonts w:ascii="Arial" w:hAnsi="宋体" w:cs="Arial"/>
          <w:b/>
          <w:szCs w:val="21"/>
        </w:rPr>
      </w:pPr>
      <w:r>
        <w:rPr>
          <w:rFonts w:hint="eastAsia" w:ascii="Arial" w:hAnsi="宋体" w:cs="Arial"/>
          <w:b/>
          <w:szCs w:val="21"/>
        </w:rPr>
        <w:t>6、系统平台升级：乙方须对本项目的系统平台提供终身免费升级服务。</w:t>
      </w:r>
    </w:p>
    <w:p>
      <w:pPr>
        <w:pStyle w:val="26"/>
        <w:snapToGrid w:val="0"/>
        <w:spacing w:before="163" w:after="163" w:line="460" w:lineRule="exact"/>
        <w:rPr>
          <w:rFonts w:ascii="Arial" w:hAnsi="宋体" w:cs="Arial"/>
          <w:sz w:val="21"/>
          <w:szCs w:val="21"/>
        </w:rPr>
      </w:pPr>
      <w:r>
        <w:rPr>
          <w:rFonts w:ascii="Arial" w:hAnsi="宋体" w:cs="Arial"/>
          <w:sz w:val="21"/>
          <w:szCs w:val="21"/>
        </w:rPr>
        <w:t>7、售后服务计划：</w:t>
      </w:r>
    </w:p>
    <w:p>
      <w:pPr>
        <w:pStyle w:val="26"/>
        <w:snapToGrid w:val="0"/>
        <w:spacing w:before="163" w:after="163" w:line="460" w:lineRule="exact"/>
        <w:rPr>
          <w:rFonts w:ascii="Arial" w:hAnsi="宋体" w:cs="Arial"/>
          <w:sz w:val="21"/>
          <w:szCs w:val="21"/>
          <w:u w:val="single"/>
        </w:rPr>
      </w:pPr>
      <w:r>
        <w:rPr>
          <w:rFonts w:ascii="Arial" w:hAnsi="宋体" w:cs="Arial"/>
          <w:sz w:val="21"/>
          <w:szCs w:val="21"/>
        </w:rPr>
        <w:t>售后服务机构地址：</w:t>
      </w:r>
      <w:r>
        <w:rPr>
          <w:rFonts w:ascii="Arial" w:hAnsi="宋体" w:cs="Arial"/>
          <w:sz w:val="21"/>
          <w:szCs w:val="21"/>
          <w:u w:val="single"/>
        </w:rPr>
        <w:t xml:space="preserve">                                              </w:t>
      </w:r>
    </w:p>
    <w:p>
      <w:pPr>
        <w:pStyle w:val="26"/>
        <w:snapToGrid w:val="0"/>
        <w:spacing w:before="163" w:after="163" w:line="460" w:lineRule="exact"/>
        <w:rPr>
          <w:rFonts w:ascii="Arial" w:hAnsi="宋体" w:cs="Arial"/>
          <w:sz w:val="21"/>
          <w:szCs w:val="21"/>
        </w:rPr>
      </w:pPr>
      <w:r>
        <w:rPr>
          <w:rFonts w:ascii="Arial" w:hAnsi="宋体" w:cs="Arial"/>
          <w:sz w:val="21"/>
          <w:szCs w:val="21"/>
        </w:rPr>
        <w:t>联系电话：</w:t>
      </w:r>
      <w:r>
        <w:rPr>
          <w:rFonts w:ascii="Arial" w:hAnsi="宋体" w:cs="Arial"/>
          <w:sz w:val="21"/>
          <w:szCs w:val="21"/>
          <w:u w:val="single"/>
        </w:rPr>
        <w:t xml:space="preserve">                                                      </w:t>
      </w:r>
      <w:r>
        <w:rPr>
          <w:rFonts w:ascii="Arial" w:hAnsi="宋体" w:cs="Arial"/>
          <w:sz w:val="21"/>
          <w:szCs w:val="21"/>
        </w:rPr>
        <w:t xml:space="preserve"> </w:t>
      </w:r>
    </w:p>
    <w:p>
      <w:pPr>
        <w:pStyle w:val="26"/>
        <w:snapToGrid w:val="0"/>
        <w:spacing w:before="163" w:after="163" w:line="460" w:lineRule="exact"/>
        <w:rPr>
          <w:rFonts w:ascii="Arial" w:hAnsi="宋体" w:cs="Arial"/>
          <w:sz w:val="21"/>
          <w:szCs w:val="21"/>
        </w:rPr>
      </w:pPr>
      <w:r>
        <w:rPr>
          <w:rFonts w:ascii="Arial" w:hAnsi="宋体" w:cs="Arial"/>
          <w:sz w:val="21"/>
          <w:szCs w:val="21"/>
        </w:rPr>
        <w:t xml:space="preserve">其他服务承诺：                                                  </w:t>
      </w:r>
    </w:p>
    <w:p>
      <w:pPr>
        <w:pStyle w:val="26"/>
        <w:snapToGrid w:val="0"/>
        <w:spacing w:before="163" w:after="163" w:line="460" w:lineRule="exact"/>
        <w:rPr>
          <w:rFonts w:ascii="Arial" w:hAnsi="宋体" w:cs="Arial"/>
          <w:sz w:val="21"/>
          <w:szCs w:val="21"/>
        </w:rPr>
      </w:pPr>
      <w:r>
        <w:rPr>
          <w:rFonts w:ascii="Arial" w:hAnsi="宋体" w:cs="Arial"/>
          <w:sz w:val="21"/>
          <w:szCs w:val="21"/>
        </w:rPr>
        <w:t>8、人员培训：</w:t>
      </w:r>
      <w:r>
        <w:rPr>
          <w:rFonts w:hint="eastAsia" w:ascii="Arial" w:hAnsi="宋体" w:cs="Arial"/>
          <w:sz w:val="21"/>
          <w:szCs w:val="21"/>
        </w:rPr>
        <w:t>乙方</w:t>
      </w:r>
      <w:r>
        <w:rPr>
          <w:rFonts w:ascii="Arial" w:hAnsi="宋体" w:cs="Arial"/>
          <w:sz w:val="21"/>
          <w:szCs w:val="21"/>
        </w:rPr>
        <w:t>免费对</w:t>
      </w:r>
      <w:r>
        <w:rPr>
          <w:rFonts w:hint="eastAsia" w:ascii="Arial" w:hAnsi="宋体" w:cs="Arial"/>
          <w:sz w:val="21"/>
          <w:szCs w:val="21"/>
        </w:rPr>
        <w:t>甲方</w:t>
      </w:r>
      <w:r>
        <w:rPr>
          <w:rFonts w:ascii="Arial" w:hAnsi="宋体" w:cs="Arial"/>
          <w:sz w:val="21"/>
          <w:szCs w:val="21"/>
        </w:rPr>
        <w:t>人员进行技术培训，直到</w:t>
      </w:r>
      <w:r>
        <w:rPr>
          <w:rFonts w:hint="eastAsia" w:ascii="Arial" w:hAnsi="宋体" w:cs="Arial"/>
          <w:sz w:val="21"/>
          <w:szCs w:val="21"/>
        </w:rPr>
        <w:t>甲方</w:t>
      </w:r>
      <w:r>
        <w:rPr>
          <w:rFonts w:ascii="Arial" w:hAnsi="宋体" w:cs="Arial"/>
          <w:sz w:val="21"/>
          <w:szCs w:val="21"/>
        </w:rPr>
        <w:t>人员熟练操作或掌握为准。</w:t>
      </w:r>
    </w:p>
    <w:p>
      <w:pPr>
        <w:pStyle w:val="26"/>
        <w:snapToGrid w:val="0"/>
        <w:spacing w:before="163" w:after="163" w:line="460" w:lineRule="exact"/>
        <w:rPr>
          <w:rFonts w:ascii="Arial" w:hAnsi="宋体" w:cs="Arial"/>
          <w:sz w:val="21"/>
          <w:szCs w:val="21"/>
        </w:rPr>
      </w:pPr>
      <w:r>
        <w:rPr>
          <w:rFonts w:ascii="Arial" w:hAnsi="宋体" w:cs="Arial"/>
          <w:sz w:val="21"/>
          <w:szCs w:val="21"/>
        </w:rPr>
        <w:t>培训场地：</w:t>
      </w:r>
      <w:r>
        <w:rPr>
          <w:rFonts w:ascii="Arial" w:hAnsi="宋体" w:cs="Arial"/>
          <w:sz w:val="21"/>
          <w:szCs w:val="21"/>
          <w:u w:val="single"/>
        </w:rPr>
        <w:t xml:space="preserve">                     </w:t>
      </w:r>
      <w:r>
        <w:rPr>
          <w:rFonts w:ascii="Arial" w:hAnsi="宋体" w:cs="Arial"/>
          <w:sz w:val="21"/>
          <w:szCs w:val="21"/>
        </w:rPr>
        <w:t>培训时间：</w:t>
      </w:r>
      <w:r>
        <w:rPr>
          <w:rFonts w:ascii="Arial" w:hAnsi="宋体" w:cs="Arial"/>
          <w:sz w:val="21"/>
          <w:szCs w:val="21"/>
          <w:u w:val="single"/>
        </w:rPr>
        <w:t xml:space="preserve">                      </w:t>
      </w:r>
    </w:p>
    <w:p>
      <w:pPr>
        <w:pStyle w:val="26"/>
        <w:snapToGrid w:val="0"/>
        <w:spacing w:before="163" w:after="163" w:line="460" w:lineRule="exact"/>
        <w:rPr>
          <w:rFonts w:ascii="Arial" w:hAnsi="宋体" w:cs="Arial"/>
          <w:sz w:val="21"/>
          <w:szCs w:val="21"/>
        </w:rPr>
      </w:pPr>
      <w:r>
        <w:rPr>
          <w:rFonts w:ascii="Arial" w:hAnsi="宋体" w:cs="Arial"/>
          <w:sz w:val="21"/>
          <w:szCs w:val="21"/>
        </w:rPr>
        <w:t xml:space="preserve">培训方式： </w:t>
      </w:r>
      <w:r>
        <w:rPr>
          <w:rFonts w:ascii="Arial" w:hAnsi="宋体" w:cs="Arial"/>
          <w:sz w:val="21"/>
          <w:szCs w:val="21"/>
          <w:u w:val="single"/>
        </w:rPr>
        <w:t xml:space="preserve">                                                     </w:t>
      </w:r>
    </w:p>
    <w:p>
      <w:pPr>
        <w:pStyle w:val="26"/>
        <w:snapToGrid w:val="0"/>
        <w:spacing w:before="163" w:after="163" w:line="460" w:lineRule="exact"/>
        <w:rPr>
          <w:rFonts w:ascii="Arial" w:hAnsi="宋体" w:cs="Arial"/>
          <w:sz w:val="21"/>
          <w:szCs w:val="21"/>
        </w:rPr>
      </w:pPr>
      <w:r>
        <w:rPr>
          <w:rFonts w:ascii="Arial" w:hAnsi="宋体" w:cs="Arial"/>
          <w:sz w:val="21"/>
          <w:szCs w:val="21"/>
        </w:rPr>
        <w:t>十三、调试和验收</w:t>
      </w:r>
    </w:p>
    <w:p>
      <w:pPr>
        <w:pStyle w:val="26"/>
        <w:snapToGrid w:val="0"/>
        <w:spacing w:before="163" w:after="163" w:line="460" w:lineRule="exact"/>
        <w:rPr>
          <w:rFonts w:ascii="Arial" w:hAnsi="宋体" w:cs="Arial"/>
          <w:sz w:val="21"/>
          <w:szCs w:val="21"/>
        </w:rPr>
      </w:pPr>
      <w:r>
        <w:rPr>
          <w:rFonts w:ascii="Arial" w:hAnsi="宋体" w:cs="Arial"/>
          <w:sz w:val="21"/>
          <w:szCs w:val="21"/>
        </w:rPr>
        <w:t>1、本项目在使用前进行调试时，乙方需负责安装并培训</w:t>
      </w:r>
      <w:r>
        <w:rPr>
          <w:rFonts w:hint="eastAsia" w:ascii="Arial" w:hAnsi="宋体" w:cs="Arial"/>
          <w:sz w:val="21"/>
          <w:szCs w:val="21"/>
        </w:rPr>
        <w:t>甲方</w:t>
      </w:r>
      <w:r>
        <w:rPr>
          <w:rFonts w:ascii="Arial" w:hAnsi="宋体" w:cs="Arial"/>
          <w:sz w:val="21"/>
          <w:szCs w:val="21"/>
        </w:rPr>
        <w:t>的使用操作人员，并协助</w:t>
      </w:r>
      <w:r>
        <w:rPr>
          <w:rFonts w:hint="eastAsia" w:ascii="Arial" w:hAnsi="宋体" w:cs="Arial"/>
          <w:sz w:val="21"/>
          <w:szCs w:val="21"/>
        </w:rPr>
        <w:t>甲方</w:t>
      </w:r>
      <w:r>
        <w:rPr>
          <w:rFonts w:ascii="Arial" w:hAnsi="宋体" w:cs="Arial"/>
          <w:sz w:val="21"/>
          <w:szCs w:val="21"/>
        </w:rPr>
        <w:t>一起调试，直到符合技术要求，</w:t>
      </w:r>
      <w:r>
        <w:rPr>
          <w:rFonts w:hint="eastAsia" w:ascii="Arial" w:hAnsi="宋体" w:cs="Arial"/>
          <w:sz w:val="21"/>
          <w:szCs w:val="21"/>
        </w:rPr>
        <w:t>甲方</w:t>
      </w:r>
      <w:r>
        <w:rPr>
          <w:rFonts w:ascii="Arial" w:hAnsi="宋体" w:cs="Arial"/>
          <w:sz w:val="21"/>
          <w:szCs w:val="21"/>
        </w:rPr>
        <w:t>才做最终验收。</w:t>
      </w:r>
    </w:p>
    <w:p>
      <w:pPr>
        <w:pStyle w:val="26"/>
        <w:snapToGrid w:val="0"/>
        <w:spacing w:before="163" w:after="163" w:line="460" w:lineRule="exact"/>
        <w:rPr>
          <w:rFonts w:ascii="Arial" w:hAnsi="宋体" w:cs="Arial"/>
          <w:sz w:val="21"/>
          <w:szCs w:val="21"/>
        </w:rPr>
      </w:pPr>
      <w:r>
        <w:rPr>
          <w:rFonts w:ascii="Arial" w:hAnsi="宋体" w:cs="Arial"/>
          <w:sz w:val="21"/>
          <w:szCs w:val="21"/>
        </w:rPr>
        <w:t>2、乙方在安装调试过程中必须确保安全，乙方自行承担设备安装调试过程中的质量、任何状况下的安全责任，发生的一切问题和责任与</w:t>
      </w:r>
      <w:r>
        <w:rPr>
          <w:rFonts w:hint="eastAsia" w:ascii="Arial" w:hAnsi="宋体" w:cs="Arial"/>
          <w:sz w:val="21"/>
          <w:szCs w:val="21"/>
        </w:rPr>
        <w:t>甲方</w:t>
      </w:r>
      <w:r>
        <w:rPr>
          <w:rFonts w:ascii="Arial" w:hAnsi="宋体" w:cs="Arial"/>
          <w:sz w:val="21"/>
          <w:szCs w:val="21"/>
        </w:rPr>
        <w:t>无关，相关一切费用或民事、刑事责任均由乙方自理。若乙方不能及时处理所发生的问题和责任，并且影响到系统总体进度时，</w:t>
      </w:r>
      <w:r>
        <w:rPr>
          <w:rFonts w:hint="eastAsia" w:ascii="Arial" w:hAnsi="宋体" w:cs="Arial"/>
          <w:sz w:val="21"/>
          <w:szCs w:val="21"/>
        </w:rPr>
        <w:t>甲方</w:t>
      </w:r>
      <w:r>
        <w:rPr>
          <w:rFonts w:ascii="Arial" w:hAnsi="宋体" w:cs="Arial"/>
          <w:sz w:val="21"/>
          <w:szCs w:val="21"/>
        </w:rPr>
        <w:t>有权处理相关事务，所发生的费用在支付合同款时扣除。</w:t>
      </w:r>
    </w:p>
    <w:p>
      <w:pPr>
        <w:pStyle w:val="26"/>
        <w:snapToGrid w:val="0"/>
        <w:spacing w:before="163" w:after="163" w:line="460" w:lineRule="exact"/>
        <w:rPr>
          <w:rFonts w:ascii="Arial" w:hAnsi="宋体" w:cs="Arial"/>
          <w:sz w:val="21"/>
          <w:szCs w:val="21"/>
        </w:rPr>
      </w:pPr>
      <w:r>
        <w:rPr>
          <w:rFonts w:ascii="Arial" w:hAnsi="宋体" w:cs="Arial"/>
          <w:sz w:val="21"/>
          <w:szCs w:val="21"/>
        </w:rPr>
        <w:t>3.本项目涉及验收标准</w:t>
      </w:r>
      <w:r>
        <w:rPr>
          <w:rFonts w:hint="eastAsia" w:ascii="Arial" w:hAnsi="宋体" w:cs="Arial"/>
          <w:sz w:val="21"/>
          <w:szCs w:val="21"/>
        </w:rPr>
        <w:t>依据招投标文件规定及本合同约定执行，</w:t>
      </w:r>
      <w:r>
        <w:rPr>
          <w:rFonts w:ascii="Arial" w:hAnsi="宋体" w:cs="Arial"/>
          <w:sz w:val="21"/>
          <w:szCs w:val="21"/>
        </w:rPr>
        <w:t>包括但不限于教育部门、行业部门有关标准规范。</w:t>
      </w:r>
    </w:p>
    <w:p>
      <w:pPr>
        <w:pStyle w:val="26"/>
        <w:snapToGrid w:val="0"/>
        <w:spacing w:before="163" w:after="163" w:line="460" w:lineRule="exact"/>
        <w:rPr>
          <w:rFonts w:hint="default" w:ascii="Arial" w:hAnsi="宋体" w:eastAsia="宋体" w:cs="Arial"/>
          <w:b/>
          <w:bCs/>
          <w:color w:val="auto"/>
          <w:sz w:val="21"/>
          <w:szCs w:val="21"/>
          <w:lang w:val="en-US" w:eastAsia="zh-CN"/>
        </w:rPr>
      </w:pPr>
      <w:r>
        <w:rPr>
          <w:rFonts w:hint="eastAsia" w:ascii="Arial" w:hAnsi="宋体" w:cs="Arial"/>
          <w:b/>
          <w:bCs/>
          <w:color w:val="auto"/>
          <w:sz w:val="21"/>
          <w:szCs w:val="21"/>
          <w:lang w:val="en-US" w:eastAsia="zh-CN"/>
        </w:rPr>
        <w:t>4.乙方在竣工验收前须提供一套完整、准确、标准的CAD施工布点布线图给甲方。</w:t>
      </w:r>
    </w:p>
    <w:p>
      <w:pPr>
        <w:pStyle w:val="26"/>
        <w:snapToGrid w:val="0"/>
        <w:spacing w:before="163" w:after="163" w:line="460" w:lineRule="exact"/>
        <w:rPr>
          <w:rFonts w:ascii="Arial" w:hAnsi="宋体" w:cs="Arial"/>
          <w:sz w:val="21"/>
          <w:szCs w:val="21"/>
        </w:rPr>
      </w:pPr>
      <w:r>
        <w:rPr>
          <w:rFonts w:ascii="Arial" w:hAnsi="宋体" w:cs="Arial"/>
          <w:sz w:val="21"/>
          <w:szCs w:val="21"/>
        </w:rPr>
        <w:t>十四、货物包装、发运及运输</w:t>
      </w:r>
    </w:p>
    <w:p>
      <w:pPr>
        <w:pStyle w:val="26"/>
        <w:snapToGrid w:val="0"/>
        <w:spacing w:before="163" w:after="163" w:line="460" w:lineRule="exact"/>
        <w:rPr>
          <w:rFonts w:ascii="Arial" w:hAnsi="宋体" w:cs="Arial"/>
          <w:sz w:val="21"/>
          <w:szCs w:val="21"/>
        </w:rPr>
      </w:pPr>
      <w:r>
        <w:rPr>
          <w:rFonts w:ascii="Arial" w:hAnsi="宋体" w:cs="Arial"/>
          <w:sz w:val="21"/>
          <w:szCs w:val="21"/>
        </w:rPr>
        <w:t>1. 乙方应在货物发运前对其进行满足运输距离、防潮、防震、防锈和防破损装卸等要求包装，以保证货物安全运达</w:t>
      </w:r>
      <w:r>
        <w:rPr>
          <w:rFonts w:hint="eastAsia" w:ascii="Arial" w:hAnsi="宋体" w:cs="Arial"/>
          <w:sz w:val="21"/>
          <w:szCs w:val="21"/>
        </w:rPr>
        <w:t>甲方</w:t>
      </w:r>
      <w:r>
        <w:rPr>
          <w:rFonts w:ascii="Arial" w:hAnsi="宋体" w:cs="Arial"/>
          <w:sz w:val="21"/>
          <w:szCs w:val="21"/>
        </w:rPr>
        <w:t>指定地点。</w:t>
      </w:r>
    </w:p>
    <w:p>
      <w:pPr>
        <w:pStyle w:val="26"/>
        <w:snapToGrid w:val="0"/>
        <w:spacing w:before="163" w:after="163" w:line="460" w:lineRule="exact"/>
        <w:rPr>
          <w:rFonts w:ascii="Arial" w:hAnsi="宋体" w:cs="Arial"/>
          <w:sz w:val="21"/>
          <w:szCs w:val="21"/>
        </w:rPr>
      </w:pPr>
      <w:r>
        <w:rPr>
          <w:rFonts w:ascii="Arial" w:hAnsi="宋体" w:cs="Arial"/>
          <w:sz w:val="21"/>
          <w:szCs w:val="21"/>
        </w:rPr>
        <w:t>2. 使用说明书、质量检验证明书、随配附件和工具、质量合格凭证及装箱清单一并附于货物内，安装调试完毕后按设备清单逐一按序交付给</w:t>
      </w:r>
      <w:r>
        <w:rPr>
          <w:rFonts w:hint="eastAsia" w:ascii="Arial" w:hAnsi="宋体" w:cs="Arial"/>
          <w:sz w:val="21"/>
          <w:szCs w:val="21"/>
        </w:rPr>
        <w:t>甲方</w:t>
      </w:r>
      <w:r>
        <w:rPr>
          <w:rFonts w:ascii="Arial" w:hAnsi="宋体" w:cs="Arial"/>
          <w:sz w:val="21"/>
          <w:szCs w:val="21"/>
        </w:rPr>
        <w:t>。</w:t>
      </w:r>
    </w:p>
    <w:p>
      <w:pPr>
        <w:pStyle w:val="26"/>
        <w:snapToGrid w:val="0"/>
        <w:spacing w:before="163" w:after="163" w:line="460" w:lineRule="exact"/>
        <w:rPr>
          <w:rFonts w:ascii="Arial" w:hAnsi="宋体" w:cs="Arial"/>
          <w:sz w:val="21"/>
          <w:szCs w:val="21"/>
        </w:rPr>
      </w:pPr>
      <w:r>
        <w:rPr>
          <w:rFonts w:ascii="Arial" w:hAnsi="宋体" w:cs="Arial"/>
          <w:sz w:val="21"/>
          <w:szCs w:val="21"/>
        </w:rPr>
        <w:t>3. 所供货物必须首先符合有关国家强制性规定、国家（行业）标准或相关法律法规要求，同时满足招标文件规定的质量要求和使用需求。</w:t>
      </w:r>
      <w:r>
        <w:rPr>
          <w:rFonts w:hint="eastAsia" w:ascii="Arial" w:hAnsi="宋体" w:cs="Arial"/>
          <w:sz w:val="21"/>
          <w:szCs w:val="21"/>
        </w:rPr>
        <w:t>乙方</w:t>
      </w:r>
      <w:r>
        <w:rPr>
          <w:rFonts w:ascii="Arial" w:hAnsi="宋体" w:cs="Arial"/>
          <w:sz w:val="21"/>
          <w:szCs w:val="21"/>
        </w:rPr>
        <w:t>应提供全新未拆封产品（包括零部件、附件、备品备件），如确需拆封的，应在供货前征得</w:t>
      </w:r>
      <w:r>
        <w:rPr>
          <w:rFonts w:hint="eastAsia" w:ascii="Arial" w:hAnsi="宋体" w:cs="Arial"/>
          <w:sz w:val="21"/>
          <w:szCs w:val="21"/>
        </w:rPr>
        <w:t>甲方</w:t>
      </w:r>
      <w:r>
        <w:rPr>
          <w:rFonts w:ascii="Arial" w:hAnsi="宋体" w:cs="Arial"/>
          <w:sz w:val="21"/>
          <w:szCs w:val="21"/>
        </w:rPr>
        <w:t>同意，否则视为不能交货。</w:t>
      </w:r>
      <w:r>
        <w:rPr>
          <w:rFonts w:hint="eastAsia" w:ascii="Arial" w:hAnsi="宋体" w:cs="Arial"/>
          <w:sz w:val="21"/>
          <w:szCs w:val="21"/>
        </w:rPr>
        <w:t>乙方</w:t>
      </w:r>
      <w:r>
        <w:rPr>
          <w:rFonts w:ascii="Arial" w:hAnsi="宋体" w:cs="Arial"/>
          <w:sz w:val="21"/>
          <w:szCs w:val="21"/>
        </w:rPr>
        <w:t>保证全部按照合同规定的时间和方式向</w:t>
      </w:r>
      <w:r>
        <w:rPr>
          <w:rFonts w:hint="eastAsia" w:ascii="Arial" w:hAnsi="宋体" w:cs="Arial"/>
          <w:sz w:val="21"/>
          <w:szCs w:val="21"/>
        </w:rPr>
        <w:t>甲方</w:t>
      </w:r>
      <w:r>
        <w:rPr>
          <w:rFonts w:ascii="Arial" w:hAnsi="宋体" w:cs="Arial"/>
          <w:sz w:val="21"/>
          <w:szCs w:val="21"/>
        </w:rPr>
        <w:t>提供货物和服务，并负责可能的弥补缺陷。</w:t>
      </w:r>
    </w:p>
    <w:p>
      <w:pPr>
        <w:pStyle w:val="26"/>
        <w:snapToGrid w:val="0"/>
        <w:spacing w:before="163" w:after="163" w:line="460" w:lineRule="exact"/>
        <w:rPr>
          <w:rFonts w:ascii="Arial" w:hAnsi="宋体" w:cs="Arial"/>
          <w:sz w:val="21"/>
          <w:szCs w:val="21"/>
        </w:rPr>
      </w:pPr>
      <w:r>
        <w:rPr>
          <w:rFonts w:ascii="Arial" w:hAnsi="宋体" w:cs="Arial"/>
          <w:sz w:val="21"/>
          <w:szCs w:val="21"/>
        </w:rPr>
        <w:t>4. 货物在交付甲方前发生的风险均由乙方</w:t>
      </w:r>
      <w:r>
        <w:rPr>
          <w:rFonts w:hint="eastAsia" w:ascii="Arial" w:hAnsi="宋体" w:cs="Arial"/>
          <w:sz w:val="21"/>
          <w:szCs w:val="21"/>
        </w:rPr>
        <w:t>承担</w:t>
      </w:r>
      <w:r>
        <w:rPr>
          <w:rFonts w:ascii="Arial" w:hAnsi="宋体" w:cs="Arial"/>
          <w:sz w:val="21"/>
          <w:szCs w:val="21"/>
        </w:rPr>
        <w:t>。</w:t>
      </w:r>
    </w:p>
    <w:p>
      <w:pPr>
        <w:pStyle w:val="26"/>
        <w:snapToGrid w:val="0"/>
        <w:spacing w:before="163" w:after="163" w:line="460" w:lineRule="exact"/>
        <w:rPr>
          <w:rFonts w:ascii="Arial" w:hAnsi="宋体" w:cs="Arial"/>
          <w:sz w:val="21"/>
          <w:szCs w:val="21"/>
        </w:rPr>
      </w:pPr>
      <w:r>
        <w:rPr>
          <w:rFonts w:ascii="Arial" w:hAnsi="宋体" w:cs="Arial"/>
          <w:sz w:val="21"/>
          <w:szCs w:val="21"/>
        </w:rPr>
        <w:t>十五、违约责任</w:t>
      </w:r>
    </w:p>
    <w:p>
      <w:pPr>
        <w:pStyle w:val="26"/>
        <w:snapToGrid w:val="0"/>
        <w:spacing w:before="163" w:after="163" w:line="460" w:lineRule="exact"/>
        <w:rPr>
          <w:rFonts w:ascii="Arial" w:hAnsi="宋体" w:cs="Arial"/>
          <w:sz w:val="21"/>
          <w:szCs w:val="21"/>
        </w:rPr>
      </w:pPr>
      <w:r>
        <w:rPr>
          <w:rFonts w:ascii="Arial" w:hAnsi="宋体" w:cs="Arial"/>
          <w:sz w:val="21"/>
          <w:szCs w:val="21"/>
        </w:rPr>
        <w:t>1、完成时间：乙方应在投标文件承诺完成期限前完成全部工作内容，并经相关部门验收合格</w:t>
      </w:r>
      <w:r>
        <w:rPr>
          <w:rFonts w:hint="eastAsia" w:ascii="Arial" w:hAnsi="宋体" w:cs="Arial"/>
          <w:sz w:val="21"/>
          <w:szCs w:val="21"/>
        </w:rPr>
        <w:t>。</w:t>
      </w:r>
      <w:r>
        <w:rPr>
          <w:rFonts w:ascii="Arial" w:hAnsi="宋体" w:cs="Arial"/>
          <w:sz w:val="21"/>
          <w:szCs w:val="21"/>
        </w:rPr>
        <w:t>不能按期完成的，每拖延一天</w:t>
      </w:r>
      <w:r>
        <w:rPr>
          <w:rFonts w:hint="eastAsia" w:ascii="Arial" w:hAnsi="宋体" w:cs="Arial"/>
          <w:sz w:val="21"/>
          <w:szCs w:val="21"/>
        </w:rPr>
        <w:t>，向甲方支付违约金</w:t>
      </w:r>
      <w:r>
        <w:rPr>
          <w:rFonts w:ascii="Arial" w:hAnsi="宋体" w:cs="Arial"/>
          <w:sz w:val="21"/>
          <w:szCs w:val="21"/>
        </w:rPr>
        <w:t>2000元。</w:t>
      </w:r>
    </w:p>
    <w:p>
      <w:pPr>
        <w:pStyle w:val="26"/>
        <w:snapToGrid w:val="0"/>
        <w:spacing w:before="163" w:after="163" w:line="460" w:lineRule="exact"/>
        <w:rPr>
          <w:rFonts w:ascii="Arial" w:hAnsi="宋体" w:cs="Arial"/>
          <w:sz w:val="21"/>
          <w:szCs w:val="21"/>
        </w:rPr>
      </w:pPr>
      <w:r>
        <w:rPr>
          <w:rFonts w:ascii="Arial" w:hAnsi="宋体" w:cs="Arial"/>
          <w:sz w:val="21"/>
          <w:szCs w:val="21"/>
        </w:rPr>
        <w:t>2、项目实施过程中，如果达不到</w:t>
      </w:r>
      <w:r>
        <w:rPr>
          <w:rFonts w:hint="eastAsia" w:ascii="Arial" w:hAnsi="宋体" w:cs="Arial"/>
          <w:sz w:val="21"/>
          <w:szCs w:val="21"/>
        </w:rPr>
        <w:t>招投标文件规定的</w:t>
      </w:r>
      <w:r>
        <w:rPr>
          <w:rFonts w:ascii="Arial" w:hAnsi="宋体" w:cs="Arial"/>
          <w:sz w:val="21"/>
          <w:szCs w:val="21"/>
        </w:rPr>
        <w:t>承诺质量目标，无法满足甲方的使用需求，乙方必须无偿整改达到承诺质量目标，另按合同价款的5%向</w:t>
      </w:r>
      <w:r>
        <w:rPr>
          <w:rFonts w:hint="eastAsia" w:ascii="Arial" w:hAnsi="宋体" w:cs="Arial"/>
          <w:sz w:val="21"/>
          <w:szCs w:val="21"/>
        </w:rPr>
        <w:t>甲方</w:t>
      </w:r>
      <w:r>
        <w:rPr>
          <w:rFonts w:ascii="Arial" w:hAnsi="宋体" w:cs="Arial"/>
          <w:sz w:val="21"/>
          <w:szCs w:val="21"/>
        </w:rPr>
        <w:t>支付违约金，</w:t>
      </w:r>
      <w:r>
        <w:rPr>
          <w:rFonts w:hint="eastAsia" w:ascii="Arial" w:hAnsi="宋体" w:cs="Arial"/>
          <w:sz w:val="21"/>
          <w:szCs w:val="21"/>
        </w:rPr>
        <w:t>甲方有权</w:t>
      </w:r>
      <w:r>
        <w:rPr>
          <w:rFonts w:ascii="Arial" w:hAnsi="宋体" w:cs="Arial"/>
          <w:sz w:val="21"/>
          <w:szCs w:val="21"/>
        </w:rPr>
        <w:t>直接从履约保证金或项目结算价款中扣除。由此造成的时间延误将不予顺延，给甲方造成实际损失的还将承担经济赔偿责任。</w:t>
      </w:r>
    </w:p>
    <w:p>
      <w:pPr>
        <w:pStyle w:val="26"/>
        <w:snapToGrid w:val="0"/>
        <w:spacing w:before="163" w:after="163" w:line="460" w:lineRule="exact"/>
        <w:rPr>
          <w:rFonts w:ascii="Arial" w:hAnsi="宋体" w:cs="Arial"/>
          <w:sz w:val="21"/>
          <w:szCs w:val="21"/>
        </w:rPr>
      </w:pPr>
      <w:r>
        <w:rPr>
          <w:rFonts w:hint="eastAsia" w:ascii="Arial" w:hAnsi="宋体" w:cs="Arial"/>
          <w:sz w:val="21"/>
          <w:szCs w:val="21"/>
        </w:rPr>
        <w:t>3、甲方根据上级规范性文件、政策措施及上级行政主管部门要求，变更合同内容、项目实施及解除合同的，乙方承诺予以理解、认可。甲方不承担由此产生的违约责任，但应赔偿乙方实际损失。</w:t>
      </w:r>
    </w:p>
    <w:p>
      <w:pPr>
        <w:pStyle w:val="26"/>
        <w:snapToGrid w:val="0"/>
        <w:spacing w:before="163" w:after="163" w:line="460" w:lineRule="exact"/>
        <w:rPr>
          <w:rFonts w:ascii="Arial" w:hAnsi="宋体" w:cs="Arial"/>
          <w:sz w:val="21"/>
          <w:szCs w:val="21"/>
        </w:rPr>
      </w:pPr>
      <w:r>
        <w:rPr>
          <w:rFonts w:ascii="Arial" w:hAnsi="宋体" w:cs="Arial"/>
          <w:sz w:val="21"/>
          <w:szCs w:val="21"/>
        </w:rPr>
        <w:t>十六、不可抗力事件处理</w:t>
      </w:r>
    </w:p>
    <w:p>
      <w:pPr>
        <w:pStyle w:val="26"/>
        <w:snapToGrid w:val="0"/>
        <w:spacing w:before="163" w:after="163" w:line="460" w:lineRule="exact"/>
        <w:rPr>
          <w:rFonts w:ascii="Arial" w:hAnsi="宋体" w:cs="Arial"/>
          <w:sz w:val="21"/>
          <w:szCs w:val="21"/>
        </w:rPr>
      </w:pPr>
      <w:r>
        <w:rPr>
          <w:rFonts w:ascii="Arial" w:hAnsi="宋体" w:cs="Arial"/>
          <w:sz w:val="21"/>
          <w:szCs w:val="21"/>
        </w:rPr>
        <w:t>1. 在合同有效期内，任何一方因不可抗力事件</w:t>
      </w:r>
      <w:r>
        <w:rPr>
          <w:rFonts w:hint="eastAsia" w:ascii="Arial" w:hAnsi="宋体" w:cs="Arial"/>
          <w:sz w:val="21"/>
          <w:szCs w:val="21"/>
        </w:rPr>
        <w:t>或其它不能预见、不能避免、不能克服的意外情况</w:t>
      </w:r>
      <w:r>
        <w:rPr>
          <w:rFonts w:ascii="Arial" w:hAnsi="宋体" w:cs="Arial"/>
          <w:sz w:val="21"/>
          <w:szCs w:val="21"/>
        </w:rPr>
        <w:t>导致不能履行合同，则合同履行期可延长，其延长期与不可抗力影响期相同。</w:t>
      </w:r>
    </w:p>
    <w:p>
      <w:pPr>
        <w:pStyle w:val="26"/>
        <w:snapToGrid w:val="0"/>
        <w:spacing w:before="163" w:after="163" w:line="460" w:lineRule="exact"/>
        <w:rPr>
          <w:rFonts w:ascii="Arial" w:hAnsi="宋体" w:cs="Arial"/>
          <w:sz w:val="21"/>
          <w:szCs w:val="21"/>
        </w:rPr>
      </w:pPr>
      <w:r>
        <w:rPr>
          <w:rFonts w:ascii="Arial" w:hAnsi="宋体" w:cs="Arial"/>
          <w:sz w:val="21"/>
          <w:szCs w:val="21"/>
        </w:rPr>
        <w:t>2. 不可抗力事件</w:t>
      </w:r>
      <w:r>
        <w:rPr>
          <w:rFonts w:hint="eastAsia" w:ascii="Arial" w:hAnsi="宋体" w:cs="Arial"/>
          <w:sz w:val="21"/>
          <w:szCs w:val="21"/>
        </w:rPr>
        <w:t>及意外情况</w:t>
      </w:r>
      <w:r>
        <w:rPr>
          <w:rFonts w:ascii="Arial" w:hAnsi="宋体" w:cs="Arial"/>
          <w:sz w:val="21"/>
          <w:szCs w:val="21"/>
        </w:rPr>
        <w:t>发生后，应立即通知对方，并寄送有关权威机构出具的证明。</w:t>
      </w:r>
    </w:p>
    <w:p>
      <w:pPr>
        <w:pStyle w:val="26"/>
        <w:snapToGrid w:val="0"/>
        <w:spacing w:before="163" w:after="163" w:line="460" w:lineRule="exact"/>
        <w:rPr>
          <w:rFonts w:ascii="Arial" w:hAnsi="宋体" w:cs="Arial"/>
          <w:sz w:val="21"/>
          <w:szCs w:val="21"/>
        </w:rPr>
      </w:pPr>
      <w:r>
        <w:rPr>
          <w:rFonts w:ascii="Arial" w:hAnsi="宋体" w:cs="Arial"/>
          <w:sz w:val="21"/>
          <w:szCs w:val="21"/>
        </w:rPr>
        <w:t>3. 不可抗力事件</w:t>
      </w:r>
      <w:r>
        <w:rPr>
          <w:rFonts w:hint="eastAsia" w:ascii="Arial" w:hAnsi="宋体" w:cs="Arial"/>
          <w:sz w:val="21"/>
          <w:szCs w:val="21"/>
        </w:rPr>
        <w:t>及意外情况</w:t>
      </w:r>
      <w:r>
        <w:rPr>
          <w:rFonts w:ascii="Arial" w:hAnsi="宋体" w:cs="Arial"/>
          <w:sz w:val="21"/>
          <w:szCs w:val="21"/>
        </w:rPr>
        <w:t>延续120天以上，双方应通过友好协商，确定是否继续履行合同。</w:t>
      </w:r>
    </w:p>
    <w:p>
      <w:pPr>
        <w:pStyle w:val="26"/>
        <w:snapToGrid w:val="0"/>
        <w:spacing w:before="163" w:after="163" w:line="460" w:lineRule="exact"/>
        <w:rPr>
          <w:rFonts w:ascii="Arial" w:hAnsi="宋体" w:cs="Arial"/>
          <w:sz w:val="21"/>
          <w:szCs w:val="21"/>
        </w:rPr>
      </w:pPr>
      <w:r>
        <w:rPr>
          <w:rFonts w:ascii="Arial" w:hAnsi="宋体" w:cs="Arial"/>
          <w:sz w:val="21"/>
          <w:szCs w:val="21"/>
        </w:rPr>
        <w:t>十七、仲裁与诉讼</w:t>
      </w:r>
    </w:p>
    <w:p>
      <w:pPr>
        <w:pStyle w:val="26"/>
        <w:snapToGrid w:val="0"/>
        <w:spacing w:before="163" w:after="163" w:line="460" w:lineRule="exact"/>
        <w:ind w:left="1"/>
        <w:rPr>
          <w:rFonts w:ascii="Arial" w:hAnsi="宋体" w:cs="Arial"/>
          <w:sz w:val="21"/>
          <w:szCs w:val="21"/>
        </w:rPr>
      </w:pPr>
      <w:r>
        <w:rPr>
          <w:rFonts w:ascii="Arial" w:hAnsi="宋体" w:cs="Arial"/>
          <w:sz w:val="21"/>
          <w:szCs w:val="21"/>
        </w:rPr>
        <w:t xml:space="preserve"> 双方在执行合同中所发生的一切争议，应通过协商解决。如协商不成，可申请</w:t>
      </w:r>
      <w:r>
        <w:rPr>
          <w:rFonts w:hint="eastAsia" w:ascii="Arial" w:hAnsi="宋体" w:cs="Arial"/>
          <w:sz w:val="21"/>
          <w:szCs w:val="21"/>
        </w:rPr>
        <w:t>盐城</w:t>
      </w:r>
      <w:r>
        <w:rPr>
          <w:rFonts w:ascii="Arial" w:hAnsi="宋体" w:cs="Arial"/>
          <w:sz w:val="21"/>
          <w:szCs w:val="21"/>
        </w:rPr>
        <w:t>仲裁委员会仲裁。</w:t>
      </w:r>
      <w:r>
        <w:rPr>
          <w:rFonts w:hint="eastAsia" w:ascii="Arial" w:hAnsi="宋体" w:cs="Arial"/>
          <w:sz w:val="21"/>
          <w:szCs w:val="21"/>
        </w:rPr>
        <w:t>如发生仲裁，双方代理律师均不采取风险代理方式，律师代理费由双方各自承担。</w:t>
      </w:r>
    </w:p>
    <w:p>
      <w:pPr>
        <w:pStyle w:val="26"/>
        <w:snapToGrid w:val="0"/>
        <w:spacing w:before="163" w:after="163" w:line="460" w:lineRule="exact"/>
        <w:rPr>
          <w:rFonts w:ascii="Arial" w:hAnsi="宋体" w:cs="Arial"/>
          <w:sz w:val="21"/>
          <w:szCs w:val="21"/>
        </w:rPr>
      </w:pPr>
      <w:r>
        <w:rPr>
          <w:rFonts w:ascii="Arial" w:hAnsi="宋体" w:cs="Arial"/>
          <w:sz w:val="21"/>
          <w:szCs w:val="21"/>
        </w:rPr>
        <w:t>十八、合同附则</w:t>
      </w:r>
    </w:p>
    <w:p>
      <w:pPr>
        <w:pStyle w:val="26"/>
        <w:snapToGrid w:val="0"/>
        <w:spacing w:before="163" w:after="163" w:line="460" w:lineRule="exact"/>
        <w:ind w:left="1"/>
        <w:rPr>
          <w:rFonts w:ascii="Arial" w:hAnsi="宋体" w:cs="Arial"/>
          <w:sz w:val="21"/>
          <w:szCs w:val="21"/>
        </w:rPr>
      </w:pPr>
      <w:r>
        <w:rPr>
          <w:rFonts w:ascii="Arial" w:hAnsi="宋体" w:cs="Arial"/>
          <w:sz w:val="21"/>
          <w:szCs w:val="21"/>
        </w:rPr>
        <w:t>1、</w:t>
      </w:r>
      <w:r>
        <w:rPr>
          <w:rFonts w:hint="eastAsia" w:ascii="Arial" w:hAnsi="宋体" w:cs="Arial"/>
          <w:sz w:val="21"/>
          <w:szCs w:val="21"/>
        </w:rPr>
        <w:t>乙方</w:t>
      </w:r>
      <w:r>
        <w:rPr>
          <w:rFonts w:ascii="Arial" w:hAnsi="宋体" w:cs="Arial"/>
          <w:sz w:val="21"/>
          <w:szCs w:val="21"/>
        </w:rPr>
        <w:t>所提供设备、平台系统、软件及服务及必须满足所有功能要求，</w:t>
      </w:r>
      <w:r>
        <w:rPr>
          <w:rFonts w:hint="eastAsia" w:ascii="Arial" w:hAnsi="宋体" w:cs="Arial"/>
          <w:sz w:val="21"/>
          <w:szCs w:val="21"/>
        </w:rPr>
        <w:t>乙方</w:t>
      </w:r>
      <w:r>
        <w:rPr>
          <w:rFonts w:ascii="Arial" w:hAnsi="宋体" w:cs="Arial"/>
          <w:sz w:val="21"/>
          <w:szCs w:val="21"/>
        </w:rPr>
        <w:t>有责任保证</w:t>
      </w:r>
      <w:r>
        <w:rPr>
          <w:rFonts w:hint="eastAsia" w:ascii="Arial" w:hAnsi="宋体" w:cs="Arial"/>
          <w:sz w:val="21"/>
          <w:szCs w:val="21"/>
        </w:rPr>
        <w:t>甲方</w:t>
      </w:r>
      <w:r>
        <w:rPr>
          <w:rFonts w:ascii="Arial" w:hAnsi="宋体" w:cs="Arial"/>
          <w:sz w:val="21"/>
          <w:szCs w:val="21"/>
        </w:rPr>
        <w:t>系统的功能性和完整性，未在招标文件中明示的设备及附配件，</w:t>
      </w:r>
      <w:r>
        <w:rPr>
          <w:rFonts w:hint="eastAsia" w:ascii="Arial" w:hAnsi="宋体" w:cs="Arial"/>
          <w:sz w:val="21"/>
          <w:szCs w:val="21"/>
        </w:rPr>
        <w:t>乙方</w:t>
      </w:r>
      <w:r>
        <w:rPr>
          <w:rFonts w:ascii="Arial" w:hAnsi="宋体" w:cs="Arial"/>
          <w:sz w:val="21"/>
          <w:szCs w:val="21"/>
        </w:rPr>
        <w:t>在投标报价时已予以考虑，如项目实施过程中因缺少设备、配件或服务导致</w:t>
      </w:r>
      <w:r>
        <w:rPr>
          <w:rFonts w:hint="eastAsia" w:ascii="Arial" w:hAnsi="宋体" w:cs="Arial"/>
          <w:sz w:val="21"/>
          <w:szCs w:val="21"/>
        </w:rPr>
        <w:t>甲方</w:t>
      </w:r>
      <w:r>
        <w:rPr>
          <w:rFonts w:ascii="Arial" w:hAnsi="宋体" w:cs="Arial"/>
          <w:sz w:val="21"/>
          <w:szCs w:val="21"/>
        </w:rPr>
        <w:t>系统无法正常运行，</w:t>
      </w:r>
      <w:r>
        <w:rPr>
          <w:rFonts w:hint="eastAsia" w:ascii="Arial" w:hAnsi="宋体" w:cs="Arial"/>
          <w:sz w:val="21"/>
          <w:szCs w:val="21"/>
        </w:rPr>
        <w:t>乙方</w:t>
      </w:r>
      <w:r>
        <w:rPr>
          <w:rFonts w:ascii="Arial" w:hAnsi="宋体" w:cs="Arial"/>
          <w:sz w:val="21"/>
          <w:szCs w:val="21"/>
        </w:rPr>
        <w:t>须承诺免费提供；除</w:t>
      </w:r>
      <w:r>
        <w:rPr>
          <w:rFonts w:hint="eastAsia" w:ascii="Arial" w:hAnsi="宋体" w:cs="Arial"/>
          <w:sz w:val="21"/>
          <w:szCs w:val="21"/>
        </w:rPr>
        <w:t>甲方</w:t>
      </w:r>
      <w:r>
        <w:rPr>
          <w:rFonts w:ascii="Arial" w:hAnsi="宋体" w:cs="Arial"/>
          <w:sz w:val="21"/>
          <w:szCs w:val="21"/>
        </w:rPr>
        <w:t>明确提出的变更外，本项目不再增加任何费用；</w:t>
      </w:r>
    </w:p>
    <w:p>
      <w:pPr>
        <w:pStyle w:val="26"/>
        <w:snapToGrid w:val="0"/>
        <w:spacing w:before="163" w:after="163" w:line="460" w:lineRule="exact"/>
        <w:ind w:left="1"/>
        <w:rPr>
          <w:rFonts w:ascii="Arial" w:hAnsi="宋体" w:cs="Arial"/>
          <w:sz w:val="21"/>
          <w:szCs w:val="21"/>
        </w:rPr>
      </w:pPr>
      <w:r>
        <w:rPr>
          <w:rFonts w:ascii="Arial" w:hAnsi="宋体" w:cs="Arial"/>
          <w:sz w:val="21"/>
          <w:szCs w:val="21"/>
        </w:rPr>
        <w:t>2、</w:t>
      </w:r>
      <w:r>
        <w:rPr>
          <w:rFonts w:hint="eastAsia" w:ascii="Arial" w:hAnsi="宋体" w:cs="Arial"/>
          <w:sz w:val="21"/>
          <w:szCs w:val="21"/>
        </w:rPr>
        <w:t>乙方</w:t>
      </w:r>
      <w:r>
        <w:rPr>
          <w:rFonts w:ascii="Arial" w:hAnsi="宋体" w:cs="Arial"/>
          <w:sz w:val="21"/>
          <w:szCs w:val="21"/>
        </w:rPr>
        <w:t>须保证所提供硬件和软件产品包括相关附件为相应厂商的原装正品。</w:t>
      </w:r>
    </w:p>
    <w:p>
      <w:pPr>
        <w:pStyle w:val="26"/>
        <w:snapToGrid w:val="0"/>
        <w:spacing w:before="163" w:after="163" w:line="460" w:lineRule="exact"/>
        <w:ind w:left="1"/>
        <w:rPr>
          <w:rFonts w:ascii="Arial" w:hAnsi="宋体" w:cs="Arial"/>
          <w:sz w:val="21"/>
          <w:szCs w:val="21"/>
        </w:rPr>
      </w:pPr>
      <w:r>
        <w:rPr>
          <w:rFonts w:ascii="Arial" w:hAnsi="宋体" w:cs="Arial"/>
          <w:sz w:val="21"/>
          <w:szCs w:val="21"/>
        </w:rPr>
        <w:t>3、</w:t>
      </w:r>
      <w:r>
        <w:rPr>
          <w:rFonts w:hint="eastAsia" w:ascii="Arial" w:hAnsi="宋体" w:cs="Arial"/>
          <w:sz w:val="21"/>
          <w:szCs w:val="21"/>
        </w:rPr>
        <w:t>乙方</w:t>
      </w:r>
      <w:r>
        <w:rPr>
          <w:rFonts w:ascii="Arial" w:hAnsi="宋体" w:cs="Arial"/>
          <w:sz w:val="21"/>
          <w:szCs w:val="21"/>
        </w:rPr>
        <w:t>与</w:t>
      </w:r>
      <w:r>
        <w:rPr>
          <w:rFonts w:hint="eastAsia" w:ascii="Arial" w:hAnsi="宋体" w:cs="Arial"/>
          <w:sz w:val="21"/>
          <w:szCs w:val="21"/>
        </w:rPr>
        <w:t>工程软硬件产品供应商</w:t>
      </w:r>
      <w:r>
        <w:rPr>
          <w:rFonts w:ascii="Arial" w:hAnsi="宋体" w:cs="Arial"/>
          <w:sz w:val="21"/>
          <w:szCs w:val="21"/>
        </w:rPr>
        <w:t>共同负责硬件设备安装、软件安装及调试与验收，提供详细的安装调试方案，并提交</w:t>
      </w:r>
      <w:r>
        <w:rPr>
          <w:rFonts w:hint="eastAsia" w:ascii="Arial" w:hAnsi="宋体" w:cs="Arial"/>
          <w:sz w:val="21"/>
          <w:szCs w:val="21"/>
        </w:rPr>
        <w:t>甲方</w:t>
      </w:r>
      <w:r>
        <w:rPr>
          <w:rFonts w:ascii="Arial" w:hAnsi="宋体" w:cs="Arial"/>
          <w:sz w:val="21"/>
          <w:szCs w:val="21"/>
        </w:rPr>
        <w:t>认可方可实施。</w:t>
      </w:r>
    </w:p>
    <w:p>
      <w:pPr>
        <w:pStyle w:val="26"/>
        <w:snapToGrid w:val="0"/>
        <w:spacing w:before="163" w:after="163" w:line="460" w:lineRule="exact"/>
        <w:ind w:left="1"/>
        <w:rPr>
          <w:rFonts w:ascii="Arial" w:hAnsi="宋体" w:cs="Arial"/>
          <w:sz w:val="21"/>
          <w:szCs w:val="21"/>
        </w:rPr>
      </w:pPr>
      <w:r>
        <w:rPr>
          <w:rFonts w:ascii="Arial" w:hAnsi="宋体" w:cs="Arial"/>
          <w:sz w:val="21"/>
          <w:szCs w:val="21"/>
        </w:rPr>
        <w:t>设备安装、调试所需的工具、仪表及安装材料由乙方自行解决。施工过程应严格执行相关的强弱电施工规范，并保证施工安全。</w:t>
      </w:r>
    </w:p>
    <w:p>
      <w:pPr>
        <w:pStyle w:val="26"/>
        <w:snapToGrid w:val="0"/>
        <w:spacing w:before="163" w:after="163" w:line="460" w:lineRule="exact"/>
        <w:ind w:left="1"/>
        <w:rPr>
          <w:rFonts w:ascii="Arial" w:hAnsi="宋体" w:cs="Arial"/>
          <w:sz w:val="21"/>
          <w:szCs w:val="21"/>
        </w:rPr>
      </w:pPr>
      <w:r>
        <w:rPr>
          <w:rFonts w:ascii="Arial" w:hAnsi="宋体" w:cs="Arial"/>
          <w:sz w:val="21"/>
          <w:szCs w:val="21"/>
        </w:rPr>
        <w:t>设备安装、调测的主要目标是使整个系统能够连通并具有可操作性、所有设备能够接通并正常运转、所有软件能够在相应平台上正常运行。</w:t>
      </w:r>
    </w:p>
    <w:p>
      <w:pPr>
        <w:pStyle w:val="26"/>
        <w:snapToGrid w:val="0"/>
        <w:spacing w:before="163" w:after="163" w:line="460" w:lineRule="exact"/>
        <w:ind w:left="1"/>
        <w:rPr>
          <w:rFonts w:ascii="Arial" w:hAnsi="宋体" w:cs="Arial"/>
          <w:sz w:val="21"/>
          <w:szCs w:val="21"/>
        </w:rPr>
      </w:pPr>
      <w:r>
        <w:rPr>
          <w:rFonts w:ascii="Arial" w:hAnsi="宋体" w:cs="Arial"/>
          <w:sz w:val="21"/>
          <w:szCs w:val="21"/>
        </w:rPr>
        <w:t>乙方必须</w:t>
      </w:r>
      <w:r>
        <w:rPr>
          <w:rFonts w:hint="eastAsia" w:ascii="Arial" w:hAnsi="宋体" w:cs="Arial"/>
          <w:sz w:val="21"/>
          <w:szCs w:val="21"/>
        </w:rPr>
        <w:t>按</w:t>
      </w:r>
      <w:r>
        <w:rPr>
          <w:rFonts w:ascii="Arial" w:hAnsi="宋体" w:cs="Arial"/>
          <w:sz w:val="21"/>
          <w:szCs w:val="21"/>
        </w:rPr>
        <w:t>下列安装、调测</w:t>
      </w:r>
      <w:r>
        <w:rPr>
          <w:rFonts w:hint="eastAsia" w:ascii="Arial" w:hAnsi="宋体" w:cs="Arial"/>
          <w:sz w:val="21"/>
          <w:szCs w:val="21"/>
        </w:rPr>
        <w:t>要求执行</w:t>
      </w:r>
      <w:r>
        <w:rPr>
          <w:rFonts w:ascii="Arial" w:hAnsi="宋体" w:cs="Arial"/>
          <w:sz w:val="21"/>
          <w:szCs w:val="21"/>
        </w:rPr>
        <w:t>：</w:t>
      </w:r>
    </w:p>
    <w:p>
      <w:pPr>
        <w:pStyle w:val="26"/>
        <w:snapToGrid w:val="0"/>
        <w:spacing w:before="163" w:after="163" w:line="460" w:lineRule="exact"/>
        <w:ind w:left="1"/>
        <w:rPr>
          <w:rFonts w:ascii="Arial" w:hAnsi="宋体" w:cs="Arial"/>
          <w:sz w:val="21"/>
          <w:szCs w:val="21"/>
        </w:rPr>
      </w:pPr>
      <w:r>
        <w:rPr>
          <w:rFonts w:ascii="Arial" w:hAnsi="宋体" w:cs="Arial"/>
          <w:sz w:val="21"/>
          <w:szCs w:val="21"/>
        </w:rPr>
        <w:t>（1）配套设备的连接测试，构成相应的硬件平台和网络平台。</w:t>
      </w:r>
    </w:p>
    <w:p>
      <w:pPr>
        <w:pStyle w:val="26"/>
        <w:snapToGrid w:val="0"/>
        <w:spacing w:before="163" w:after="163" w:line="460" w:lineRule="exact"/>
        <w:ind w:left="1"/>
        <w:rPr>
          <w:rFonts w:ascii="Arial" w:hAnsi="宋体" w:cs="Arial"/>
          <w:sz w:val="21"/>
          <w:szCs w:val="21"/>
        </w:rPr>
      </w:pPr>
      <w:r>
        <w:rPr>
          <w:rFonts w:ascii="Arial" w:hAnsi="宋体" w:cs="Arial"/>
          <w:sz w:val="21"/>
          <w:szCs w:val="21"/>
        </w:rPr>
        <w:t>（2）如安装、调测中出现不符合招标文件和合同要求的严重质量问题时，不能满足教学使用要求的，</w:t>
      </w:r>
      <w:r>
        <w:rPr>
          <w:rFonts w:hint="eastAsia" w:ascii="Arial" w:hAnsi="宋体" w:cs="Arial"/>
          <w:sz w:val="21"/>
          <w:szCs w:val="21"/>
        </w:rPr>
        <w:t>甲方</w:t>
      </w:r>
      <w:r>
        <w:rPr>
          <w:rFonts w:ascii="Arial" w:hAnsi="宋体" w:cs="Arial"/>
          <w:sz w:val="21"/>
          <w:szCs w:val="21"/>
        </w:rPr>
        <w:t>保留索赔的权利。</w:t>
      </w:r>
    </w:p>
    <w:p>
      <w:pPr>
        <w:pStyle w:val="26"/>
        <w:snapToGrid w:val="0"/>
        <w:spacing w:before="163" w:after="163" w:line="460" w:lineRule="exact"/>
        <w:ind w:left="1"/>
        <w:rPr>
          <w:rFonts w:ascii="Arial" w:hAnsi="宋体" w:cs="Arial"/>
          <w:sz w:val="21"/>
          <w:szCs w:val="21"/>
        </w:rPr>
      </w:pPr>
      <w:r>
        <w:rPr>
          <w:rFonts w:ascii="Arial" w:hAnsi="宋体" w:cs="Arial"/>
          <w:sz w:val="21"/>
          <w:szCs w:val="21"/>
        </w:rPr>
        <w:t>4、测试和验收</w:t>
      </w:r>
    </w:p>
    <w:p>
      <w:pPr>
        <w:pStyle w:val="26"/>
        <w:snapToGrid w:val="0"/>
        <w:spacing w:before="163" w:after="163" w:line="460" w:lineRule="exact"/>
        <w:ind w:left="1"/>
        <w:rPr>
          <w:rFonts w:ascii="Arial" w:hAnsi="宋体" w:cs="Arial"/>
          <w:sz w:val="21"/>
          <w:szCs w:val="21"/>
        </w:rPr>
      </w:pPr>
      <w:bookmarkStart w:id="543" w:name="_Toc428769097"/>
      <w:bookmarkStart w:id="544" w:name="_Toc428690736"/>
      <w:bookmarkStart w:id="545" w:name="_Toc428438352"/>
      <w:bookmarkStart w:id="546" w:name="_Toc428690227"/>
      <w:bookmarkStart w:id="547" w:name="_Toc428696161"/>
      <w:bookmarkStart w:id="548" w:name="_Toc428633620"/>
      <w:bookmarkStart w:id="549" w:name="_Toc434993238"/>
      <w:bookmarkStart w:id="550" w:name="_Toc428689354"/>
      <w:bookmarkStart w:id="551" w:name="_Toc428695955"/>
      <w:bookmarkStart w:id="552" w:name="_Toc434980088"/>
      <w:bookmarkStart w:id="553" w:name="_Toc429556560"/>
      <w:bookmarkStart w:id="554" w:name="_Toc428696325"/>
      <w:bookmarkStart w:id="555" w:name="_Toc428438296"/>
      <w:bookmarkStart w:id="556" w:name="_Toc429476859"/>
      <w:bookmarkStart w:id="557" w:name="_Toc428690302"/>
      <w:bookmarkStart w:id="558" w:name="_Toc429366392"/>
      <w:bookmarkStart w:id="559" w:name="_Toc434121888"/>
      <w:bookmarkStart w:id="560" w:name="_Toc428696416"/>
      <w:bookmarkStart w:id="561" w:name="_Toc528414476"/>
      <w:bookmarkStart w:id="562" w:name="_Toc428689981"/>
      <w:bookmarkStart w:id="563" w:name="_Toc430058011"/>
      <w:bookmarkStart w:id="564" w:name="_Toc513784101"/>
      <w:bookmarkStart w:id="565" w:name="_Toc428690460"/>
      <w:bookmarkStart w:id="566" w:name="_Toc428679010"/>
      <w:bookmarkStart w:id="567" w:name="_Toc428677914"/>
      <w:bookmarkStart w:id="568" w:name="_Toc428690533"/>
      <w:bookmarkStart w:id="569" w:name="_Toc429540795"/>
      <w:bookmarkStart w:id="570" w:name="_Toc428696080"/>
      <w:r>
        <w:rPr>
          <w:rFonts w:hint="eastAsia" w:ascii="Arial" w:hAnsi="宋体" w:cs="Arial"/>
          <w:sz w:val="21"/>
          <w:szCs w:val="21"/>
        </w:rPr>
        <w:t>乙方</w:t>
      </w:r>
      <w:r>
        <w:rPr>
          <w:rFonts w:ascii="Arial" w:hAnsi="宋体" w:cs="Arial"/>
          <w:sz w:val="21"/>
          <w:szCs w:val="21"/>
        </w:rPr>
        <w:t>应向</w:t>
      </w:r>
      <w:r>
        <w:rPr>
          <w:rFonts w:hint="eastAsia" w:ascii="Arial" w:hAnsi="宋体" w:cs="Arial"/>
          <w:sz w:val="21"/>
          <w:szCs w:val="21"/>
        </w:rPr>
        <w:t>甲方</w:t>
      </w:r>
      <w:r>
        <w:rPr>
          <w:rFonts w:ascii="Arial" w:hAnsi="宋体" w:cs="Arial"/>
          <w:sz w:val="21"/>
          <w:szCs w:val="21"/>
        </w:rPr>
        <w:t>提交测试内容和方法。测试计划和技术内容由</w:t>
      </w:r>
      <w:r>
        <w:rPr>
          <w:rFonts w:hint="eastAsia" w:ascii="Arial" w:hAnsi="宋体" w:cs="Arial"/>
          <w:sz w:val="21"/>
          <w:szCs w:val="21"/>
        </w:rPr>
        <w:t>乙方</w:t>
      </w:r>
      <w:r>
        <w:rPr>
          <w:rFonts w:ascii="Arial" w:hAnsi="宋体" w:cs="Arial"/>
          <w:sz w:val="21"/>
          <w:szCs w:val="21"/>
        </w:rPr>
        <w:t>拟定，经</w:t>
      </w:r>
      <w:r>
        <w:rPr>
          <w:rFonts w:hint="eastAsia" w:ascii="Arial" w:hAnsi="宋体" w:cs="Arial"/>
          <w:sz w:val="21"/>
          <w:szCs w:val="21"/>
        </w:rPr>
        <w:t>甲方</w:t>
      </w:r>
      <w:r>
        <w:rPr>
          <w:rFonts w:ascii="Arial" w:hAnsi="宋体" w:cs="Arial"/>
          <w:sz w:val="21"/>
          <w:szCs w:val="21"/>
        </w:rPr>
        <w:t>确认后共同实施。</w:t>
      </w:r>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Pr>
        <w:pStyle w:val="26"/>
        <w:snapToGrid w:val="0"/>
        <w:spacing w:before="163" w:after="163" w:line="460" w:lineRule="exact"/>
        <w:ind w:left="1"/>
        <w:rPr>
          <w:rFonts w:ascii="Arial" w:hAnsi="宋体" w:cs="Arial"/>
          <w:sz w:val="21"/>
          <w:szCs w:val="21"/>
        </w:rPr>
      </w:pPr>
      <w:r>
        <w:rPr>
          <w:rFonts w:ascii="Arial" w:hAnsi="宋体" w:cs="Arial"/>
          <w:sz w:val="21"/>
          <w:szCs w:val="21"/>
        </w:rPr>
        <w:t>5、技术文档要求：</w:t>
      </w:r>
    </w:p>
    <w:p>
      <w:pPr>
        <w:pStyle w:val="26"/>
        <w:snapToGrid w:val="0"/>
        <w:spacing w:before="163" w:after="163" w:line="460" w:lineRule="exact"/>
        <w:ind w:left="1"/>
        <w:rPr>
          <w:rFonts w:ascii="Arial" w:hAnsi="宋体" w:cs="Arial"/>
          <w:sz w:val="21"/>
          <w:szCs w:val="21"/>
        </w:rPr>
      </w:pPr>
      <w:r>
        <w:rPr>
          <w:rFonts w:hint="eastAsia" w:ascii="Arial" w:hAnsi="宋体" w:cs="Arial"/>
          <w:sz w:val="21"/>
          <w:szCs w:val="21"/>
        </w:rPr>
        <w:t>乙方</w:t>
      </w:r>
      <w:r>
        <w:rPr>
          <w:rFonts w:ascii="Arial" w:hAnsi="宋体" w:cs="Arial"/>
          <w:sz w:val="21"/>
          <w:szCs w:val="21"/>
        </w:rPr>
        <w:t>应向</w:t>
      </w:r>
      <w:r>
        <w:rPr>
          <w:rFonts w:hint="eastAsia" w:ascii="Arial" w:hAnsi="宋体" w:cs="Arial"/>
          <w:sz w:val="21"/>
          <w:szCs w:val="21"/>
        </w:rPr>
        <w:t>甲方</w:t>
      </w:r>
      <w:r>
        <w:rPr>
          <w:rFonts w:ascii="Arial" w:hAnsi="宋体" w:cs="Arial"/>
          <w:sz w:val="21"/>
          <w:szCs w:val="21"/>
        </w:rPr>
        <w:t>提供安装调试过程中的各种文档资料。</w:t>
      </w:r>
    </w:p>
    <w:p>
      <w:pPr>
        <w:pStyle w:val="26"/>
        <w:snapToGrid w:val="0"/>
        <w:spacing w:before="163" w:after="163" w:line="460" w:lineRule="exact"/>
        <w:ind w:left="1"/>
        <w:rPr>
          <w:rFonts w:ascii="Arial" w:hAnsi="宋体" w:cs="Arial"/>
          <w:sz w:val="21"/>
          <w:szCs w:val="21"/>
        </w:rPr>
      </w:pPr>
      <w:r>
        <w:rPr>
          <w:rFonts w:ascii="Arial" w:hAnsi="宋体" w:cs="Arial"/>
          <w:sz w:val="21"/>
          <w:szCs w:val="21"/>
        </w:rPr>
        <w:t>1)有关产品正确安装与详细配置（包括安装方法、安装步骤及各种配置参数等）资料要以易理解的方式（包括详细说明及图示）形成中文文档，交与</w:t>
      </w:r>
      <w:r>
        <w:rPr>
          <w:rFonts w:hint="eastAsia" w:ascii="Arial" w:hAnsi="宋体" w:cs="Arial"/>
          <w:sz w:val="21"/>
          <w:szCs w:val="21"/>
        </w:rPr>
        <w:t>甲方</w:t>
      </w:r>
      <w:r>
        <w:rPr>
          <w:rFonts w:ascii="Arial" w:hAnsi="宋体" w:cs="Arial"/>
          <w:sz w:val="21"/>
          <w:szCs w:val="21"/>
        </w:rPr>
        <w:t>。</w:t>
      </w:r>
    </w:p>
    <w:p>
      <w:pPr>
        <w:pStyle w:val="26"/>
        <w:snapToGrid w:val="0"/>
        <w:spacing w:before="163" w:after="163" w:line="460" w:lineRule="exact"/>
        <w:ind w:left="1"/>
        <w:rPr>
          <w:rFonts w:ascii="Arial" w:hAnsi="宋体" w:cs="Arial"/>
          <w:sz w:val="21"/>
          <w:szCs w:val="21"/>
        </w:rPr>
      </w:pPr>
      <w:r>
        <w:rPr>
          <w:rFonts w:ascii="Arial" w:hAnsi="宋体" w:cs="Arial"/>
          <w:sz w:val="21"/>
          <w:szCs w:val="21"/>
        </w:rPr>
        <w:t>2)</w:t>
      </w:r>
      <w:r>
        <w:rPr>
          <w:rFonts w:hint="eastAsia" w:ascii="Arial" w:hAnsi="宋体" w:cs="Arial"/>
          <w:sz w:val="21"/>
          <w:szCs w:val="21"/>
        </w:rPr>
        <w:t>乙方</w:t>
      </w:r>
      <w:r>
        <w:rPr>
          <w:rFonts w:ascii="Arial" w:hAnsi="宋体" w:cs="Arial"/>
          <w:sz w:val="21"/>
          <w:szCs w:val="21"/>
        </w:rPr>
        <w:t>对本次采购的软、硬件产品提供正式的操作手册和维护手册。提供中文版技术文档。</w:t>
      </w:r>
    </w:p>
    <w:p>
      <w:pPr>
        <w:pStyle w:val="26"/>
        <w:snapToGrid w:val="0"/>
        <w:spacing w:before="163" w:after="163" w:line="460" w:lineRule="exact"/>
        <w:ind w:left="1"/>
        <w:rPr>
          <w:rFonts w:ascii="Arial" w:hAnsi="宋体" w:cs="Arial"/>
          <w:sz w:val="21"/>
          <w:szCs w:val="21"/>
        </w:rPr>
      </w:pPr>
      <w:r>
        <w:rPr>
          <w:rFonts w:ascii="Arial" w:hAnsi="宋体" w:cs="Arial"/>
          <w:sz w:val="21"/>
          <w:szCs w:val="21"/>
        </w:rPr>
        <w:t>3)交货时，技术文档应与货物一起交付。</w:t>
      </w:r>
      <w:r>
        <w:rPr>
          <w:rFonts w:hint="eastAsia" w:ascii="Arial" w:hAnsi="宋体" w:cs="Arial"/>
          <w:sz w:val="21"/>
          <w:szCs w:val="21"/>
        </w:rPr>
        <w:t>乙方</w:t>
      </w:r>
      <w:r>
        <w:rPr>
          <w:rFonts w:ascii="Arial" w:hAnsi="宋体" w:cs="Arial"/>
          <w:sz w:val="21"/>
          <w:szCs w:val="21"/>
        </w:rPr>
        <w:t>提交的技术文档的内容必须与所提供的产品相一致，应尽可能详细。所提交的技术文档必须是正式出版和装订的，复印件无效，其费用应包括在该品目的基本报价中。为了培训的目的，</w:t>
      </w:r>
      <w:r>
        <w:rPr>
          <w:rFonts w:hint="eastAsia" w:ascii="Arial" w:hAnsi="宋体" w:cs="Arial"/>
          <w:sz w:val="21"/>
          <w:szCs w:val="21"/>
        </w:rPr>
        <w:t>甲方</w:t>
      </w:r>
      <w:r>
        <w:rPr>
          <w:rFonts w:ascii="Arial" w:hAnsi="宋体" w:cs="Arial"/>
          <w:sz w:val="21"/>
          <w:szCs w:val="21"/>
        </w:rPr>
        <w:t>有权复制这些资料而不受限制。</w:t>
      </w:r>
    </w:p>
    <w:p>
      <w:pPr>
        <w:pStyle w:val="26"/>
        <w:snapToGrid w:val="0"/>
        <w:spacing w:before="163" w:after="163" w:line="460" w:lineRule="exact"/>
        <w:ind w:left="1"/>
        <w:rPr>
          <w:rFonts w:ascii="Arial" w:hAnsi="宋体" w:cs="Arial"/>
          <w:sz w:val="21"/>
          <w:szCs w:val="21"/>
        </w:rPr>
      </w:pPr>
      <w:r>
        <w:rPr>
          <w:rFonts w:ascii="Arial" w:hAnsi="宋体" w:cs="Arial"/>
          <w:sz w:val="21"/>
          <w:szCs w:val="21"/>
        </w:rPr>
        <w:t>4)在产品验收后，</w:t>
      </w:r>
      <w:r>
        <w:rPr>
          <w:rFonts w:hint="eastAsia" w:ascii="Arial" w:hAnsi="宋体" w:cs="Arial"/>
          <w:sz w:val="21"/>
          <w:szCs w:val="21"/>
        </w:rPr>
        <w:t>乙方</w:t>
      </w:r>
      <w:r>
        <w:rPr>
          <w:rFonts w:ascii="Arial" w:hAnsi="宋体" w:cs="Arial"/>
          <w:sz w:val="21"/>
          <w:szCs w:val="21"/>
        </w:rPr>
        <w:t>应将所有技术文档和安装、调试资料移交给</w:t>
      </w:r>
      <w:r>
        <w:rPr>
          <w:rFonts w:hint="eastAsia" w:ascii="Arial" w:hAnsi="宋体" w:cs="Arial"/>
          <w:sz w:val="21"/>
          <w:szCs w:val="21"/>
        </w:rPr>
        <w:t>甲方</w:t>
      </w:r>
      <w:r>
        <w:rPr>
          <w:rFonts w:ascii="Arial" w:hAnsi="宋体" w:cs="Arial"/>
          <w:sz w:val="21"/>
          <w:szCs w:val="21"/>
        </w:rPr>
        <w:t>。</w:t>
      </w:r>
    </w:p>
    <w:p>
      <w:pPr>
        <w:pStyle w:val="26"/>
        <w:snapToGrid w:val="0"/>
        <w:spacing w:before="163" w:after="163" w:line="460" w:lineRule="exact"/>
        <w:ind w:left="1"/>
        <w:rPr>
          <w:rFonts w:ascii="Arial" w:hAnsi="宋体" w:cs="Arial"/>
          <w:sz w:val="21"/>
          <w:szCs w:val="21"/>
        </w:rPr>
      </w:pPr>
      <w:r>
        <w:rPr>
          <w:rFonts w:ascii="Arial" w:hAnsi="宋体" w:cs="Arial"/>
          <w:sz w:val="21"/>
          <w:szCs w:val="21"/>
        </w:rPr>
        <w:t>包括但不限于以下资料：</w:t>
      </w:r>
    </w:p>
    <w:p>
      <w:pPr>
        <w:pStyle w:val="26"/>
        <w:snapToGrid w:val="0"/>
        <w:spacing w:before="163" w:after="163" w:line="460" w:lineRule="exact"/>
        <w:ind w:left="1"/>
        <w:rPr>
          <w:rFonts w:ascii="Arial" w:hAnsi="宋体" w:cs="Arial"/>
          <w:sz w:val="21"/>
          <w:szCs w:val="21"/>
        </w:rPr>
      </w:pPr>
      <w:r>
        <w:rPr>
          <w:rFonts w:ascii="Arial" w:hAnsi="宋体" w:cs="Arial"/>
          <w:sz w:val="21"/>
          <w:szCs w:val="21"/>
        </w:rPr>
        <w:t>1）对产品各项技术指标的测试报告。</w:t>
      </w:r>
    </w:p>
    <w:p>
      <w:pPr>
        <w:pStyle w:val="26"/>
        <w:snapToGrid w:val="0"/>
        <w:spacing w:before="163" w:after="163" w:line="460" w:lineRule="exact"/>
        <w:ind w:left="1"/>
        <w:rPr>
          <w:rFonts w:ascii="Arial" w:hAnsi="宋体" w:cs="Arial"/>
          <w:sz w:val="21"/>
          <w:szCs w:val="21"/>
        </w:rPr>
      </w:pPr>
      <w:r>
        <w:rPr>
          <w:rFonts w:ascii="Arial" w:hAnsi="宋体" w:cs="Arial"/>
          <w:sz w:val="21"/>
          <w:szCs w:val="21"/>
        </w:rPr>
        <w:t>2）技术文件：设备制造、安装、调试、验收、运行、使用、测试、诊断、日常维护和维修的技术文件。</w:t>
      </w:r>
    </w:p>
    <w:p>
      <w:pPr>
        <w:pStyle w:val="26"/>
        <w:snapToGrid w:val="0"/>
        <w:spacing w:before="163" w:after="163" w:line="460" w:lineRule="exact"/>
        <w:ind w:left="1"/>
        <w:rPr>
          <w:rFonts w:ascii="Arial" w:hAnsi="宋体" w:cs="Arial"/>
          <w:sz w:val="21"/>
          <w:szCs w:val="21"/>
        </w:rPr>
      </w:pPr>
      <w:r>
        <w:rPr>
          <w:rFonts w:ascii="Arial" w:hAnsi="宋体" w:cs="Arial"/>
          <w:sz w:val="21"/>
          <w:szCs w:val="21"/>
        </w:rPr>
        <w:t>3）详细的产品质量文件：包括外形尺寸、性能检验、产品合格证明书、软件原厂商正版授权等文件。</w:t>
      </w:r>
    </w:p>
    <w:p>
      <w:pPr>
        <w:pStyle w:val="26"/>
        <w:snapToGrid w:val="0"/>
        <w:spacing w:before="163" w:after="163" w:line="460" w:lineRule="exact"/>
        <w:ind w:left="1"/>
        <w:rPr>
          <w:rFonts w:ascii="Arial" w:hAnsi="宋体" w:cs="Arial"/>
          <w:sz w:val="21"/>
          <w:szCs w:val="21"/>
        </w:rPr>
      </w:pPr>
      <w:r>
        <w:rPr>
          <w:rFonts w:ascii="Arial" w:hAnsi="宋体" w:cs="Arial"/>
          <w:sz w:val="21"/>
          <w:szCs w:val="21"/>
        </w:rPr>
        <w:t>4）安装计划：至少包括：运输/交货、安装日期、安装测试等。</w:t>
      </w:r>
    </w:p>
    <w:p>
      <w:pPr>
        <w:pStyle w:val="26"/>
        <w:snapToGrid w:val="0"/>
        <w:spacing w:before="163" w:after="163" w:line="460" w:lineRule="exact"/>
        <w:ind w:left="1"/>
        <w:rPr>
          <w:rFonts w:ascii="Arial" w:hAnsi="宋体" w:cs="Arial"/>
          <w:sz w:val="21"/>
          <w:szCs w:val="21"/>
        </w:rPr>
      </w:pPr>
      <w:r>
        <w:rPr>
          <w:rFonts w:ascii="Arial" w:hAnsi="宋体" w:cs="Arial"/>
          <w:sz w:val="21"/>
          <w:szCs w:val="21"/>
        </w:rPr>
        <w:t>5）网络配置计划：包括配置图和配置清单。</w:t>
      </w:r>
    </w:p>
    <w:p>
      <w:pPr>
        <w:pStyle w:val="26"/>
        <w:snapToGrid w:val="0"/>
        <w:spacing w:before="163" w:after="163" w:line="460" w:lineRule="exact"/>
        <w:ind w:left="1"/>
        <w:rPr>
          <w:rFonts w:ascii="Arial" w:hAnsi="宋体" w:cs="Arial"/>
          <w:sz w:val="21"/>
          <w:szCs w:val="21"/>
        </w:rPr>
      </w:pPr>
      <w:r>
        <w:rPr>
          <w:rFonts w:ascii="Arial" w:hAnsi="宋体" w:cs="Arial"/>
          <w:sz w:val="21"/>
          <w:szCs w:val="21"/>
        </w:rPr>
        <w:t>6）安装指南：中标人应当提供所购软件、硬件设备的安装指南。</w:t>
      </w:r>
    </w:p>
    <w:p>
      <w:pPr>
        <w:pStyle w:val="26"/>
        <w:snapToGrid w:val="0"/>
        <w:spacing w:before="163" w:after="163" w:line="460" w:lineRule="exact"/>
        <w:rPr>
          <w:rFonts w:ascii="Arial" w:hAnsi="宋体" w:cs="Arial"/>
          <w:sz w:val="21"/>
          <w:szCs w:val="21"/>
        </w:rPr>
      </w:pPr>
      <w:r>
        <w:rPr>
          <w:rFonts w:ascii="Arial" w:hAnsi="宋体" w:cs="Arial"/>
          <w:sz w:val="21"/>
          <w:szCs w:val="21"/>
        </w:rPr>
        <w:t>十九、合同生效及</w:t>
      </w:r>
      <w:r>
        <w:rPr>
          <w:rFonts w:hint="eastAsia" w:ascii="Arial" w:hAnsi="宋体" w:cs="Arial"/>
          <w:sz w:val="21"/>
          <w:szCs w:val="21"/>
        </w:rPr>
        <w:t>其他</w:t>
      </w:r>
    </w:p>
    <w:p>
      <w:pPr>
        <w:pStyle w:val="26"/>
        <w:snapToGrid w:val="0"/>
        <w:spacing w:before="163" w:after="163" w:line="460" w:lineRule="exact"/>
        <w:rPr>
          <w:rFonts w:ascii="Arial" w:hAnsi="宋体" w:cs="Arial"/>
          <w:sz w:val="21"/>
          <w:szCs w:val="21"/>
        </w:rPr>
      </w:pPr>
      <w:r>
        <w:rPr>
          <w:rFonts w:ascii="Arial" w:hAnsi="宋体" w:cs="Arial"/>
          <w:sz w:val="21"/>
          <w:szCs w:val="21"/>
        </w:rPr>
        <w:t>1. 合同经双方法定代表人或授权代表签字并加盖单位公章后生效。</w:t>
      </w:r>
    </w:p>
    <w:p>
      <w:pPr>
        <w:pStyle w:val="26"/>
        <w:snapToGrid w:val="0"/>
        <w:spacing w:before="163" w:after="163" w:line="460" w:lineRule="exact"/>
        <w:rPr>
          <w:rFonts w:ascii="Arial" w:hAnsi="宋体" w:cs="Arial"/>
          <w:sz w:val="21"/>
          <w:szCs w:val="21"/>
        </w:rPr>
      </w:pPr>
      <w:r>
        <w:rPr>
          <w:rFonts w:ascii="Arial" w:hAnsi="宋体" w:cs="Arial"/>
          <w:sz w:val="21"/>
          <w:szCs w:val="21"/>
        </w:rPr>
        <w:t>2. 组成本合同的文件包括：本合同协议书；中标通知书；招标文件及招标答疑文件；投标书及其附件；各类规范文件；双方有关洽商、变更等书面协议或文件</w:t>
      </w:r>
      <w:r>
        <w:rPr>
          <w:rFonts w:hint="eastAsia" w:ascii="Arial" w:hAnsi="宋体" w:cs="Arial"/>
          <w:sz w:val="21"/>
          <w:szCs w:val="21"/>
        </w:rPr>
        <w:t>，与合同具有同等效力。</w:t>
      </w:r>
    </w:p>
    <w:p>
      <w:pPr>
        <w:pStyle w:val="26"/>
        <w:snapToGrid w:val="0"/>
        <w:spacing w:before="163" w:after="163" w:line="460" w:lineRule="exact"/>
        <w:rPr>
          <w:rFonts w:ascii="Arial" w:hAnsi="宋体" w:cs="Arial"/>
          <w:sz w:val="21"/>
          <w:szCs w:val="21"/>
        </w:rPr>
      </w:pPr>
      <w:r>
        <w:rPr>
          <w:rFonts w:ascii="Arial" w:hAnsi="宋体" w:cs="Arial"/>
          <w:sz w:val="21"/>
          <w:szCs w:val="21"/>
        </w:rPr>
        <w:t>3.合同执行中涉及采购资金和采购内容修改或补充的，须经有关部门审批，并签书面补充协议报政府采购监督管理部门备案，方可作为主合同不可分割的一部分。</w:t>
      </w:r>
    </w:p>
    <w:p>
      <w:pPr>
        <w:pStyle w:val="26"/>
        <w:snapToGrid w:val="0"/>
        <w:spacing w:before="163" w:after="163" w:line="460" w:lineRule="exact"/>
        <w:ind w:left="420" w:hanging="420" w:hangingChars="200"/>
        <w:rPr>
          <w:rFonts w:ascii="Arial" w:hAnsi="宋体" w:cs="Arial"/>
          <w:sz w:val="21"/>
          <w:szCs w:val="21"/>
        </w:rPr>
      </w:pPr>
      <w:r>
        <w:rPr>
          <w:rFonts w:ascii="Arial" w:hAnsi="宋体" w:cs="Arial"/>
          <w:sz w:val="21"/>
          <w:szCs w:val="21"/>
        </w:rPr>
        <w:t>4.本合同未尽事宜，遵照《合同法》有关条文执行。</w:t>
      </w:r>
    </w:p>
    <w:p>
      <w:pPr>
        <w:pStyle w:val="26"/>
        <w:snapToGrid w:val="0"/>
        <w:spacing w:before="163" w:after="163" w:line="460" w:lineRule="exact"/>
        <w:ind w:left="420" w:hanging="420" w:hangingChars="200"/>
        <w:rPr>
          <w:rFonts w:ascii="Arial" w:hAnsi="宋体" w:cs="Arial"/>
          <w:sz w:val="21"/>
          <w:szCs w:val="21"/>
        </w:rPr>
      </w:pPr>
      <w:r>
        <w:rPr>
          <w:rFonts w:ascii="Arial" w:hAnsi="宋体" w:cs="Arial"/>
          <w:sz w:val="21"/>
          <w:szCs w:val="21"/>
        </w:rPr>
        <w:t>5.本合同正本一式两份，具有同等法律效力，甲乙双方各执一份；副本    份，(用</w:t>
      </w:r>
    </w:p>
    <w:p>
      <w:pPr>
        <w:pStyle w:val="26"/>
        <w:snapToGrid w:val="0"/>
        <w:spacing w:before="163" w:after="163" w:line="460" w:lineRule="exact"/>
        <w:ind w:left="449" w:leftChars="114" w:hanging="210" w:hangingChars="100"/>
        <w:rPr>
          <w:rFonts w:ascii="Arial" w:hAnsi="宋体" w:cs="Arial"/>
          <w:sz w:val="21"/>
          <w:szCs w:val="21"/>
        </w:rPr>
      </w:pPr>
      <w:r>
        <w:rPr>
          <w:rFonts w:ascii="Arial" w:hAnsi="宋体" w:cs="Arial"/>
          <w:sz w:val="21"/>
          <w:szCs w:val="21"/>
        </w:rPr>
        <w:t>于备案及存档)。</w:t>
      </w:r>
    </w:p>
    <w:p>
      <w:pPr>
        <w:pStyle w:val="26"/>
        <w:snapToGrid w:val="0"/>
        <w:spacing w:before="120" w:after="120"/>
        <w:ind w:left="420" w:hanging="420" w:hangingChars="200"/>
        <w:rPr>
          <w:rFonts w:hAnsi="宋体"/>
          <w:sz w:val="21"/>
          <w:szCs w:val="21"/>
        </w:rPr>
      </w:pPr>
      <w:r>
        <w:rPr>
          <w:rFonts w:hint="eastAsia" w:hAnsi="宋体"/>
          <w:sz w:val="21"/>
          <w:szCs w:val="21"/>
        </w:rPr>
        <w:t xml:space="preserve">  甲方：                            </w:t>
      </w:r>
      <w:r>
        <w:rPr>
          <w:rFonts w:hint="eastAsia" w:hAnsi="宋体"/>
          <w:sz w:val="21"/>
          <w:szCs w:val="21"/>
        </w:rPr>
        <w:tab/>
      </w:r>
      <w:r>
        <w:rPr>
          <w:rFonts w:hint="eastAsia" w:hAnsi="宋体"/>
          <w:sz w:val="21"/>
          <w:szCs w:val="21"/>
        </w:rPr>
        <w:tab/>
      </w:r>
      <w:r>
        <w:rPr>
          <w:rFonts w:hint="eastAsia" w:hAnsi="宋体"/>
          <w:sz w:val="21"/>
          <w:szCs w:val="21"/>
        </w:rPr>
        <w:t>乙方：</w:t>
      </w:r>
    </w:p>
    <w:p>
      <w:pPr>
        <w:pStyle w:val="26"/>
        <w:snapToGrid w:val="0"/>
        <w:spacing w:before="120" w:after="120"/>
        <w:rPr>
          <w:rFonts w:hAnsi="宋体"/>
          <w:sz w:val="21"/>
          <w:szCs w:val="21"/>
        </w:rPr>
      </w:pPr>
      <w:r>
        <w:rPr>
          <w:rFonts w:hint="eastAsia" w:hAnsi="宋体"/>
          <w:sz w:val="21"/>
          <w:szCs w:val="21"/>
        </w:rPr>
        <w:t xml:space="preserve">  地址：                            </w:t>
      </w:r>
      <w:r>
        <w:rPr>
          <w:rFonts w:hint="eastAsia" w:hAnsi="宋体"/>
          <w:sz w:val="21"/>
          <w:szCs w:val="21"/>
        </w:rPr>
        <w:tab/>
      </w:r>
      <w:r>
        <w:rPr>
          <w:rFonts w:hint="eastAsia" w:hAnsi="宋体"/>
          <w:sz w:val="21"/>
          <w:szCs w:val="21"/>
        </w:rPr>
        <w:tab/>
      </w:r>
      <w:r>
        <w:rPr>
          <w:rFonts w:hint="eastAsia" w:hAnsi="宋体"/>
          <w:sz w:val="21"/>
          <w:szCs w:val="21"/>
        </w:rPr>
        <w:t>地址：</w:t>
      </w:r>
    </w:p>
    <w:p>
      <w:pPr>
        <w:pStyle w:val="26"/>
        <w:snapToGrid w:val="0"/>
        <w:spacing w:before="120" w:after="120"/>
        <w:rPr>
          <w:rFonts w:hAnsi="宋体"/>
          <w:sz w:val="21"/>
          <w:szCs w:val="21"/>
        </w:rPr>
      </w:pPr>
      <w:r>
        <w:rPr>
          <w:rFonts w:hint="eastAsia" w:hAnsi="宋体"/>
          <w:sz w:val="21"/>
          <w:szCs w:val="21"/>
        </w:rPr>
        <w:t xml:space="preserve">  法定代表人                        </w:t>
      </w:r>
      <w:r>
        <w:rPr>
          <w:rFonts w:hint="eastAsia" w:hAnsi="宋体"/>
          <w:sz w:val="21"/>
          <w:szCs w:val="21"/>
        </w:rPr>
        <w:tab/>
      </w:r>
      <w:r>
        <w:rPr>
          <w:rFonts w:hint="eastAsia" w:hAnsi="宋体"/>
          <w:sz w:val="21"/>
          <w:szCs w:val="21"/>
        </w:rPr>
        <w:tab/>
      </w:r>
      <w:r>
        <w:rPr>
          <w:rFonts w:hint="eastAsia" w:hAnsi="宋体"/>
          <w:sz w:val="21"/>
          <w:szCs w:val="21"/>
        </w:rPr>
        <w:t>法定代表人</w:t>
      </w:r>
    </w:p>
    <w:p>
      <w:pPr>
        <w:pStyle w:val="26"/>
        <w:snapToGrid w:val="0"/>
        <w:spacing w:before="120" w:after="120"/>
        <w:rPr>
          <w:szCs w:val="21"/>
        </w:rPr>
      </w:pPr>
      <w:r>
        <w:rPr>
          <w:rFonts w:hint="eastAsia" w:hAnsi="宋体"/>
          <w:sz w:val="21"/>
          <w:szCs w:val="21"/>
        </w:rPr>
        <w:t xml:space="preserve">  或其委托代理人：                  </w:t>
      </w:r>
      <w:r>
        <w:rPr>
          <w:rFonts w:hint="eastAsia" w:hAnsi="宋体"/>
          <w:sz w:val="21"/>
          <w:szCs w:val="21"/>
        </w:rPr>
        <w:tab/>
      </w:r>
      <w:r>
        <w:rPr>
          <w:rFonts w:hint="eastAsia" w:hAnsi="宋体"/>
          <w:sz w:val="21"/>
          <w:szCs w:val="21"/>
        </w:rPr>
        <w:tab/>
      </w:r>
      <w:r>
        <w:rPr>
          <w:rFonts w:hint="eastAsia" w:hAnsi="宋体"/>
          <w:sz w:val="21"/>
          <w:szCs w:val="21"/>
        </w:rPr>
        <w:t>或其委托代理人：</w:t>
      </w:r>
      <w:r>
        <w:rPr>
          <w:rFonts w:hint="eastAsia"/>
          <w:szCs w:val="21"/>
        </w:rPr>
        <w:t xml:space="preserve">                                                        </w:t>
      </w:r>
    </w:p>
    <w:p>
      <w:pPr>
        <w:jc w:val="center"/>
        <w:rPr>
          <w:rFonts w:ascii="黑体" w:hAnsi="黑体" w:eastAsia="黑体"/>
          <w:sz w:val="28"/>
          <w:szCs w:val="28"/>
        </w:rPr>
      </w:pPr>
      <w:r>
        <w:rPr>
          <w:szCs w:val="21"/>
        </w:rPr>
        <w:br w:type="page"/>
      </w:r>
      <w:r>
        <w:rPr>
          <w:rFonts w:ascii="黑体" w:hAnsi="黑体" w:eastAsia="黑体"/>
          <w:sz w:val="28"/>
          <w:szCs w:val="28"/>
        </w:rPr>
        <w:t>廉 政 合 同</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甲方：</w:t>
      </w:r>
      <w:r>
        <w:rPr>
          <w:rFonts w:hint="eastAsia" w:ascii="宋体" w:hAnsi="宋体" w:cs="宋体"/>
          <w:kern w:val="0"/>
          <w:szCs w:val="21"/>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u w:val="single"/>
        </w:rPr>
      </w:pPr>
      <w:r>
        <w:rPr>
          <w:rFonts w:ascii="宋体" w:hAnsi="宋体" w:cs="宋体"/>
          <w:kern w:val="0"/>
          <w:szCs w:val="21"/>
        </w:rPr>
        <w:t>乙方：</w:t>
      </w:r>
      <w:r>
        <w:rPr>
          <w:rFonts w:hint="eastAsia" w:ascii="宋体" w:hAnsi="宋体" w:cs="宋体"/>
          <w:kern w:val="0"/>
          <w:szCs w:val="21"/>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为强化抓源治本工作力度，从制度机制上进一步规范</w:t>
      </w:r>
      <w:r>
        <w:rPr>
          <w:rFonts w:hint="eastAsia" w:ascii="宋体" w:hAnsi="宋体" w:cs="宋体"/>
          <w:kern w:val="0"/>
          <w:szCs w:val="21"/>
          <w:u w:val="single"/>
        </w:rPr>
        <w:t xml:space="preserve">               </w:t>
      </w:r>
      <w:r>
        <w:rPr>
          <w:rFonts w:ascii="宋体" w:hAnsi="宋体" w:cs="宋体"/>
          <w:kern w:val="0"/>
          <w:szCs w:val="21"/>
        </w:rPr>
        <w:t>建设行为，杜绝不廉洁行为，特订立本合同，双方遵照执行。</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1、甲、乙双方必须严格遵守国家法律、法规、政策及各项廉政规定，恪守职业道德规范。</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2、甲、乙双方在具体工程建设行为中，必须严格遵守招投标法规定的原则、方式、程序，保证公平、公正、公开。</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3、甲、乙双方不得相互串通，损害国家利益、社会公共利益及其他当事人的合法权益。</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谋取利益。</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5、甲方工作人员及其配偶、子女不得以任何形式或者名义接受乙方的宴请、请钓、旅游、健身和其他娱乐活动；乙方不得以任何形式或名义邀请甲方工作人员及其配偶、子女请吃、请钓、旅游、健身和其他娱乐活动。</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6、甲方工作人员及其配偶、子女不得以打“业务牌”等形式变相接受乙方的钱物；乙方不得以打“业务牌”的形式向甲方工作人员及其配偶、子女变相送钱物。</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7、甲方工作人员及其配偶、子女不得在乙方报销应由个人支付的费用或领取报酬；乙方不得为甲方工作人员及其配偶、子女报销应由个人支付的费用或发放报酬。</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违约责任：</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1、甲方发生违约行为，一经查实将视情节轻重对直接责任人进行严肃处理并追究主管人员的责任。</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ascii="宋体" w:hAnsi="宋体" w:cs="宋体"/>
          <w:kern w:val="0"/>
          <w:szCs w:val="21"/>
        </w:rPr>
      </w:pPr>
      <w:r>
        <w:rPr>
          <w:rFonts w:ascii="宋体" w:hAnsi="宋体" w:cs="宋体"/>
          <w:kern w:val="0"/>
          <w:szCs w:val="21"/>
        </w:rPr>
        <w:t>2、乙方发生违约行为，甲方有权解除合同，并将其列入“黑名单”在一定范围内公布，三年内不得参加辖区内的工程建设。</w:t>
      </w:r>
    </w:p>
    <w:p>
      <w:pPr>
        <w:keepNext w:val="0"/>
        <w:keepLines w:val="0"/>
        <w:pageBreakBefore w:val="0"/>
        <w:widowControl/>
        <w:kinsoku/>
        <w:wordWrap/>
        <w:overflowPunct/>
        <w:topLinePunct w:val="0"/>
        <w:autoSpaceDE/>
        <w:autoSpaceDN/>
        <w:bidi w:val="0"/>
        <w:adjustRightInd/>
        <w:snapToGrid/>
        <w:spacing w:line="288" w:lineRule="auto"/>
        <w:ind w:firstLine="252" w:firstLineChars="120"/>
        <w:jc w:val="left"/>
        <w:textAlignment w:val="auto"/>
        <w:rPr>
          <w:rFonts w:hAnsi="宋体"/>
          <w:szCs w:val="21"/>
          <w:u w:val="single"/>
        </w:rPr>
      </w:pPr>
      <w:r>
        <w:rPr>
          <w:rFonts w:hint="eastAsia" w:ascii="宋体" w:hAnsi="宋体" w:cs="宋体"/>
          <w:kern w:val="0"/>
          <w:szCs w:val="21"/>
        </w:rPr>
        <w:t>8、</w:t>
      </w:r>
      <w:r>
        <w:rPr>
          <w:rFonts w:hint="eastAsia" w:hAnsi="宋体"/>
          <w:szCs w:val="21"/>
        </w:rPr>
        <w:t xml:space="preserve">合同签订时间： </w:t>
      </w:r>
      <w:r>
        <w:rPr>
          <w:rFonts w:hint="eastAsia" w:hAnsi="宋体"/>
          <w:szCs w:val="21"/>
          <w:u w:val="single"/>
        </w:rPr>
        <w:t xml:space="preserve">        年   月  日</w:t>
      </w:r>
      <w:r>
        <w:rPr>
          <w:rFonts w:hint="eastAsia" w:hAnsi="宋体"/>
          <w:szCs w:val="21"/>
        </w:rPr>
        <w:t>，签订地点：</w:t>
      </w:r>
      <w:r>
        <w:rPr>
          <w:rFonts w:hint="eastAsia" w:hAnsi="宋体"/>
          <w:szCs w:val="21"/>
          <w:u w:val="single"/>
        </w:rPr>
        <w:t xml:space="preserve">                  </w:t>
      </w:r>
    </w:p>
    <w:p>
      <w:pPr>
        <w:widowControl/>
        <w:spacing w:line="320" w:lineRule="exact"/>
        <w:ind w:firstLine="420" w:firstLineChars="200"/>
        <w:jc w:val="left"/>
        <w:rPr>
          <w:rFonts w:hAnsi="宋体"/>
          <w:szCs w:val="21"/>
          <w:u w:val="single"/>
        </w:rPr>
      </w:pPr>
    </w:p>
    <w:p>
      <w:pPr>
        <w:widowControl/>
        <w:spacing w:line="320" w:lineRule="exact"/>
        <w:ind w:firstLine="420" w:firstLineChars="200"/>
        <w:jc w:val="left"/>
        <w:rPr>
          <w:rFonts w:ascii="宋体" w:hAnsi="宋体" w:cs="宋体"/>
          <w:kern w:val="0"/>
          <w:szCs w:val="21"/>
        </w:rPr>
      </w:pPr>
    </w:p>
    <w:p>
      <w:pPr>
        <w:pStyle w:val="26"/>
        <w:snapToGrid w:val="0"/>
        <w:spacing w:before="120" w:after="120" w:line="440" w:lineRule="exact"/>
        <w:ind w:left="420" w:hanging="420" w:hangingChars="200"/>
        <w:rPr>
          <w:rFonts w:hAnsi="宋体"/>
          <w:sz w:val="21"/>
          <w:szCs w:val="21"/>
        </w:rPr>
      </w:pPr>
      <w:r>
        <w:rPr>
          <w:rFonts w:hint="eastAsia" w:hAnsi="宋体"/>
          <w:sz w:val="21"/>
          <w:szCs w:val="21"/>
        </w:rPr>
        <w:t xml:space="preserve">  甲方：                           </w:t>
      </w:r>
      <w:r>
        <w:rPr>
          <w:rFonts w:hint="eastAsia" w:hAnsi="宋体"/>
          <w:sz w:val="21"/>
          <w:szCs w:val="21"/>
        </w:rPr>
        <w:tab/>
      </w:r>
      <w:r>
        <w:rPr>
          <w:rFonts w:hint="eastAsia" w:hAnsi="宋体"/>
          <w:sz w:val="21"/>
          <w:szCs w:val="21"/>
        </w:rPr>
        <w:tab/>
      </w:r>
      <w:r>
        <w:rPr>
          <w:rFonts w:hint="eastAsia" w:hAnsi="宋体"/>
          <w:sz w:val="21"/>
          <w:szCs w:val="21"/>
        </w:rPr>
        <w:tab/>
      </w:r>
      <w:r>
        <w:rPr>
          <w:rFonts w:hint="eastAsia" w:hAnsi="宋体"/>
          <w:sz w:val="21"/>
          <w:szCs w:val="21"/>
        </w:rPr>
        <w:t>乙方：</w:t>
      </w:r>
    </w:p>
    <w:p>
      <w:pPr>
        <w:pStyle w:val="26"/>
        <w:snapToGrid w:val="0"/>
        <w:spacing w:before="120" w:after="120" w:line="440" w:lineRule="exact"/>
        <w:rPr>
          <w:rFonts w:hAnsi="宋体"/>
          <w:sz w:val="21"/>
          <w:szCs w:val="21"/>
        </w:rPr>
      </w:pPr>
      <w:r>
        <w:rPr>
          <w:rFonts w:hint="eastAsia" w:hAnsi="宋体"/>
          <w:sz w:val="21"/>
          <w:szCs w:val="21"/>
        </w:rPr>
        <w:t xml:space="preserve">  地址：                            </w:t>
      </w:r>
      <w:r>
        <w:rPr>
          <w:rFonts w:hint="eastAsia" w:hAnsi="宋体"/>
          <w:sz w:val="21"/>
          <w:szCs w:val="21"/>
        </w:rPr>
        <w:tab/>
      </w:r>
      <w:r>
        <w:rPr>
          <w:rFonts w:hint="eastAsia" w:hAnsi="宋体"/>
          <w:sz w:val="21"/>
          <w:szCs w:val="21"/>
        </w:rPr>
        <w:tab/>
      </w:r>
      <w:r>
        <w:rPr>
          <w:rFonts w:hint="eastAsia" w:hAnsi="宋体"/>
          <w:sz w:val="21"/>
          <w:szCs w:val="21"/>
        </w:rPr>
        <w:t>地址：</w:t>
      </w:r>
    </w:p>
    <w:p>
      <w:pPr>
        <w:pStyle w:val="26"/>
        <w:snapToGrid w:val="0"/>
        <w:spacing w:before="120" w:after="120" w:line="440" w:lineRule="exact"/>
        <w:rPr>
          <w:rFonts w:hAnsi="宋体"/>
          <w:sz w:val="21"/>
          <w:szCs w:val="21"/>
        </w:rPr>
      </w:pPr>
      <w:r>
        <w:rPr>
          <w:rFonts w:hint="eastAsia" w:hAnsi="宋体"/>
          <w:sz w:val="21"/>
          <w:szCs w:val="21"/>
        </w:rPr>
        <w:t xml:space="preserve">  法定代表人                        </w:t>
      </w:r>
      <w:r>
        <w:rPr>
          <w:rFonts w:hint="eastAsia" w:hAnsi="宋体"/>
          <w:sz w:val="21"/>
          <w:szCs w:val="21"/>
        </w:rPr>
        <w:tab/>
      </w:r>
      <w:r>
        <w:rPr>
          <w:rFonts w:hint="eastAsia" w:hAnsi="宋体"/>
          <w:sz w:val="21"/>
          <w:szCs w:val="21"/>
        </w:rPr>
        <w:tab/>
      </w:r>
      <w:r>
        <w:rPr>
          <w:rFonts w:hint="eastAsia" w:hAnsi="宋体"/>
          <w:sz w:val="21"/>
          <w:szCs w:val="21"/>
        </w:rPr>
        <w:t xml:space="preserve">法定代表人 </w:t>
      </w:r>
    </w:p>
    <w:p>
      <w:pPr>
        <w:pStyle w:val="26"/>
        <w:snapToGrid w:val="0"/>
        <w:spacing w:before="120" w:after="120" w:line="440" w:lineRule="exact"/>
        <w:rPr>
          <w:rFonts w:hAnsi="宋体"/>
          <w:sz w:val="21"/>
          <w:szCs w:val="21"/>
        </w:rPr>
      </w:pPr>
      <w:r>
        <w:rPr>
          <w:rFonts w:hint="eastAsia" w:hAnsi="宋体"/>
          <w:sz w:val="21"/>
          <w:szCs w:val="21"/>
        </w:rPr>
        <w:t xml:space="preserve">  或其委托代理人：                  </w:t>
      </w:r>
      <w:r>
        <w:rPr>
          <w:rFonts w:hint="eastAsia" w:hAnsi="宋体"/>
          <w:sz w:val="21"/>
          <w:szCs w:val="21"/>
        </w:rPr>
        <w:tab/>
      </w:r>
      <w:r>
        <w:rPr>
          <w:rFonts w:hint="eastAsia" w:hAnsi="宋体"/>
          <w:sz w:val="21"/>
          <w:szCs w:val="21"/>
        </w:rPr>
        <w:tab/>
      </w:r>
      <w:r>
        <w:rPr>
          <w:rFonts w:hint="eastAsia" w:hAnsi="宋体"/>
          <w:sz w:val="21"/>
          <w:szCs w:val="21"/>
        </w:rPr>
        <w:t xml:space="preserve">或其委托代理人：   </w:t>
      </w:r>
    </w:p>
    <w:p>
      <w:pPr>
        <w:spacing w:line="320" w:lineRule="exact"/>
        <w:ind w:firstLine="6930" w:firstLineChars="3300"/>
        <w:rPr>
          <w:szCs w:val="21"/>
        </w:rPr>
      </w:pPr>
      <w:r>
        <w:rPr>
          <w:rFonts w:ascii="宋体" w:hAnsi="宋体" w:cs="宋体"/>
          <w:kern w:val="0"/>
          <w:szCs w:val="21"/>
        </w:rPr>
        <w:t>年  月</w:t>
      </w:r>
      <w:r>
        <w:rPr>
          <w:rFonts w:hint="eastAsia" w:ascii="宋体" w:hAnsi="宋体" w:cs="宋体"/>
          <w:kern w:val="0"/>
          <w:szCs w:val="21"/>
        </w:rPr>
        <w:t xml:space="preserve">   </w:t>
      </w:r>
      <w:r>
        <w:rPr>
          <w:rFonts w:ascii="宋体" w:hAnsi="宋体" w:cs="宋体"/>
          <w:kern w:val="0"/>
          <w:szCs w:val="21"/>
        </w:rPr>
        <w:t>日</w:t>
      </w:r>
    </w:p>
    <w:p>
      <w:pPr>
        <w:pStyle w:val="2"/>
        <w:numPr>
          <w:ilvl w:val="0"/>
          <w:numId w:val="8"/>
        </w:numPr>
        <w:rPr>
          <w:rFonts w:hint="eastAsia"/>
        </w:rPr>
      </w:pPr>
      <w:r>
        <w:rPr>
          <w:rFonts w:hint="eastAsia"/>
        </w:rPr>
        <w:br w:type="page"/>
      </w:r>
      <w:bookmarkStart w:id="571" w:name="_Toc23589"/>
      <w:bookmarkStart w:id="572" w:name="_Toc30577"/>
      <w:bookmarkStart w:id="573" w:name="_Toc9724"/>
      <w:bookmarkStart w:id="574" w:name="_Hlk2864518"/>
      <w:r>
        <w:rPr>
          <w:rFonts w:hint="eastAsia"/>
        </w:rPr>
        <w:t>招标需求</w:t>
      </w:r>
      <w:bookmarkEnd w:id="571"/>
      <w:bookmarkEnd w:id="572"/>
      <w:bookmarkEnd w:id="573"/>
    </w:p>
    <w:tbl>
      <w:tblPr>
        <w:tblStyle w:val="48"/>
        <w:tblW w:w="9317" w:type="dxa"/>
        <w:jc w:val="center"/>
        <w:tblInd w:w="-762" w:type="dxa"/>
        <w:tblLayout w:type="fixed"/>
        <w:tblCellMar>
          <w:top w:w="0" w:type="dxa"/>
          <w:left w:w="108" w:type="dxa"/>
          <w:bottom w:w="0" w:type="dxa"/>
          <w:right w:w="108" w:type="dxa"/>
        </w:tblCellMar>
      </w:tblPr>
      <w:tblGrid>
        <w:gridCol w:w="645"/>
        <w:gridCol w:w="1140"/>
        <w:gridCol w:w="1416"/>
        <w:gridCol w:w="708"/>
        <w:gridCol w:w="5408"/>
      </w:tblGrid>
      <w:tr>
        <w:tblPrEx>
          <w:tblLayout w:type="fixed"/>
          <w:tblCellMar>
            <w:top w:w="0" w:type="dxa"/>
            <w:left w:w="108" w:type="dxa"/>
            <w:bottom w:w="0" w:type="dxa"/>
            <w:right w:w="108" w:type="dxa"/>
          </w:tblCellMar>
        </w:tblPrEx>
        <w:trPr>
          <w:trHeight w:val="404"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产品名称</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品牌</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技术参数</w:t>
            </w:r>
          </w:p>
        </w:tc>
      </w:tr>
      <w:tr>
        <w:tblPrEx>
          <w:tblLayout w:type="fixed"/>
          <w:tblCellMar>
            <w:top w:w="0" w:type="dxa"/>
            <w:left w:w="108" w:type="dxa"/>
            <w:bottom w:w="0" w:type="dxa"/>
            <w:right w:w="108" w:type="dxa"/>
          </w:tblCellMar>
        </w:tblPrEx>
        <w:trPr>
          <w:trHeight w:val="1179" w:hRule="atLeast"/>
          <w:jc w:val="center"/>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全彩枪机网络摄像机</w:t>
            </w:r>
          </w:p>
        </w:tc>
        <w:tc>
          <w:tcPr>
            <w:tcW w:w="141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海康威视、大华、宇视</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130</w:t>
            </w:r>
            <w:r>
              <w:rPr>
                <w:rFonts w:hint="eastAsia" w:ascii="宋体" w:hAnsi="宋体" w:cs="宋体"/>
                <w:color w:val="auto"/>
                <w:kern w:val="0"/>
                <w:sz w:val="18"/>
                <w:szCs w:val="18"/>
                <w:highlight w:val="none"/>
              </w:rPr>
              <w:t>台</w:t>
            </w:r>
          </w:p>
        </w:tc>
        <w:tc>
          <w:tcPr>
            <w:tcW w:w="5408" w:type="dxa"/>
            <w:tcBorders>
              <w:top w:val="nil"/>
              <w:left w:val="nil"/>
              <w:bottom w:val="single" w:color="auto" w:sz="4" w:space="0"/>
              <w:right w:val="single" w:color="auto" w:sz="4" w:space="0"/>
            </w:tcBorders>
            <w:vAlign w:val="center"/>
          </w:tcPr>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具有</w:t>
            </w:r>
            <w:r>
              <w:rPr>
                <w:rFonts w:cs="宋体" w:asciiTheme="majorEastAsia" w:hAnsiTheme="majorEastAsia" w:eastAsiaTheme="majorEastAsia"/>
                <w:kern w:val="0"/>
                <w:sz w:val="18"/>
                <w:szCs w:val="18"/>
                <w:highlight w:val="none"/>
              </w:rPr>
              <w:t>400</w:t>
            </w:r>
            <w:r>
              <w:rPr>
                <w:rFonts w:hint="eastAsia" w:cs="宋体" w:asciiTheme="majorEastAsia" w:hAnsiTheme="majorEastAsia" w:eastAsiaTheme="majorEastAsia"/>
                <w:kern w:val="0"/>
                <w:sz w:val="18"/>
                <w:szCs w:val="18"/>
                <w:highlight w:val="none"/>
              </w:rPr>
              <w:t>万像素</w:t>
            </w:r>
            <w:r>
              <w:rPr>
                <w:rFonts w:cs="宋体" w:asciiTheme="majorEastAsia" w:hAnsiTheme="majorEastAsia" w:eastAsiaTheme="majorEastAsia"/>
                <w:kern w:val="0"/>
                <w:sz w:val="18"/>
                <w:szCs w:val="18"/>
                <w:highlight w:val="none"/>
              </w:rPr>
              <w:t>1/1.8" CMOS</w:t>
            </w:r>
            <w:r>
              <w:rPr>
                <w:rFonts w:hint="eastAsia" w:cs="宋体" w:asciiTheme="majorEastAsia" w:hAnsiTheme="majorEastAsia" w:eastAsiaTheme="majorEastAsia"/>
                <w:kern w:val="0"/>
                <w:sz w:val="18"/>
                <w:szCs w:val="18"/>
                <w:highlight w:val="none"/>
              </w:rPr>
              <w:t>传感器。</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内置</w:t>
            </w:r>
            <w:r>
              <w:rPr>
                <w:rFonts w:hint="eastAsia" w:cs="宋体" w:asciiTheme="majorEastAsia" w:hAnsiTheme="majorEastAsia" w:eastAsiaTheme="majorEastAsia"/>
                <w:kern w:val="0"/>
                <w:sz w:val="18"/>
                <w:szCs w:val="18"/>
                <w:highlight w:val="none"/>
                <w:lang w:val="en-US" w:eastAsia="zh-CN"/>
              </w:rPr>
              <w:t>不少于</w:t>
            </w:r>
            <w:r>
              <w:rPr>
                <w:rFonts w:cs="宋体" w:asciiTheme="majorEastAsia" w:hAnsiTheme="majorEastAsia" w:eastAsiaTheme="majorEastAsia"/>
                <w:kern w:val="0"/>
                <w:sz w:val="18"/>
                <w:szCs w:val="18"/>
                <w:highlight w:val="none"/>
              </w:rPr>
              <w:t>2</w:t>
            </w:r>
            <w:r>
              <w:rPr>
                <w:rFonts w:hint="eastAsia" w:cs="宋体" w:asciiTheme="majorEastAsia" w:hAnsiTheme="majorEastAsia" w:eastAsiaTheme="majorEastAsia"/>
                <w:kern w:val="0"/>
                <w:sz w:val="18"/>
                <w:szCs w:val="18"/>
                <w:highlight w:val="none"/>
              </w:rPr>
              <w:t>颗白光补光灯。</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lang w:val="en-US" w:eastAsia="zh-CN"/>
              </w:rPr>
              <w:t>最低照度彩色不高于0.0008lx</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白天或夜晚均可输出彩色视频图像。</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最大分辨率</w:t>
            </w:r>
            <w:r>
              <w:rPr>
                <w:rFonts w:cs="宋体" w:asciiTheme="majorEastAsia" w:hAnsiTheme="majorEastAsia" w:eastAsiaTheme="majorEastAsia"/>
                <w:kern w:val="0"/>
                <w:sz w:val="18"/>
                <w:szCs w:val="18"/>
                <w:highlight w:val="none"/>
              </w:rPr>
              <w:t>2560x1440</w:t>
            </w:r>
            <w:r>
              <w:rPr>
                <w:rFonts w:hint="eastAsia" w:cs="宋体" w:asciiTheme="majorEastAsia" w:hAnsiTheme="majorEastAsia" w:eastAsiaTheme="majorEastAsia"/>
                <w:kern w:val="0"/>
                <w:sz w:val="18"/>
                <w:szCs w:val="18"/>
                <w:highlight w:val="none"/>
              </w:rPr>
              <w:t>。</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需具有</w:t>
            </w:r>
            <w:r>
              <w:rPr>
                <w:rFonts w:hint="eastAsia" w:cs="宋体" w:asciiTheme="majorEastAsia" w:hAnsiTheme="majorEastAsia" w:eastAsiaTheme="majorEastAsia"/>
                <w:kern w:val="0"/>
                <w:sz w:val="18"/>
                <w:szCs w:val="18"/>
                <w:highlight w:val="none"/>
                <w:lang w:val="en-US" w:eastAsia="zh-CN"/>
              </w:rPr>
              <w:t>不少于15</w:t>
            </w:r>
            <w:r>
              <w:rPr>
                <w:rFonts w:hint="eastAsia" w:cs="宋体" w:asciiTheme="majorEastAsia" w:hAnsiTheme="majorEastAsia" w:eastAsiaTheme="majorEastAsia"/>
                <w:kern w:val="0"/>
                <w:sz w:val="18"/>
                <w:szCs w:val="18"/>
                <w:highlight w:val="none"/>
              </w:rPr>
              <w:t>路取流路数能力，以满足更多用户同时在线访问摄像机视频。</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需支持三码流技术，可同时输出三路码流，主码流最高</w:t>
            </w:r>
            <w:r>
              <w:rPr>
                <w:rFonts w:cs="宋体" w:asciiTheme="majorEastAsia" w:hAnsiTheme="majorEastAsia" w:eastAsiaTheme="majorEastAsia"/>
                <w:kern w:val="0"/>
                <w:sz w:val="18"/>
                <w:szCs w:val="18"/>
                <w:highlight w:val="none"/>
              </w:rPr>
              <w:t>2560x1440@30fps</w:t>
            </w:r>
            <w:r>
              <w:rPr>
                <w:rFonts w:hint="eastAsia" w:cs="宋体" w:asciiTheme="majorEastAsia" w:hAnsiTheme="majorEastAsia" w:eastAsiaTheme="majorEastAsia"/>
                <w:kern w:val="0"/>
                <w:sz w:val="18"/>
                <w:szCs w:val="18"/>
                <w:highlight w:val="none"/>
              </w:rPr>
              <w:t>，第三码流最大</w:t>
            </w:r>
            <w:r>
              <w:rPr>
                <w:rFonts w:cs="宋体" w:asciiTheme="majorEastAsia" w:hAnsiTheme="majorEastAsia" w:eastAsiaTheme="majorEastAsia"/>
                <w:kern w:val="0"/>
                <w:sz w:val="18"/>
                <w:szCs w:val="18"/>
                <w:highlight w:val="none"/>
              </w:rPr>
              <w:t>2560x1440 @ 30fps</w:t>
            </w:r>
            <w:r>
              <w:rPr>
                <w:rFonts w:hint="eastAsia" w:cs="宋体" w:asciiTheme="majorEastAsia" w:hAnsiTheme="majorEastAsia" w:eastAsiaTheme="majorEastAsia"/>
                <w:kern w:val="0"/>
                <w:sz w:val="18"/>
                <w:szCs w:val="18"/>
                <w:highlight w:val="none"/>
              </w:rPr>
              <w:t>，子码流</w:t>
            </w:r>
            <w:r>
              <w:rPr>
                <w:rFonts w:cs="宋体" w:asciiTheme="majorEastAsia" w:hAnsiTheme="majorEastAsia" w:eastAsiaTheme="majorEastAsia"/>
                <w:kern w:val="0"/>
                <w:sz w:val="18"/>
                <w:szCs w:val="18"/>
                <w:highlight w:val="none"/>
              </w:rPr>
              <w:t>704x576@30fps</w:t>
            </w:r>
            <w:r>
              <w:rPr>
                <w:rFonts w:hint="eastAsia" w:cs="宋体" w:asciiTheme="majorEastAsia" w:hAnsiTheme="majorEastAsia" w:eastAsiaTheme="majorEastAsia"/>
                <w:kern w:val="0"/>
                <w:sz w:val="18"/>
                <w:szCs w:val="18"/>
                <w:highlight w:val="none"/>
              </w:rPr>
              <w:t>。</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支持</w:t>
            </w:r>
            <w:r>
              <w:rPr>
                <w:rFonts w:cs="宋体" w:asciiTheme="majorEastAsia" w:hAnsiTheme="majorEastAsia" w:eastAsiaTheme="majorEastAsia"/>
                <w:kern w:val="0"/>
                <w:sz w:val="18"/>
                <w:szCs w:val="18"/>
                <w:highlight w:val="none"/>
              </w:rPr>
              <w:t>H.264</w:t>
            </w:r>
            <w:r>
              <w:rPr>
                <w:rFonts w:hint="eastAsia" w:cs="宋体" w:asciiTheme="majorEastAsia" w:hAnsiTheme="majorEastAsia" w:eastAsiaTheme="majorEastAsia"/>
                <w:kern w:val="0"/>
                <w:sz w:val="18"/>
                <w:szCs w:val="18"/>
                <w:highlight w:val="none"/>
              </w:rPr>
              <w:t>、</w:t>
            </w:r>
            <w:r>
              <w:rPr>
                <w:rFonts w:cs="宋体" w:asciiTheme="majorEastAsia" w:hAnsiTheme="majorEastAsia" w:eastAsiaTheme="majorEastAsia"/>
                <w:kern w:val="0"/>
                <w:sz w:val="18"/>
                <w:szCs w:val="18"/>
                <w:highlight w:val="none"/>
              </w:rPr>
              <w:t>H.265</w:t>
            </w:r>
            <w:r>
              <w:rPr>
                <w:rFonts w:hint="eastAsia" w:cs="宋体" w:asciiTheme="majorEastAsia" w:hAnsiTheme="majorEastAsia" w:eastAsiaTheme="majorEastAsia"/>
                <w:kern w:val="0"/>
                <w:sz w:val="18"/>
                <w:szCs w:val="18"/>
                <w:highlight w:val="none"/>
              </w:rPr>
              <w:t>、</w:t>
            </w:r>
            <w:r>
              <w:rPr>
                <w:rFonts w:cs="宋体" w:asciiTheme="majorEastAsia" w:hAnsiTheme="majorEastAsia" w:eastAsiaTheme="majorEastAsia"/>
                <w:kern w:val="0"/>
                <w:sz w:val="18"/>
                <w:szCs w:val="18"/>
                <w:highlight w:val="none"/>
              </w:rPr>
              <w:t>MJPEG</w:t>
            </w:r>
            <w:r>
              <w:rPr>
                <w:rFonts w:hint="eastAsia" w:cs="宋体" w:asciiTheme="majorEastAsia" w:hAnsiTheme="majorEastAsia" w:eastAsiaTheme="majorEastAsia"/>
                <w:kern w:val="0"/>
                <w:sz w:val="18"/>
                <w:szCs w:val="18"/>
                <w:highlight w:val="none"/>
              </w:rPr>
              <w:t>视频编码格式，且具有</w:t>
            </w:r>
            <w:r>
              <w:rPr>
                <w:rFonts w:cs="宋体" w:asciiTheme="majorEastAsia" w:hAnsiTheme="majorEastAsia" w:eastAsiaTheme="majorEastAsia"/>
                <w:kern w:val="0"/>
                <w:sz w:val="18"/>
                <w:szCs w:val="18"/>
                <w:highlight w:val="none"/>
              </w:rPr>
              <w:t>High Profile</w:t>
            </w:r>
            <w:r>
              <w:rPr>
                <w:rFonts w:hint="eastAsia" w:cs="宋体" w:asciiTheme="majorEastAsia" w:hAnsiTheme="majorEastAsia" w:eastAsiaTheme="majorEastAsia"/>
                <w:kern w:val="0"/>
                <w:sz w:val="18"/>
                <w:szCs w:val="18"/>
                <w:highlight w:val="none"/>
              </w:rPr>
              <w:t>编码能力。</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信噪比不小于</w:t>
            </w:r>
            <w:r>
              <w:rPr>
                <w:rFonts w:cs="宋体" w:asciiTheme="majorEastAsia" w:hAnsiTheme="majorEastAsia" w:eastAsiaTheme="majorEastAsia"/>
                <w:kern w:val="0"/>
                <w:sz w:val="18"/>
                <w:szCs w:val="18"/>
                <w:highlight w:val="none"/>
              </w:rPr>
              <w:t>55dB</w:t>
            </w:r>
            <w:r>
              <w:rPr>
                <w:rFonts w:hint="eastAsia" w:cs="宋体" w:asciiTheme="majorEastAsia" w:hAnsiTheme="majorEastAsia" w:eastAsiaTheme="majorEastAsia"/>
                <w:kern w:val="0"/>
                <w:sz w:val="18"/>
                <w:szCs w:val="18"/>
                <w:highlight w:val="none"/>
              </w:rPr>
              <w:t>。</w:t>
            </w:r>
            <w:r>
              <w:rPr>
                <w:rFonts w:hint="eastAsia" w:cs="宋体" w:asciiTheme="majorEastAsia" w:hAnsiTheme="majorEastAsia" w:eastAsiaTheme="majorEastAsia"/>
                <w:kern w:val="0"/>
                <w:sz w:val="18"/>
                <w:szCs w:val="18"/>
                <w:highlight w:val="none"/>
              </w:rPr>
              <w:br w:type="textWrapping"/>
            </w:r>
            <w:r>
              <w:rPr>
                <w:rFonts w:hint="eastAsia" w:cs="宋体" w:asciiTheme="majorEastAsia" w:hAnsiTheme="majorEastAsia" w:eastAsiaTheme="majorEastAsia"/>
                <w:kern w:val="0"/>
                <w:sz w:val="18"/>
                <w:szCs w:val="18"/>
                <w:highlight w:val="none"/>
              </w:rPr>
              <w:t>10、需支持字符显示，字体颜色可设置，需具有图片叠加到视频画面功能。</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需具备人脸检测、区域入侵检测、越界检测、虚焦检测、进入区域、离开区域、徘徊、人员聚集、逆行、场景变更等功能。</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需具有电子防抖、</w:t>
            </w:r>
            <w:r>
              <w:rPr>
                <w:rFonts w:cs="宋体" w:asciiTheme="majorEastAsia" w:hAnsiTheme="majorEastAsia" w:eastAsiaTheme="majorEastAsia"/>
                <w:kern w:val="0"/>
                <w:sz w:val="18"/>
                <w:szCs w:val="18"/>
                <w:highlight w:val="none"/>
              </w:rPr>
              <w:t>ROI</w:t>
            </w:r>
            <w:r>
              <w:rPr>
                <w:rFonts w:hint="eastAsia" w:cs="宋体" w:asciiTheme="majorEastAsia" w:hAnsiTheme="majorEastAsia" w:eastAsiaTheme="majorEastAsia"/>
                <w:kern w:val="0"/>
                <w:sz w:val="18"/>
                <w:szCs w:val="18"/>
                <w:highlight w:val="none"/>
              </w:rPr>
              <w:t>感兴趣区域、</w:t>
            </w:r>
            <w:r>
              <w:rPr>
                <w:rFonts w:cs="宋体" w:asciiTheme="majorEastAsia" w:hAnsiTheme="majorEastAsia" w:eastAsiaTheme="majorEastAsia"/>
                <w:kern w:val="0"/>
                <w:sz w:val="18"/>
                <w:szCs w:val="18"/>
                <w:highlight w:val="none"/>
              </w:rPr>
              <w:t>SVC</w:t>
            </w:r>
            <w:r>
              <w:rPr>
                <w:rFonts w:hint="eastAsia" w:cs="宋体" w:asciiTheme="majorEastAsia" w:hAnsiTheme="majorEastAsia" w:eastAsiaTheme="majorEastAsia"/>
                <w:kern w:val="0"/>
                <w:sz w:val="18"/>
                <w:szCs w:val="18"/>
                <w:highlight w:val="none"/>
              </w:rPr>
              <w:t>可伸缩编码、自动增益、背光补偿、数字降噪、强光抑制、走廊模式、视频水印等功能。</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设备与客户端之间用</w:t>
            </w:r>
            <w:r>
              <w:rPr>
                <w:rFonts w:cs="宋体" w:asciiTheme="majorEastAsia" w:hAnsiTheme="majorEastAsia" w:eastAsiaTheme="majorEastAsia"/>
                <w:kern w:val="0"/>
                <w:sz w:val="18"/>
                <w:szCs w:val="18"/>
                <w:highlight w:val="none"/>
              </w:rPr>
              <w:t>100</w:t>
            </w:r>
            <w:r>
              <w:rPr>
                <w:rFonts w:hint="eastAsia" w:cs="宋体" w:asciiTheme="majorEastAsia" w:hAnsiTheme="majorEastAsia" w:eastAsiaTheme="majorEastAsia"/>
                <w:kern w:val="0"/>
                <w:sz w:val="18"/>
                <w:szCs w:val="18"/>
                <w:highlight w:val="none"/>
              </w:rPr>
              <w:t>米网线进行传输，数据包丢包率小于</w:t>
            </w:r>
            <w:r>
              <w:rPr>
                <w:rFonts w:cs="宋体" w:asciiTheme="majorEastAsia" w:hAnsiTheme="majorEastAsia" w:eastAsiaTheme="majorEastAsia"/>
                <w:kern w:val="0"/>
                <w:sz w:val="18"/>
                <w:szCs w:val="18"/>
                <w:highlight w:val="none"/>
              </w:rPr>
              <w:t>0.1%</w:t>
            </w:r>
            <w:r>
              <w:rPr>
                <w:rFonts w:hint="eastAsia" w:cs="宋体" w:asciiTheme="majorEastAsia" w:hAnsiTheme="majorEastAsia" w:eastAsiaTheme="majorEastAsia"/>
                <w:kern w:val="0"/>
                <w:sz w:val="18"/>
                <w:szCs w:val="18"/>
                <w:highlight w:val="none"/>
              </w:rPr>
              <w:t>。</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不低于</w:t>
            </w:r>
            <w:r>
              <w:rPr>
                <w:rFonts w:cs="宋体" w:asciiTheme="majorEastAsia" w:hAnsiTheme="majorEastAsia" w:eastAsiaTheme="majorEastAsia"/>
                <w:kern w:val="0"/>
                <w:sz w:val="18"/>
                <w:szCs w:val="18"/>
                <w:highlight w:val="none"/>
              </w:rPr>
              <w:t>IP67</w:t>
            </w:r>
            <w:r>
              <w:rPr>
                <w:rFonts w:hint="eastAsia" w:cs="宋体" w:asciiTheme="majorEastAsia" w:hAnsiTheme="majorEastAsia" w:eastAsiaTheme="majorEastAsia"/>
                <w:kern w:val="0"/>
                <w:sz w:val="18"/>
                <w:szCs w:val="18"/>
                <w:highlight w:val="none"/>
              </w:rPr>
              <w:t>防尘防水等级。</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需支持</w:t>
            </w:r>
            <w:r>
              <w:rPr>
                <w:rFonts w:cs="宋体" w:asciiTheme="majorEastAsia" w:hAnsiTheme="majorEastAsia" w:eastAsiaTheme="majorEastAsia"/>
                <w:kern w:val="0"/>
                <w:sz w:val="18"/>
                <w:szCs w:val="18"/>
                <w:highlight w:val="none"/>
              </w:rPr>
              <w:t>DC12V</w:t>
            </w:r>
            <w:r>
              <w:rPr>
                <w:rFonts w:hint="eastAsia" w:cs="宋体" w:asciiTheme="majorEastAsia" w:hAnsiTheme="majorEastAsia" w:eastAsiaTheme="majorEastAsia"/>
                <w:kern w:val="0"/>
                <w:sz w:val="18"/>
                <w:szCs w:val="18"/>
                <w:highlight w:val="none"/>
              </w:rPr>
              <w:t>及</w:t>
            </w:r>
            <w:r>
              <w:rPr>
                <w:rFonts w:cs="宋体" w:asciiTheme="majorEastAsia" w:hAnsiTheme="majorEastAsia" w:eastAsiaTheme="majorEastAsia"/>
                <w:kern w:val="0"/>
                <w:sz w:val="18"/>
                <w:szCs w:val="18"/>
                <w:highlight w:val="none"/>
              </w:rPr>
              <w:t>POE</w:t>
            </w:r>
            <w:r>
              <w:rPr>
                <w:rFonts w:hint="eastAsia" w:cs="宋体" w:asciiTheme="majorEastAsia" w:hAnsiTheme="majorEastAsia" w:eastAsiaTheme="majorEastAsia"/>
                <w:kern w:val="0"/>
                <w:sz w:val="18"/>
                <w:szCs w:val="18"/>
                <w:highlight w:val="none"/>
              </w:rPr>
              <w:t>供电，且在不小于</w:t>
            </w:r>
            <w:r>
              <w:rPr>
                <w:rFonts w:cs="宋体" w:asciiTheme="majorEastAsia" w:hAnsiTheme="majorEastAsia" w:eastAsiaTheme="majorEastAsia"/>
                <w:kern w:val="0"/>
                <w:sz w:val="18"/>
                <w:szCs w:val="18"/>
                <w:highlight w:val="none"/>
              </w:rPr>
              <w:t>DC12V</w:t>
            </w:r>
            <w:r>
              <w:rPr>
                <w:rFonts w:hint="eastAsia" w:cs="宋体" w:asciiTheme="majorEastAsia" w:hAnsiTheme="majorEastAsia" w:eastAsiaTheme="majorEastAsia"/>
                <w:kern w:val="0"/>
                <w:sz w:val="18"/>
                <w:szCs w:val="18"/>
                <w:highlight w:val="none"/>
              </w:rPr>
              <w:t>±</w:t>
            </w:r>
            <w:r>
              <w:rPr>
                <w:rFonts w:cs="宋体" w:asciiTheme="majorEastAsia" w:hAnsiTheme="majorEastAsia" w:eastAsiaTheme="majorEastAsia"/>
                <w:kern w:val="0"/>
                <w:sz w:val="18"/>
                <w:szCs w:val="18"/>
                <w:highlight w:val="none"/>
              </w:rPr>
              <w:t>30%</w:t>
            </w:r>
            <w:r>
              <w:rPr>
                <w:rFonts w:hint="eastAsia" w:cs="宋体" w:asciiTheme="majorEastAsia" w:hAnsiTheme="majorEastAsia" w:eastAsiaTheme="majorEastAsia"/>
                <w:kern w:val="0"/>
                <w:sz w:val="18"/>
                <w:szCs w:val="18"/>
                <w:highlight w:val="none"/>
              </w:rPr>
              <w:t>范围内变化时可以正常工作。</w:t>
            </w:r>
          </w:p>
          <w:p>
            <w:pPr>
              <w:widowControl/>
              <w:numPr>
                <w:ilvl w:val="0"/>
                <w:numId w:val="9"/>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同一静止场景相同图像质量下，设备在</w:t>
            </w:r>
            <w:r>
              <w:rPr>
                <w:rFonts w:cs="宋体" w:asciiTheme="majorEastAsia" w:hAnsiTheme="majorEastAsia" w:eastAsiaTheme="majorEastAsia"/>
                <w:kern w:val="0"/>
                <w:sz w:val="18"/>
                <w:szCs w:val="18"/>
                <w:highlight w:val="none"/>
              </w:rPr>
              <w:t>H.265</w:t>
            </w:r>
            <w:r>
              <w:rPr>
                <w:rFonts w:hint="eastAsia" w:cs="宋体" w:asciiTheme="majorEastAsia" w:hAnsiTheme="majorEastAsia" w:eastAsiaTheme="majorEastAsia"/>
                <w:kern w:val="0"/>
                <w:sz w:val="18"/>
                <w:szCs w:val="18"/>
                <w:highlight w:val="none"/>
              </w:rPr>
              <w:t>编码方式时，开启智能编码功能和不开启智能编码相比，码率节约</w:t>
            </w:r>
            <w:r>
              <w:rPr>
                <w:rFonts w:cs="宋体" w:asciiTheme="majorEastAsia" w:hAnsiTheme="majorEastAsia" w:eastAsiaTheme="majorEastAsia"/>
                <w:kern w:val="0"/>
                <w:sz w:val="18"/>
                <w:szCs w:val="18"/>
                <w:highlight w:val="none"/>
              </w:rPr>
              <w:t>1/2</w:t>
            </w:r>
            <w:r>
              <w:rPr>
                <w:rFonts w:hint="eastAsia" w:cs="宋体" w:asciiTheme="majorEastAsia" w:hAnsiTheme="majorEastAsia" w:eastAsiaTheme="majorEastAsia"/>
                <w:kern w:val="0"/>
                <w:sz w:val="18"/>
                <w:szCs w:val="18"/>
                <w:highlight w:val="none"/>
              </w:rPr>
              <w:t>。</w:t>
            </w:r>
          </w:p>
          <w:p>
            <w:pPr>
              <w:widowControl/>
              <w:numPr>
                <w:ilvl w:val="0"/>
                <w:numId w:val="9"/>
              </w:numPr>
              <w:ind w:left="425" w:leftChars="0" w:hanging="425" w:firstLineChars="0"/>
              <w:jc w:val="left"/>
              <w:rPr>
                <w:rFonts w:ascii="宋体" w:hAnsi="宋体" w:cs="宋体" w:eastAsiaTheme="majorEastAsia"/>
                <w:color w:val="000000"/>
                <w:kern w:val="0"/>
                <w:sz w:val="18"/>
                <w:szCs w:val="18"/>
                <w:highlight w:val="none"/>
              </w:rPr>
            </w:pPr>
            <w:r>
              <w:rPr>
                <w:rFonts w:hint="eastAsia" w:cs="宋体" w:asciiTheme="majorEastAsia" w:hAnsiTheme="majorEastAsia" w:eastAsiaTheme="majorEastAsia"/>
                <w:kern w:val="0"/>
                <w:sz w:val="18"/>
                <w:szCs w:val="18"/>
                <w:highlight w:val="none"/>
              </w:rPr>
              <w:t>提供相关公安部检验报告证明（中标后提供）</w:t>
            </w:r>
          </w:p>
        </w:tc>
      </w:tr>
      <w:tr>
        <w:tblPrEx>
          <w:tblLayout w:type="fixed"/>
          <w:tblCellMar>
            <w:top w:w="0" w:type="dxa"/>
            <w:left w:w="108" w:type="dxa"/>
            <w:bottom w:w="0" w:type="dxa"/>
            <w:right w:w="108" w:type="dxa"/>
          </w:tblCellMar>
        </w:tblPrEx>
        <w:trPr>
          <w:trHeight w:val="90" w:hRule="atLeast"/>
          <w:jc w:val="center"/>
        </w:trPr>
        <w:tc>
          <w:tcPr>
            <w:tcW w:w="6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摄像机支架</w:t>
            </w:r>
          </w:p>
        </w:tc>
        <w:tc>
          <w:tcPr>
            <w:tcW w:w="141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海康威视、大华、宇视</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130</w:t>
            </w:r>
            <w:r>
              <w:rPr>
                <w:rFonts w:hint="eastAsia" w:ascii="宋体" w:hAnsi="宋体" w:cs="宋体"/>
                <w:color w:val="auto"/>
                <w:kern w:val="0"/>
                <w:sz w:val="18"/>
                <w:szCs w:val="18"/>
              </w:rPr>
              <w:t>只</w:t>
            </w:r>
          </w:p>
        </w:tc>
        <w:tc>
          <w:tcPr>
            <w:tcW w:w="5408" w:type="dxa"/>
            <w:tcBorders>
              <w:top w:val="nil"/>
              <w:left w:val="nil"/>
              <w:bottom w:val="single" w:color="auto" w:sz="4" w:space="0"/>
              <w:right w:val="single" w:color="auto" w:sz="4" w:space="0"/>
            </w:tcBorders>
            <w:vAlign w:val="center"/>
          </w:tcPr>
          <w:p>
            <w:pPr>
              <w:widowControl/>
              <w:jc w:val="left"/>
              <w:rPr>
                <w:rFonts w:cs="宋体" w:asciiTheme="majorEastAsia" w:hAnsiTheme="majorEastAsia" w:eastAsiaTheme="majorEastAsia"/>
                <w:kern w:val="0"/>
                <w:sz w:val="18"/>
                <w:szCs w:val="18"/>
              </w:rPr>
            </w:pPr>
            <w:r>
              <w:rPr>
                <w:rFonts w:hint="eastAsia" w:ascii="宋体" w:hAnsi="宋体" w:cs="宋体"/>
                <w:kern w:val="0"/>
                <w:sz w:val="18"/>
                <w:szCs w:val="18"/>
              </w:rPr>
              <w:t>采用铝合金材质，不易生锈白色支持最大承重1.0kg支持壁装安装方式支持水平：0~360°，竖直：-30°~0°旋转角度范围。</w:t>
            </w:r>
          </w:p>
        </w:tc>
      </w:tr>
      <w:tr>
        <w:tblPrEx>
          <w:tblLayout w:type="fixed"/>
          <w:tblCellMar>
            <w:top w:w="0" w:type="dxa"/>
            <w:left w:w="108" w:type="dxa"/>
            <w:bottom w:w="0" w:type="dxa"/>
            <w:right w:w="108" w:type="dxa"/>
          </w:tblCellMar>
        </w:tblPrEx>
        <w:trPr>
          <w:trHeight w:val="1075"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汇聚交换机</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H3C</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华为、思科</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1台</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产品类型</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千兆以太网交换机，网管交换机</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应用层级</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二层</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传输速率</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10/100/1000Mbps</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交换方式</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存储-转发</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背板带宽</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240Gbps</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包转发率</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78Mpps</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端口结构</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非模块化</w:t>
            </w:r>
          </w:p>
          <w:p>
            <w:pPr>
              <w:widowControl/>
              <w:numPr>
                <w:ilvl w:val="0"/>
                <w:numId w:val="10"/>
              </w:numPr>
              <w:ind w:left="425" w:leftChars="0" w:hanging="425" w:firstLineChars="0"/>
              <w:jc w:val="left"/>
              <w:rPr>
                <w:rFonts w:hint="eastAsia"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rPr>
              <w:t>端口描述</w:t>
            </w:r>
            <w:r>
              <w:rPr>
                <w:rFonts w:hint="eastAsia" w:cs="宋体" w:asciiTheme="majorEastAsia" w:hAnsiTheme="majorEastAsia" w:eastAsiaTheme="majorEastAsia"/>
                <w:kern w:val="0"/>
                <w:sz w:val="18"/>
                <w:szCs w:val="18"/>
                <w:highlight w:val="none"/>
              </w:rPr>
              <w:tab/>
            </w:r>
            <w:r>
              <w:rPr>
                <w:rFonts w:hint="eastAsia" w:cs="宋体" w:asciiTheme="majorEastAsia" w:hAnsiTheme="majorEastAsia" w:eastAsiaTheme="majorEastAsia"/>
                <w:kern w:val="0"/>
                <w:sz w:val="18"/>
                <w:szCs w:val="18"/>
                <w:highlight w:val="none"/>
                <w:lang w:val="en-US" w:eastAsia="zh-CN"/>
              </w:rPr>
              <w:t>不少于</w:t>
            </w:r>
            <w:r>
              <w:rPr>
                <w:rFonts w:hint="eastAsia" w:cs="宋体" w:asciiTheme="majorEastAsia" w:hAnsiTheme="majorEastAsia" w:eastAsiaTheme="majorEastAsia"/>
                <w:kern w:val="0"/>
                <w:sz w:val="18"/>
                <w:szCs w:val="18"/>
                <w:highlight w:val="none"/>
              </w:rPr>
              <w:t>2个1000Base-T以太网端口，</w:t>
            </w:r>
          </w:p>
          <w:p>
            <w:pPr>
              <w:widowControl/>
              <w:numPr>
                <w:ilvl w:val="0"/>
                <w:numId w:val="10"/>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lang w:val="en-US" w:eastAsia="zh-CN"/>
              </w:rPr>
              <w:t>不少于</w:t>
            </w:r>
            <w:r>
              <w:rPr>
                <w:rFonts w:hint="eastAsia" w:cs="宋体" w:asciiTheme="majorEastAsia" w:hAnsiTheme="majorEastAsia" w:eastAsiaTheme="majorEastAsia"/>
                <w:kern w:val="0"/>
                <w:sz w:val="18"/>
                <w:szCs w:val="18"/>
                <w:highlight w:val="none"/>
              </w:rPr>
              <w:t>2</w:t>
            </w:r>
            <w:r>
              <w:rPr>
                <w:rFonts w:hint="eastAsia" w:cs="宋体" w:asciiTheme="majorEastAsia" w:hAnsiTheme="majorEastAsia" w:eastAsiaTheme="majorEastAsia"/>
                <w:kern w:val="0"/>
                <w:sz w:val="18"/>
                <w:szCs w:val="18"/>
                <w:highlight w:val="none"/>
                <w:lang w:val="en-US" w:eastAsia="zh-CN"/>
              </w:rPr>
              <w:t>4</w:t>
            </w:r>
            <w:r>
              <w:rPr>
                <w:rFonts w:hint="eastAsia" w:cs="宋体" w:asciiTheme="majorEastAsia" w:hAnsiTheme="majorEastAsia" w:eastAsiaTheme="majorEastAsia"/>
                <w:kern w:val="0"/>
                <w:sz w:val="18"/>
                <w:szCs w:val="18"/>
                <w:highlight w:val="none"/>
              </w:rPr>
              <w:t>个1000 Base-X SFP光口</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控制端口</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1个Console口</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传输模式</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全双工/半双工自适应</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功能特性</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VLAN</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支持802.1Q (最大4K个VLAN)</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支持基于协议的VLAN</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支持基于IP子网的VLAN</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支持基于MAC的VLAN</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支持GUEST VLAN</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QOS</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支持Diff-Serv QoS</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支持WRR/HQ-WRR等队列调度机制</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支持802.1p、DSCP优先级映射</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支持对端口双向速率限制</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组播管理</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支持IGMP V1/V2/V3 Snooping</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网络管理</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支持Console/AUX Modem/Telnet/SSH2.0 命令行配置</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支持FTP、TFTP、Xmodem、SFTP文件上下载管理</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支持SNMP V1/V2c/V3</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支持NTP时钟</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支持系统工作日志</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支持集群管理</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安全管理</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支持用户分级管理和口令保护</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支持SSHv2，为用户登录提供安全加密通道</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支持SSL，保障数据传输安全</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支持可控IP地址的FTP登录和口令机制</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支持防止ARP、未知组播报文、广播报文、未知单播报文、TTL=1报文、协议报文等攻击功能</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支持防Dos攻击</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支持MAC地址限制</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支持IP＋MAC+PORT+VLAN绑定功能</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支持IEEE 802.1x</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支持SAVI 源地址有效性验证</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支持Radius、支持HWTACACS</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支持安全网管SNMPv3</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支持广播报文抑制</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支持CPU防攻击</w:t>
            </w:r>
          </w:p>
          <w:p>
            <w:pPr>
              <w:widowControl/>
              <w:numPr>
                <w:ilvl w:val="0"/>
                <w:numId w:val="10"/>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电源电压</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AC：100V-240V AC，50/60Hz；DC:220V</w:t>
            </w:r>
          </w:p>
          <w:p>
            <w:pPr>
              <w:widowControl/>
              <w:numPr>
                <w:ilvl w:val="0"/>
                <w:numId w:val="10"/>
              </w:numPr>
              <w:ind w:left="425" w:leftChars="0" w:hanging="425" w:firstLineChars="0"/>
              <w:jc w:val="left"/>
              <w:rPr>
                <w:rFonts w:ascii="宋体" w:hAnsi="宋体" w:cs="宋体"/>
                <w:color w:val="000000"/>
                <w:sz w:val="18"/>
                <w:szCs w:val="18"/>
              </w:rPr>
            </w:pPr>
            <w:r>
              <w:rPr>
                <w:rFonts w:hint="eastAsia" w:cs="宋体" w:asciiTheme="majorEastAsia" w:hAnsiTheme="majorEastAsia" w:eastAsiaTheme="majorEastAsia"/>
                <w:kern w:val="0"/>
                <w:sz w:val="18"/>
                <w:szCs w:val="18"/>
              </w:rPr>
              <w:t>电源功率</w:t>
            </w:r>
            <w:r>
              <w:rPr>
                <w:rFonts w:hint="eastAsia" w:cs="宋体" w:asciiTheme="majorEastAsia" w:hAnsiTheme="majorEastAsia" w:eastAsiaTheme="majorEastAsia"/>
                <w:kern w:val="0"/>
                <w:sz w:val="18"/>
                <w:szCs w:val="18"/>
              </w:rPr>
              <w:tab/>
            </w:r>
            <w:r>
              <w:rPr>
                <w:rFonts w:hint="eastAsia" w:cs="宋体" w:asciiTheme="majorEastAsia" w:hAnsiTheme="majorEastAsia" w:eastAsiaTheme="majorEastAsia"/>
                <w:kern w:val="0"/>
                <w:sz w:val="18"/>
                <w:szCs w:val="18"/>
              </w:rPr>
              <w:t>≤32W</w:t>
            </w:r>
          </w:p>
        </w:tc>
      </w:tr>
      <w:tr>
        <w:tblPrEx>
          <w:tblLayout w:type="fixed"/>
          <w:tblCellMar>
            <w:top w:w="0" w:type="dxa"/>
            <w:left w:w="108" w:type="dxa"/>
            <w:bottom w:w="0" w:type="dxa"/>
            <w:right w:w="108" w:type="dxa"/>
          </w:tblCellMar>
        </w:tblPrEx>
        <w:trPr>
          <w:trHeight w:val="585"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分支交换机</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H3C</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华为、思科</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24台</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sz w:val="18"/>
                <w:szCs w:val="18"/>
              </w:rPr>
            </w:pPr>
            <w:r>
              <w:rPr>
                <w:rFonts w:hint="eastAsia" w:ascii="宋体" w:hAnsi="宋体" w:cs="宋体"/>
                <w:kern w:val="0"/>
                <w:sz w:val="18"/>
                <w:szCs w:val="18"/>
              </w:rPr>
              <w:t>8</w:t>
            </w:r>
            <w:r>
              <w:rPr>
                <w:rFonts w:ascii="宋体" w:hAnsi="宋体" w:cs="宋体"/>
                <w:kern w:val="0"/>
                <w:sz w:val="18"/>
                <w:szCs w:val="18"/>
              </w:rPr>
              <w:t>个10/100/1000M自适应RJ45端口</w:t>
            </w:r>
            <w:r>
              <w:rPr>
                <w:rFonts w:hint="eastAsia" w:ascii="宋体" w:hAnsi="宋体" w:cs="宋体"/>
                <w:kern w:val="0"/>
                <w:sz w:val="18"/>
                <w:szCs w:val="18"/>
              </w:rPr>
              <w:t>，2</w:t>
            </w:r>
            <w:r>
              <w:rPr>
                <w:rFonts w:ascii="宋体" w:hAnsi="宋体" w:cs="宋体"/>
                <w:kern w:val="0"/>
                <w:sz w:val="18"/>
                <w:szCs w:val="18"/>
              </w:rPr>
              <w:t>个千兆SFP光纤模块扩展插槽</w:t>
            </w:r>
            <w:r>
              <w:rPr>
                <w:rFonts w:hint="eastAsia" w:ascii="宋体" w:hAnsi="宋体" w:cs="宋体"/>
                <w:kern w:val="0"/>
                <w:sz w:val="18"/>
                <w:szCs w:val="18"/>
              </w:rPr>
              <w:t>，</w:t>
            </w:r>
            <w:r>
              <w:rPr>
                <w:rFonts w:ascii="宋体" w:hAnsi="宋体" w:cs="宋体"/>
                <w:kern w:val="0"/>
                <w:sz w:val="18"/>
                <w:szCs w:val="18"/>
              </w:rPr>
              <w:t>8个千兆RJ45端口支持IEEE 802.3af/at标准PoE供电，单口供电功率可高达30W，供电总功率达54W支持标准交换、视频监控、VLAN隔离三种工作模式支持IEEE802.3X全双工流控与Backpressure半双工流控支持端口自动翻转（Auto MDI/MDIX）功能所有端口均具备线速转发能力</w:t>
            </w: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333"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大路数NVR</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海康威视、大华、宇视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2台</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11"/>
              </w:numPr>
              <w:ind w:left="425" w:leftChars="0" w:hanging="425" w:firstLineChars="0"/>
              <w:jc w:val="left"/>
              <w:rPr>
                <w:rFonts w:hint="default" w:cs="宋体" w:asciiTheme="majorEastAsia" w:hAnsiTheme="majorEastAsia" w:eastAsiaTheme="majorEastAsia"/>
                <w:kern w:val="0"/>
                <w:sz w:val="18"/>
                <w:szCs w:val="18"/>
                <w:highlight w:val="none"/>
                <w:lang w:val="en-US" w:eastAsia="zh-CN"/>
              </w:rPr>
            </w:pPr>
            <w:r>
              <w:rPr>
                <w:rFonts w:hint="eastAsia" w:cs="宋体" w:asciiTheme="majorEastAsia" w:hAnsiTheme="majorEastAsia" w:eastAsiaTheme="majorEastAsia"/>
                <w:kern w:val="0"/>
                <w:sz w:val="18"/>
                <w:szCs w:val="18"/>
                <w:highlight w:val="none"/>
              </w:rPr>
              <w:t>可对视频画面叠加</w:t>
            </w:r>
            <w:r>
              <w:rPr>
                <w:rFonts w:hint="eastAsia" w:cs="宋体" w:asciiTheme="majorEastAsia" w:hAnsiTheme="majorEastAsia" w:eastAsiaTheme="majorEastAsia"/>
                <w:kern w:val="0"/>
                <w:sz w:val="18"/>
                <w:szCs w:val="18"/>
                <w:highlight w:val="none"/>
                <w:lang w:val="en-US" w:eastAsia="zh-CN"/>
              </w:rPr>
              <w:t>不少于5</w:t>
            </w:r>
            <w:r>
              <w:rPr>
                <w:rFonts w:hint="eastAsia" w:cs="宋体" w:asciiTheme="majorEastAsia" w:hAnsiTheme="majorEastAsia" w:eastAsiaTheme="majorEastAsia"/>
                <w:kern w:val="0"/>
                <w:sz w:val="18"/>
                <w:szCs w:val="18"/>
                <w:highlight w:val="none"/>
              </w:rPr>
              <w:t>行字符</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支持报警输入触发一键撤防功能，撤防的报警类型可选（弹出报警画面、声音警告、上传中心、发送邮件、触发报警输出）</w:t>
            </w:r>
          </w:p>
          <w:p>
            <w:pPr>
              <w:widowControl/>
              <w:numPr>
                <w:ilvl w:val="0"/>
                <w:numId w:val="11"/>
              </w:numPr>
              <w:ind w:left="425" w:leftChars="0" w:hanging="425" w:firstLineChars="0"/>
              <w:jc w:val="left"/>
              <w:rPr>
                <w:rFonts w:cs="宋体" w:asciiTheme="majorEastAsia" w:hAnsiTheme="majorEastAsia" w:eastAsiaTheme="majorEastAsia"/>
                <w:kern w:val="0"/>
                <w:sz w:val="18"/>
                <w:szCs w:val="18"/>
                <w:highlight w:val="none"/>
              </w:rPr>
            </w:pPr>
            <w:r>
              <w:rPr>
                <w:rFonts w:hint="eastAsia" w:cs="宋体" w:asciiTheme="majorEastAsia" w:hAnsiTheme="majorEastAsia" w:eastAsiaTheme="majorEastAsia"/>
                <w:kern w:val="0"/>
                <w:sz w:val="18"/>
                <w:szCs w:val="18"/>
                <w:highlight w:val="none"/>
              </w:rPr>
              <w:t>支持对任一录像进行添加自定义标签，单个文件最大支持</w:t>
            </w:r>
            <w:r>
              <w:rPr>
                <w:rFonts w:hint="eastAsia" w:cs="宋体" w:asciiTheme="majorEastAsia" w:hAnsiTheme="majorEastAsia" w:eastAsiaTheme="majorEastAsia"/>
                <w:kern w:val="0"/>
                <w:sz w:val="18"/>
                <w:szCs w:val="18"/>
                <w:highlight w:val="none"/>
                <w:lang w:val="en-US" w:eastAsia="zh-CN"/>
              </w:rPr>
              <w:t>不少于</w:t>
            </w:r>
            <w:r>
              <w:rPr>
                <w:rFonts w:cs="宋体" w:asciiTheme="majorEastAsia" w:hAnsiTheme="majorEastAsia" w:eastAsiaTheme="majorEastAsia"/>
                <w:kern w:val="0"/>
                <w:sz w:val="18"/>
                <w:szCs w:val="18"/>
                <w:highlight w:val="none"/>
              </w:rPr>
              <w:t>19</w:t>
            </w:r>
            <w:r>
              <w:rPr>
                <w:rFonts w:hint="eastAsia" w:cs="宋体" w:asciiTheme="majorEastAsia" w:hAnsiTheme="majorEastAsia" w:eastAsiaTheme="majorEastAsia"/>
                <w:kern w:val="0"/>
                <w:sz w:val="18"/>
                <w:szCs w:val="18"/>
                <w:highlight w:val="none"/>
                <w:lang w:val="en-US" w:eastAsia="zh-CN"/>
              </w:rPr>
              <w:t>0</w:t>
            </w:r>
            <w:r>
              <w:rPr>
                <w:rFonts w:hint="eastAsia" w:cs="宋体" w:asciiTheme="majorEastAsia" w:hAnsiTheme="majorEastAsia" w:eastAsiaTheme="majorEastAsia"/>
                <w:kern w:val="0"/>
                <w:sz w:val="18"/>
                <w:szCs w:val="18"/>
                <w:highlight w:val="none"/>
              </w:rPr>
              <w:t>个标签，最大可以打</w:t>
            </w:r>
            <w:r>
              <w:rPr>
                <w:rFonts w:hint="eastAsia" w:cs="宋体" w:asciiTheme="majorEastAsia" w:hAnsiTheme="majorEastAsia" w:eastAsiaTheme="majorEastAsia"/>
                <w:kern w:val="0"/>
                <w:sz w:val="18"/>
                <w:szCs w:val="18"/>
                <w:highlight w:val="none"/>
                <w:lang w:val="en-US" w:eastAsia="zh-CN"/>
              </w:rPr>
              <w:t>不少于4000</w:t>
            </w:r>
            <w:r>
              <w:rPr>
                <w:rFonts w:hint="eastAsia" w:cs="宋体" w:asciiTheme="majorEastAsia" w:hAnsiTheme="majorEastAsia" w:eastAsiaTheme="majorEastAsia"/>
                <w:kern w:val="0"/>
                <w:sz w:val="18"/>
                <w:szCs w:val="18"/>
                <w:highlight w:val="none"/>
              </w:rPr>
              <w:t>个标签</w:t>
            </w:r>
            <w:r>
              <w:rPr>
                <w:rFonts w:hint="eastAsia" w:cs="宋体" w:asciiTheme="majorEastAsia" w:hAnsiTheme="majorEastAsia" w:eastAsiaTheme="majorEastAsia"/>
                <w:kern w:val="0"/>
                <w:sz w:val="18"/>
                <w:szCs w:val="18"/>
                <w:highlight w:val="none"/>
              </w:rPr>
              <w:br w:type="page"/>
            </w:r>
            <w:r>
              <w:rPr>
                <w:rFonts w:hint="eastAsia" w:cs="宋体" w:asciiTheme="majorEastAsia" w:hAnsiTheme="majorEastAsia" w:eastAsiaTheme="majorEastAsia"/>
                <w:kern w:val="0"/>
                <w:sz w:val="18"/>
                <w:szCs w:val="18"/>
                <w:highlight w:val="none"/>
              </w:rPr>
              <w:t>。</w:t>
            </w:r>
          </w:p>
          <w:p>
            <w:pPr>
              <w:widowControl/>
              <w:numPr>
                <w:ilvl w:val="0"/>
                <w:numId w:val="11"/>
              </w:numPr>
              <w:ind w:left="425" w:leftChars="0" w:hanging="425" w:firstLineChars="0"/>
              <w:jc w:val="left"/>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支持设置图案密码，用户通过绘制图案来解锁并登录</w:t>
            </w: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w:t>
            </w:r>
            <w:r>
              <w:rPr>
                <w:rFonts w:cs="宋体" w:asciiTheme="majorEastAsia" w:hAnsiTheme="majorEastAsia" w:eastAsiaTheme="majorEastAsia"/>
                <w:kern w:val="0"/>
                <w:sz w:val="18"/>
                <w:szCs w:val="18"/>
              </w:rPr>
              <w:t>POS</w:t>
            </w:r>
            <w:r>
              <w:rPr>
                <w:rFonts w:hint="eastAsia" w:cs="宋体" w:asciiTheme="majorEastAsia" w:hAnsiTheme="majorEastAsia" w:eastAsiaTheme="majorEastAsia"/>
                <w:kern w:val="0"/>
                <w:sz w:val="18"/>
                <w:szCs w:val="18"/>
              </w:rPr>
              <w:t>功能，可接入</w:t>
            </w:r>
            <w:r>
              <w:rPr>
                <w:rFonts w:cs="宋体" w:asciiTheme="majorEastAsia" w:hAnsiTheme="majorEastAsia" w:eastAsiaTheme="majorEastAsia"/>
                <w:kern w:val="0"/>
                <w:sz w:val="18"/>
                <w:szCs w:val="18"/>
              </w:rPr>
              <w:t>POS</w:t>
            </w:r>
            <w:r>
              <w:rPr>
                <w:rFonts w:hint="eastAsia" w:cs="宋体" w:asciiTheme="majorEastAsia" w:hAnsiTheme="majorEastAsia" w:eastAsiaTheme="majorEastAsia"/>
                <w:kern w:val="0"/>
                <w:sz w:val="18"/>
                <w:szCs w:val="18"/>
              </w:rPr>
              <w:t>机，叠加</w:t>
            </w:r>
            <w:r>
              <w:rPr>
                <w:rFonts w:cs="宋体" w:asciiTheme="majorEastAsia" w:hAnsiTheme="majorEastAsia" w:eastAsiaTheme="majorEastAsia"/>
                <w:kern w:val="0"/>
                <w:sz w:val="18"/>
                <w:szCs w:val="18"/>
              </w:rPr>
              <w:t>POS</w:t>
            </w:r>
            <w:r>
              <w:rPr>
                <w:rFonts w:hint="eastAsia" w:cs="宋体" w:asciiTheme="majorEastAsia" w:hAnsiTheme="majorEastAsia" w:eastAsiaTheme="majorEastAsia"/>
                <w:kern w:val="0"/>
                <w:sz w:val="18"/>
                <w:szCs w:val="18"/>
              </w:rPr>
              <w:t>信息到录像中，可修改</w:t>
            </w:r>
            <w:r>
              <w:rPr>
                <w:rFonts w:cs="宋体" w:asciiTheme="majorEastAsia" w:hAnsiTheme="majorEastAsia" w:eastAsiaTheme="majorEastAsia"/>
                <w:kern w:val="0"/>
                <w:sz w:val="18"/>
                <w:szCs w:val="18"/>
              </w:rPr>
              <w:t>POS</w:t>
            </w:r>
            <w:r>
              <w:rPr>
                <w:rFonts w:hint="eastAsia" w:cs="宋体" w:asciiTheme="majorEastAsia" w:hAnsiTheme="majorEastAsia" w:eastAsiaTheme="majorEastAsia"/>
                <w:kern w:val="0"/>
                <w:sz w:val="18"/>
                <w:szCs w:val="18"/>
              </w:rPr>
              <w:t>信息的字体大小和颜色，可按关键字搜索录像</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支持接入</w:t>
            </w:r>
            <w:r>
              <w:rPr>
                <w:rFonts w:cs="宋体" w:asciiTheme="majorEastAsia" w:hAnsiTheme="majorEastAsia" w:eastAsiaTheme="majorEastAsia"/>
                <w:kern w:val="0"/>
                <w:sz w:val="18"/>
                <w:szCs w:val="18"/>
              </w:rPr>
              <w:t>ONVIF</w:t>
            </w:r>
            <w:r>
              <w:rPr>
                <w:rFonts w:hint="eastAsia" w:cs="宋体" w:asciiTheme="majorEastAsia" w:hAnsiTheme="majorEastAsia" w:eastAsiaTheme="majorEastAsia"/>
                <w:kern w:val="0"/>
                <w:sz w:val="18"/>
                <w:szCs w:val="18"/>
              </w:rPr>
              <w:t>协议、</w:t>
            </w:r>
            <w:r>
              <w:rPr>
                <w:rFonts w:cs="宋体" w:asciiTheme="majorEastAsia" w:hAnsiTheme="majorEastAsia" w:eastAsiaTheme="majorEastAsia"/>
                <w:kern w:val="0"/>
                <w:sz w:val="18"/>
                <w:szCs w:val="18"/>
              </w:rPr>
              <w:t>RTSP</w:t>
            </w:r>
            <w:r>
              <w:rPr>
                <w:rFonts w:hint="eastAsia" w:cs="宋体" w:asciiTheme="majorEastAsia" w:hAnsiTheme="majorEastAsia" w:eastAsiaTheme="majorEastAsia"/>
                <w:kern w:val="0"/>
                <w:sz w:val="18"/>
                <w:szCs w:val="18"/>
              </w:rPr>
              <w:t>协议、</w:t>
            </w:r>
            <w:r>
              <w:rPr>
                <w:rFonts w:cs="宋体" w:asciiTheme="majorEastAsia" w:hAnsiTheme="majorEastAsia" w:eastAsiaTheme="majorEastAsia"/>
                <w:kern w:val="0"/>
                <w:sz w:val="18"/>
                <w:szCs w:val="18"/>
              </w:rPr>
              <w:t>GB/T28181</w:t>
            </w:r>
            <w:r>
              <w:rPr>
                <w:rFonts w:hint="eastAsia" w:cs="宋体" w:asciiTheme="majorEastAsia" w:hAnsiTheme="majorEastAsia" w:eastAsiaTheme="majorEastAsia"/>
                <w:kern w:val="0"/>
                <w:sz w:val="18"/>
                <w:szCs w:val="18"/>
              </w:rPr>
              <w:t>协议的设备，可一键激活并添加局域网内</w:t>
            </w:r>
            <w:r>
              <w:rPr>
                <w:rFonts w:cs="宋体" w:asciiTheme="majorEastAsia" w:hAnsiTheme="majorEastAsia" w:eastAsiaTheme="majorEastAsia"/>
                <w:kern w:val="0"/>
                <w:sz w:val="18"/>
                <w:szCs w:val="18"/>
              </w:rPr>
              <w:t>IPC</w:t>
            </w:r>
            <w:r>
              <w:rPr>
                <w:rFonts w:hint="eastAsia" w:cs="宋体" w:asciiTheme="majorEastAsia" w:hAnsiTheme="majorEastAsia" w:eastAsiaTheme="majorEastAsia"/>
                <w:kern w:val="0"/>
                <w:sz w:val="18"/>
                <w:szCs w:val="18"/>
              </w:rPr>
              <w:t>。</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组</w:t>
            </w:r>
            <w:r>
              <w:rPr>
                <w:rFonts w:cs="宋体" w:asciiTheme="majorEastAsia" w:hAnsiTheme="majorEastAsia" w:eastAsiaTheme="majorEastAsia"/>
                <w:kern w:val="0"/>
                <w:sz w:val="18"/>
                <w:szCs w:val="18"/>
              </w:rPr>
              <w:t>4</w:t>
            </w:r>
            <w:r>
              <w:rPr>
                <w:rFonts w:hint="eastAsia" w:cs="宋体" w:asciiTheme="majorEastAsia" w:hAnsiTheme="majorEastAsia" w:eastAsiaTheme="majorEastAsia"/>
                <w:kern w:val="0"/>
                <w:sz w:val="18"/>
                <w:szCs w:val="18"/>
              </w:rPr>
              <w:t>屏显示输出，每组包含</w:t>
            </w:r>
            <w:r>
              <w:rPr>
                <w:rFonts w:cs="宋体" w:asciiTheme="majorEastAsia" w:hAnsiTheme="majorEastAsia" w:eastAsiaTheme="majorEastAsia"/>
                <w:kern w:val="0"/>
                <w:sz w:val="18"/>
                <w:szCs w:val="18"/>
              </w:rPr>
              <w:t>HDMI</w:t>
            </w:r>
            <w:r>
              <w:rPr>
                <w:rFonts w:hint="eastAsia" w:cs="宋体" w:asciiTheme="majorEastAsia" w:hAnsiTheme="majorEastAsia" w:eastAsiaTheme="majorEastAsia"/>
                <w:kern w:val="0"/>
                <w:sz w:val="18"/>
                <w:szCs w:val="18"/>
              </w:rPr>
              <w:t>和</w:t>
            </w:r>
            <w:r>
              <w:rPr>
                <w:rFonts w:cs="宋体" w:asciiTheme="majorEastAsia" w:hAnsiTheme="majorEastAsia" w:eastAsiaTheme="majorEastAsia"/>
                <w:kern w:val="0"/>
                <w:sz w:val="18"/>
                <w:szCs w:val="18"/>
              </w:rPr>
              <w:t>VGA</w:t>
            </w:r>
            <w:r>
              <w:rPr>
                <w:rFonts w:hint="eastAsia" w:cs="宋体" w:asciiTheme="majorEastAsia" w:hAnsiTheme="majorEastAsia" w:eastAsiaTheme="majorEastAsia"/>
                <w:kern w:val="0"/>
                <w:sz w:val="18"/>
                <w:szCs w:val="18"/>
              </w:rPr>
              <w:t>各一个，同一组内为同源输出，两组之间可异源输出视频图像，并可分别控制进行预览、回放、配置等操作；支持</w:t>
            </w:r>
            <w:r>
              <w:rPr>
                <w:rFonts w:cs="宋体" w:asciiTheme="majorEastAsia" w:hAnsiTheme="majorEastAsia" w:eastAsiaTheme="majorEastAsia"/>
                <w:kern w:val="0"/>
                <w:sz w:val="18"/>
                <w:szCs w:val="18"/>
              </w:rPr>
              <w:t>64/36/32/25/16/9/8/6/4/1</w:t>
            </w:r>
            <w:r>
              <w:rPr>
                <w:rFonts w:hint="eastAsia" w:cs="宋体" w:asciiTheme="majorEastAsia" w:hAnsiTheme="majorEastAsia" w:eastAsiaTheme="majorEastAsia"/>
                <w:kern w:val="0"/>
                <w:sz w:val="18"/>
                <w:szCs w:val="18"/>
              </w:rPr>
              <w:t>分屏预览。</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w:t>
            </w:r>
            <w:r>
              <w:rPr>
                <w:rFonts w:cs="宋体" w:asciiTheme="majorEastAsia" w:hAnsiTheme="majorEastAsia" w:eastAsiaTheme="majorEastAsia"/>
                <w:kern w:val="0"/>
                <w:sz w:val="18"/>
                <w:szCs w:val="18"/>
              </w:rPr>
              <w:t>4000X3000</w:t>
            </w:r>
            <w:r>
              <w:rPr>
                <w:rFonts w:hint="eastAsia" w:cs="宋体" w:asciiTheme="majorEastAsia" w:hAnsiTheme="majorEastAsia" w:eastAsiaTheme="majorEastAsia"/>
                <w:kern w:val="0"/>
                <w:sz w:val="18"/>
                <w:szCs w:val="18"/>
              </w:rPr>
              <w:t>格式的高清网络视频的解码显示</w:t>
            </w: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w:t>
            </w:r>
            <w:r>
              <w:rPr>
                <w:rFonts w:cs="宋体" w:asciiTheme="majorEastAsia" w:hAnsiTheme="majorEastAsia" w:eastAsiaTheme="majorEastAsia"/>
                <w:kern w:val="0"/>
                <w:sz w:val="18"/>
                <w:szCs w:val="18"/>
              </w:rPr>
              <w:t>1/8</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1/2</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8</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16</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32</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64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128</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256</w:t>
            </w:r>
            <w:r>
              <w:rPr>
                <w:rFonts w:hint="eastAsia" w:cs="宋体" w:asciiTheme="majorEastAsia" w:hAnsiTheme="majorEastAsia" w:eastAsiaTheme="majorEastAsia"/>
                <w:kern w:val="0"/>
                <w:sz w:val="18"/>
                <w:szCs w:val="18"/>
              </w:rPr>
              <w:t>等倍速回放录像，</w:t>
            </w:r>
          </w:p>
          <w:p>
            <w:pPr>
              <w:widowControl/>
              <w:numPr>
                <w:ilvl w:val="0"/>
                <w:numId w:val="11"/>
              </w:numPr>
              <w:ind w:left="425" w:leftChars="0" w:hanging="425" w:firstLineChars="0"/>
              <w:jc w:val="left"/>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支持录像回放的剪辑和回放截图功能</w:t>
            </w: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可接入</w:t>
            </w:r>
            <w:r>
              <w:rPr>
                <w:rFonts w:cs="宋体" w:asciiTheme="majorEastAsia" w:hAnsiTheme="majorEastAsia" w:eastAsiaTheme="majorEastAsia"/>
                <w:kern w:val="0"/>
                <w:sz w:val="18"/>
                <w:szCs w:val="18"/>
              </w:rPr>
              <w:t>H.265</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H.264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MPEG4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SVAC</w:t>
            </w:r>
            <w:r>
              <w:rPr>
                <w:rFonts w:hint="eastAsia" w:cs="宋体" w:asciiTheme="majorEastAsia" w:hAnsiTheme="majorEastAsia" w:eastAsiaTheme="majorEastAsia"/>
                <w:kern w:val="0"/>
                <w:sz w:val="18"/>
                <w:szCs w:val="18"/>
              </w:rPr>
              <w:t>视频编码格式的</w:t>
            </w:r>
            <w:r>
              <w:rPr>
                <w:rFonts w:cs="宋体" w:asciiTheme="majorEastAsia" w:hAnsiTheme="majorEastAsia" w:eastAsiaTheme="majorEastAsia"/>
                <w:kern w:val="0"/>
                <w:sz w:val="18"/>
                <w:szCs w:val="18"/>
              </w:rPr>
              <w:t>IPC</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支持对重要的数据能够进行备份，备份格式</w:t>
            </w:r>
            <w:r>
              <w:rPr>
                <w:rFonts w:cs="宋体" w:asciiTheme="majorEastAsia" w:hAnsiTheme="majorEastAsia" w:eastAsiaTheme="majorEastAsia"/>
                <w:kern w:val="0"/>
                <w:sz w:val="18"/>
                <w:szCs w:val="18"/>
              </w:rPr>
              <w:t>MP4</w:t>
            </w:r>
            <w:r>
              <w:rPr>
                <w:rFonts w:hint="eastAsia" w:cs="宋体" w:asciiTheme="majorEastAsia" w:hAnsiTheme="majorEastAsia" w:eastAsiaTheme="majorEastAsia"/>
                <w:kern w:val="0"/>
                <w:sz w:val="18"/>
                <w:szCs w:val="18"/>
              </w:rPr>
              <w:t>和</w:t>
            </w:r>
            <w:r>
              <w:rPr>
                <w:rFonts w:cs="宋体" w:asciiTheme="majorEastAsia" w:hAnsiTheme="majorEastAsia" w:eastAsiaTheme="majorEastAsia"/>
                <w:kern w:val="0"/>
                <w:sz w:val="18"/>
                <w:szCs w:val="18"/>
              </w:rPr>
              <w:t>AVI</w:t>
            </w:r>
            <w:r>
              <w:rPr>
                <w:rFonts w:hint="eastAsia" w:cs="宋体" w:asciiTheme="majorEastAsia" w:hAnsiTheme="majorEastAsia" w:eastAsiaTheme="majorEastAsia"/>
                <w:kern w:val="0"/>
                <w:sz w:val="18"/>
                <w:szCs w:val="18"/>
              </w:rPr>
              <w:t>可选</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支持智能检索回放功能：进行智能检索回放时，通过设置线、四边开、矩形、全屏</w:t>
            </w:r>
            <w:r>
              <w:rPr>
                <w:rFonts w:cs="宋体" w:asciiTheme="majorEastAsia" w:hAnsiTheme="majorEastAsia" w:eastAsiaTheme="majorEastAsia"/>
                <w:kern w:val="0"/>
                <w:sz w:val="18"/>
                <w:szCs w:val="18"/>
              </w:rPr>
              <w:t>4</w:t>
            </w:r>
            <w:r>
              <w:rPr>
                <w:rFonts w:hint="eastAsia" w:cs="宋体" w:asciiTheme="majorEastAsia" w:hAnsiTheme="majorEastAsia" w:eastAsiaTheme="majorEastAsia"/>
                <w:kern w:val="0"/>
                <w:sz w:val="18"/>
                <w:szCs w:val="18"/>
              </w:rPr>
              <w:t>种规则，可自动跳过未触发设定规则的录像，只播放触发规则的录像。</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支持带有越界、区域入侵、进入</w:t>
            </w:r>
            <w:r>
              <w:rPr>
                <w:rFonts w:cs="宋体" w:asciiTheme="majorEastAsia" w:hAnsiTheme="majorEastAsia" w:eastAsiaTheme="majorEastAsia"/>
                <w:kern w:val="0"/>
                <w:sz w:val="18"/>
                <w:szCs w:val="18"/>
              </w:rPr>
              <w:t>/</w:t>
            </w:r>
            <w:r>
              <w:rPr>
                <w:rFonts w:hint="eastAsia" w:cs="宋体" w:asciiTheme="majorEastAsia" w:hAnsiTheme="majorEastAsia" w:eastAsiaTheme="majorEastAsia"/>
                <w:kern w:val="0"/>
                <w:sz w:val="18"/>
                <w:szCs w:val="18"/>
              </w:rPr>
              <w:t>离开区域、人员聚集、快速移动、物品遗留</w:t>
            </w:r>
            <w:r>
              <w:rPr>
                <w:rFonts w:cs="宋体" w:asciiTheme="majorEastAsia" w:hAnsiTheme="majorEastAsia" w:eastAsiaTheme="majorEastAsia"/>
                <w:kern w:val="0"/>
                <w:sz w:val="18"/>
                <w:szCs w:val="18"/>
              </w:rPr>
              <w:t>/</w:t>
            </w:r>
            <w:r>
              <w:rPr>
                <w:rFonts w:hint="eastAsia" w:cs="宋体" w:asciiTheme="majorEastAsia" w:hAnsiTheme="majorEastAsia" w:eastAsiaTheme="majorEastAsia"/>
                <w:kern w:val="0"/>
                <w:sz w:val="18"/>
                <w:szCs w:val="18"/>
              </w:rPr>
              <w:t>拿取、停车、徘徊、场景变更、虚焦、音频异常报警、</w:t>
            </w:r>
            <w:r>
              <w:rPr>
                <w:rFonts w:cs="宋体" w:asciiTheme="majorEastAsia" w:hAnsiTheme="majorEastAsia" w:eastAsiaTheme="majorEastAsia"/>
                <w:kern w:val="0"/>
                <w:sz w:val="18"/>
                <w:szCs w:val="18"/>
              </w:rPr>
              <w:t>PIR</w:t>
            </w:r>
            <w:r>
              <w:rPr>
                <w:rFonts w:hint="eastAsia" w:cs="宋体" w:asciiTheme="majorEastAsia" w:hAnsiTheme="majorEastAsia" w:eastAsiaTheme="majorEastAsia"/>
                <w:kern w:val="0"/>
                <w:sz w:val="18"/>
                <w:szCs w:val="18"/>
              </w:rPr>
              <w:t>报警功能的网络摄像机接入与相关报警联动功能。</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支持浓缩播放功能，录像回放中，有移动侦测、外部输入报警、智能侦测等事件发生时，视频按正常速度播放，其他视频自动按高倍速播放，且播放倍速可配置（前端</w:t>
            </w:r>
            <w:r>
              <w:rPr>
                <w:rFonts w:cs="宋体" w:asciiTheme="majorEastAsia" w:hAnsiTheme="majorEastAsia" w:eastAsiaTheme="majorEastAsia"/>
                <w:kern w:val="0"/>
                <w:sz w:val="18"/>
                <w:szCs w:val="18"/>
              </w:rPr>
              <w:t>IPC</w:t>
            </w:r>
            <w:r>
              <w:rPr>
                <w:rFonts w:hint="eastAsia" w:cs="宋体" w:asciiTheme="majorEastAsia" w:hAnsiTheme="majorEastAsia" w:eastAsiaTheme="majorEastAsia"/>
                <w:kern w:val="0"/>
                <w:sz w:val="18"/>
                <w:szCs w:val="18"/>
              </w:rPr>
              <w:t>需支持智能侦测功能）。</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支持即时存储和回放功能，可回放设备断电、断网前一秒的录像</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支持将选中通道</w:t>
            </w:r>
            <w:r>
              <w:rPr>
                <w:rFonts w:cs="宋体" w:asciiTheme="majorEastAsia" w:hAnsiTheme="majorEastAsia" w:eastAsiaTheme="majorEastAsia"/>
                <w:kern w:val="0"/>
                <w:sz w:val="18"/>
                <w:szCs w:val="18"/>
              </w:rPr>
              <w:t>24</w:t>
            </w:r>
            <w:r>
              <w:rPr>
                <w:rFonts w:hint="eastAsia" w:cs="宋体" w:asciiTheme="majorEastAsia" w:hAnsiTheme="majorEastAsia" w:eastAsiaTheme="majorEastAsia"/>
                <w:kern w:val="0"/>
                <w:sz w:val="18"/>
                <w:szCs w:val="18"/>
              </w:rPr>
              <w:t>小时内的录像文件按时间平均分配至多个窗口进行分时回放，窗口数量可配置，最大</w:t>
            </w:r>
            <w:r>
              <w:rPr>
                <w:rFonts w:cs="宋体" w:asciiTheme="majorEastAsia" w:hAnsiTheme="majorEastAsia" w:eastAsiaTheme="majorEastAsia"/>
                <w:kern w:val="0"/>
                <w:sz w:val="18"/>
                <w:szCs w:val="18"/>
              </w:rPr>
              <w:t>16</w:t>
            </w:r>
            <w:r>
              <w:rPr>
                <w:rFonts w:hint="eastAsia" w:cs="宋体" w:asciiTheme="majorEastAsia" w:hAnsiTheme="majorEastAsia" w:eastAsiaTheme="majorEastAsia"/>
                <w:kern w:val="0"/>
                <w:sz w:val="18"/>
                <w:szCs w:val="18"/>
              </w:rPr>
              <w:t>分屏</w:t>
            </w:r>
            <w:r>
              <w:rPr>
                <w:rFonts w:hint="eastAsia" w:cs="宋体" w:asciiTheme="majorEastAsia" w:hAnsiTheme="majorEastAsia" w:eastAsiaTheme="majorEastAsia"/>
                <w:kern w:val="0"/>
                <w:sz w:val="18"/>
                <w:szCs w:val="18"/>
              </w:rPr>
              <w:br w:type="page"/>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可按通道、时间方式同时检索</w:t>
            </w:r>
            <w:r>
              <w:rPr>
                <w:rFonts w:cs="宋体" w:asciiTheme="majorEastAsia" w:hAnsiTheme="majorEastAsia" w:eastAsiaTheme="majorEastAsia"/>
                <w:kern w:val="0"/>
                <w:sz w:val="18"/>
                <w:szCs w:val="18"/>
              </w:rPr>
              <w:t>64</w:t>
            </w:r>
            <w:r>
              <w:rPr>
                <w:rFonts w:hint="eastAsia" w:cs="宋体" w:asciiTheme="majorEastAsia" w:hAnsiTheme="majorEastAsia" w:eastAsiaTheme="majorEastAsia"/>
                <w:kern w:val="0"/>
                <w:sz w:val="18"/>
                <w:szCs w:val="18"/>
              </w:rPr>
              <w:t>路图片，可正放、倒放</w:t>
            </w:r>
            <w:r>
              <w:rPr>
                <w:rFonts w:cs="宋体" w:asciiTheme="majorEastAsia" w:hAnsiTheme="majorEastAsia" w:eastAsiaTheme="majorEastAsia"/>
                <w:kern w:val="0"/>
                <w:sz w:val="18"/>
                <w:szCs w:val="18"/>
              </w:rPr>
              <w:t>1920×1080</w:t>
            </w:r>
            <w:r>
              <w:rPr>
                <w:rFonts w:hint="eastAsia" w:cs="宋体" w:asciiTheme="majorEastAsia" w:hAnsiTheme="majorEastAsia" w:eastAsiaTheme="majorEastAsia"/>
                <w:kern w:val="0"/>
                <w:sz w:val="18"/>
                <w:szCs w:val="18"/>
              </w:rPr>
              <w:t>格式的图片</w:t>
            </w:r>
            <w:r>
              <w:rPr>
                <w:rFonts w:hint="eastAsia" w:cs="宋体" w:asciiTheme="majorEastAsia" w:hAnsiTheme="majorEastAsia" w:eastAsiaTheme="majorEastAsia"/>
                <w:kern w:val="0"/>
                <w:sz w:val="18"/>
                <w:szCs w:val="18"/>
              </w:rPr>
              <w:br w:type="page"/>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w:t>
            </w:r>
            <w:r>
              <w:rPr>
                <w:rFonts w:cs="宋体" w:asciiTheme="majorEastAsia" w:hAnsiTheme="majorEastAsia" w:eastAsiaTheme="majorEastAsia"/>
                <w:kern w:val="0"/>
                <w:sz w:val="18"/>
                <w:szCs w:val="18"/>
              </w:rPr>
              <w:t>8T</w:t>
            </w:r>
            <w:r>
              <w:rPr>
                <w:rFonts w:hint="eastAsia" w:cs="宋体" w:asciiTheme="majorEastAsia" w:hAnsiTheme="majorEastAsia" w:eastAsiaTheme="majorEastAsia"/>
                <w:kern w:val="0"/>
                <w:sz w:val="18"/>
                <w:szCs w:val="18"/>
              </w:rPr>
              <w:t>容量的</w:t>
            </w:r>
            <w:r>
              <w:rPr>
                <w:rFonts w:cs="宋体" w:asciiTheme="majorEastAsia" w:hAnsiTheme="majorEastAsia" w:eastAsiaTheme="majorEastAsia"/>
                <w:kern w:val="0"/>
                <w:sz w:val="18"/>
                <w:szCs w:val="18"/>
              </w:rPr>
              <w:t>SATA</w:t>
            </w:r>
            <w:r>
              <w:rPr>
                <w:rFonts w:hint="eastAsia" w:cs="宋体" w:asciiTheme="majorEastAsia" w:hAnsiTheme="majorEastAsia" w:eastAsiaTheme="majorEastAsia"/>
                <w:kern w:val="0"/>
                <w:sz w:val="18"/>
                <w:szCs w:val="18"/>
              </w:rPr>
              <w:t>接口硬盘；支持硬盘热插拔和休眠</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个以太网口，可将</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个网口设置不同网段的</w:t>
            </w:r>
            <w:r>
              <w:rPr>
                <w:rFonts w:cs="宋体" w:asciiTheme="majorEastAsia" w:hAnsiTheme="majorEastAsia" w:eastAsiaTheme="majorEastAsia"/>
                <w:kern w:val="0"/>
                <w:sz w:val="18"/>
                <w:szCs w:val="18"/>
              </w:rPr>
              <w:t>IP</w:t>
            </w:r>
            <w:r>
              <w:rPr>
                <w:rFonts w:hint="eastAsia" w:cs="宋体" w:asciiTheme="majorEastAsia" w:hAnsiTheme="majorEastAsia" w:eastAsiaTheme="majorEastAsia"/>
                <w:kern w:val="0"/>
                <w:sz w:val="18"/>
                <w:szCs w:val="18"/>
              </w:rPr>
              <w:t>地址，分别接入不同网段</w:t>
            </w:r>
            <w:r>
              <w:rPr>
                <w:rFonts w:cs="宋体" w:asciiTheme="majorEastAsia" w:hAnsiTheme="majorEastAsia" w:eastAsiaTheme="majorEastAsia"/>
                <w:kern w:val="0"/>
                <w:sz w:val="18"/>
                <w:szCs w:val="18"/>
              </w:rPr>
              <w:t>IP</w:t>
            </w:r>
            <w:r>
              <w:rPr>
                <w:rFonts w:hint="eastAsia" w:cs="宋体" w:asciiTheme="majorEastAsia" w:hAnsiTheme="majorEastAsia" w:eastAsiaTheme="majorEastAsia"/>
                <w:kern w:val="0"/>
                <w:sz w:val="18"/>
                <w:szCs w:val="18"/>
              </w:rPr>
              <w:t>地址的</w:t>
            </w:r>
            <w:r>
              <w:rPr>
                <w:rFonts w:cs="宋体" w:asciiTheme="majorEastAsia" w:hAnsiTheme="majorEastAsia" w:eastAsiaTheme="majorEastAsia"/>
                <w:kern w:val="0"/>
                <w:sz w:val="18"/>
                <w:szCs w:val="18"/>
              </w:rPr>
              <w:t>IPC</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支持客户端与设备端进行实时双向对讲；支持客户端与设备的</w:t>
            </w:r>
            <w:r>
              <w:rPr>
                <w:rFonts w:cs="宋体" w:asciiTheme="majorEastAsia" w:hAnsiTheme="majorEastAsia" w:eastAsiaTheme="majorEastAsia"/>
                <w:kern w:val="0"/>
                <w:sz w:val="18"/>
                <w:szCs w:val="18"/>
              </w:rPr>
              <w:t>IP</w:t>
            </w:r>
            <w:r>
              <w:rPr>
                <w:rFonts w:hint="eastAsia" w:cs="宋体" w:asciiTheme="majorEastAsia" w:hAnsiTheme="majorEastAsia" w:eastAsiaTheme="majorEastAsia"/>
                <w:kern w:val="0"/>
                <w:sz w:val="18"/>
                <w:szCs w:val="18"/>
              </w:rPr>
              <w:t>通道进行实时双向对讲</w:t>
            </w: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支持远程管理</w:t>
            </w:r>
            <w:r>
              <w:rPr>
                <w:rFonts w:cs="宋体" w:asciiTheme="majorEastAsia" w:hAnsiTheme="majorEastAsia" w:eastAsiaTheme="majorEastAsia"/>
                <w:kern w:val="0"/>
                <w:sz w:val="18"/>
                <w:szCs w:val="18"/>
              </w:rPr>
              <w:t>IPC</w:t>
            </w:r>
            <w:r>
              <w:rPr>
                <w:rFonts w:hint="eastAsia" w:cs="宋体" w:asciiTheme="majorEastAsia" w:hAnsiTheme="majorEastAsia" w:eastAsiaTheme="majorEastAsia"/>
                <w:kern w:val="0"/>
                <w:sz w:val="18"/>
                <w:szCs w:val="18"/>
              </w:rPr>
              <w:t>功能，支持对前端</w:t>
            </w:r>
            <w:r>
              <w:rPr>
                <w:rFonts w:cs="宋体" w:asciiTheme="majorEastAsia" w:hAnsiTheme="majorEastAsia" w:eastAsiaTheme="majorEastAsia"/>
                <w:kern w:val="0"/>
                <w:sz w:val="18"/>
                <w:szCs w:val="18"/>
              </w:rPr>
              <w:t>IPC</w:t>
            </w:r>
            <w:r>
              <w:rPr>
                <w:rFonts w:hint="eastAsia" w:cs="宋体" w:asciiTheme="majorEastAsia" w:hAnsiTheme="majorEastAsia" w:eastAsiaTheme="majorEastAsia"/>
                <w:kern w:val="0"/>
                <w:sz w:val="18"/>
                <w:szCs w:val="18"/>
              </w:rPr>
              <w:t>批量远程升级；支持远程对</w:t>
            </w:r>
            <w:r>
              <w:rPr>
                <w:rFonts w:cs="宋体" w:asciiTheme="majorEastAsia" w:hAnsiTheme="majorEastAsia" w:eastAsiaTheme="majorEastAsia"/>
                <w:kern w:val="0"/>
                <w:sz w:val="18"/>
                <w:szCs w:val="18"/>
              </w:rPr>
              <w:t>IPC</w:t>
            </w:r>
            <w:r>
              <w:rPr>
                <w:rFonts w:hint="eastAsia" w:cs="宋体" w:asciiTheme="majorEastAsia" w:hAnsiTheme="majorEastAsia" w:eastAsiaTheme="majorEastAsia"/>
                <w:kern w:val="0"/>
                <w:sz w:val="18"/>
                <w:szCs w:val="18"/>
              </w:rPr>
              <w:t>的参数配置修改</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支持定时、移动侦测、报警、移动侦测且报警、智能侦测和手动抓图功能，可进行</w:t>
            </w:r>
            <w:r>
              <w:rPr>
                <w:rFonts w:cs="宋体" w:asciiTheme="majorEastAsia" w:hAnsiTheme="majorEastAsia" w:eastAsiaTheme="majorEastAsia"/>
                <w:kern w:val="0"/>
                <w:sz w:val="18"/>
                <w:szCs w:val="18"/>
              </w:rPr>
              <w:t>64</w:t>
            </w:r>
            <w:r>
              <w:rPr>
                <w:rFonts w:hint="eastAsia" w:cs="宋体" w:asciiTheme="majorEastAsia" w:hAnsiTheme="majorEastAsia" w:eastAsiaTheme="majorEastAsia"/>
                <w:kern w:val="0"/>
                <w:sz w:val="18"/>
                <w:szCs w:val="18"/>
              </w:rPr>
              <w:t>路抓拍并存储</w:t>
            </w:r>
            <w:r>
              <w:rPr>
                <w:rFonts w:cs="宋体" w:asciiTheme="majorEastAsia" w:hAnsiTheme="majorEastAsia" w:eastAsiaTheme="majorEastAsia"/>
                <w:kern w:val="0"/>
                <w:sz w:val="18"/>
                <w:szCs w:val="18"/>
              </w:rPr>
              <w:t>1080P</w:t>
            </w:r>
            <w:r>
              <w:rPr>
                <w:rFonts w:hint="eastAsia" w:cs="宋体" w:asciiTheme="majorEastAsia" w:hAnsiTheme="majorEastAsia" w:eastAsiaTheme="majorEastAsia"/>
                <w:kern w:val="0"/>
                <w:sz w:val="18"/>
                <w:szCs w:val="18"/>
              </w:rPr>
              <w:t>格式的图片</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支持</w:t>
            </w:r>
            <w:r>
              <w:rPr>
                <w:rFonts w:hint="eastAsia" w:cs="宋体" w:asciiTheme="majorEastAsia" w:hAnsiTheme="majorEastAsia" w:eastAsiaTheme="majorEastAsia"/>
                <w:kern w:val="0"/>
                <w:sz w:val="18"/>
                <w:szCs w:val="18"/>
                <w:lang w:val="en-US" w:eastAsia="zh-CN"/>
              </w:rPr>
              <w:t>至少</w:t>
            </w:r>
            <w:r>
              <w:rPr>
                <w:rFonts w:cs="宋体" w:asciiTheme="majorEastAsia" w:hAnsiTheme="majorEastAsia" w:eastAsiaTheme="majorEastAsia"/>
                <w:kern w:val="0"/>
                <w:sz w:val="18"/>
                <w:szCs w:val="18"/>
              </w:rPr>
              <w:t>16</w:t>
            </w:r>
            <w:r>
              <w:rPr>
                <w:rFonts w:hint="eastAsia" w:cs="宋体" w:asciiTheme="majorEastAsia" w:hAnsiTheme="majorEastAsia" w:eastAsiaTheme="majorEastAsia"/>
                <w:kern w:val="0"/>
                <w:sz w:val="18"/>
                <w:szCs w:val="18"/>
              </w:rPr>
              <w:t>个</w:t>
            </w:r>
            <w:r>
              <w:rPr>
                <w:rFonts w:cs="宋体" w:asciiTheme="majorEastAsia" w:hAnsiTheme="majorEastAsia" w:eastAsiaTheme="majorEastAsia"/>
                <w:kern w:val="0"/>
                <w:sz w:val="18"/>
                <w:szCs w:val="18"/>
              </w:rPr>
              <w:t>SATA</w:t>
            </w:r>
            <w:r>
              <w:rPr>
                <w:rFonts w:hint="eastAsia" w:cs="宋体" w:asciiTheme="majorEastAsia" w:hAnsiTheme="majorEastAsia" w:eastAsiaTheme="majorEastAsia"/>
                <w:kern w:val="0"/>
                <w:sz w:val="18"/>
                <w:szCs w:val="18"/>
              </w:rPr>
              <w:t>接口，至少支持</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个</w:t>
            </w:r>
            <w:r>
              <w:rPr>
                <w:rFonts w:cs="宋体" w:asciiTheme="majorEastAsia" w:hAnsiTheme="majorEastAsia" w:eastAsiaTheme="majorEastAsia"/>
                <w:kern w:val="0"/>
                <w:sz w:val="18"/>
                <w:szCs w:val="18"/>
              </w:rPr>
              <w:t>USB2.0</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w:t>
            </w:r>
            <w:r>
              <w:rPr>
                <w:rFonts w:hint="eastAsia" w:cs="宋体" w:asciiTheme="majorEastAsia" w:hAnsiTheme="majorEastAsia" w:eastAsiaTheme="majorEastAsia"/>
                <w:kern w:val="0"/>
                <w:sz w:val="18"/>
                <w:szCs w:val="18"/>
              </w:rPr>
              <w:t>个</w:t>
            </w:r>
            <w:r>
              <w:rPr>
                <w:rFonts w:cs="宋体" w:asciiTheme="majorEastAsia" w:hAnsiTheme="majorEastAsia" w:eastAsiaTheme="majorEastAsia"/>
                <w:kern w:val="0"/>
                <w:sz w:val="18"/>
                <w:szCs w:val="18"/>
              </w:rPr>
              <w:t>USB3.0</w:t>
            </w:r>
            <w:r>
              <w:rPr>
                <w:rFonts w:hint="eastAsia" w:cs="宋体" w:asciiTheme="majorEastAsia" w:hAnsiTheme="majorEastAsia" w:eastAsiaTheme="majorEastAsia"/>
                <w:kern w:val="0"/>
                <w:sz w:val="18"/>
                <w:szCs w:val="18"/>
              </w:rPr>
              <w:t>接口；支持</w:t>
            </w:r>
            <w:r>
              <w:rPr>
                <w:rFonts w:hint="eastAsia" w:cs="宋体" w:asciiTheme="majorEastAsia" w:hAnsiTheme="majorEastAsia" w:eastAsiaTheme="majorEastAsia"/>
                <w:kern w:val="0"/>
                <w:sz w:val="18"/>
                <w:szCs w:val="18"/>
                <w:lang w:val="en-US" w:eastAsia="zh-CN"/>
              </w:rPr>
              <w:t>至少</w:t>
            </w:r>
            <w:r>
              <w:rPr>
                <w:rFonts w:cs="宋体" w:asciiTheme="majorEastAsia" w:hAnsiTheme="majorEastAsia" w:eastAsiaTheme="majorEastAsia"/>
                <w:kern w:val="0"/>
                <w:sz w:val="18"/>
                <w:szCs w:val="18"/>
              </w:rPr>
              <w:t>16</w:t>
            </w:r>
            <w:r>
              <w:rPr>
                <w:rFonts w:hint="eastAsia" w:cs="宋体" w:asciiTheme="majorEastAsia" w:hAnsiTheme="majorEastAsia" w:eastAsiaTheme="majorEastAsia"/>
                <w:kern w:val="0"/>
                <w:sz w:val="18"/>
                <w:szCs w:val="18"/>
              </w:rPr>
              <w:t>路报警输入，</w:t>
            </w:r>
            <w:r>
              <w:rPr>
                <w:rFonts w:hint="eastAsia" w:cs="宋体" w:asciiTheme="majorEastAsia" w:hAnsiTheme="majorEastAsia" w:eastAsiaTheme="majorEastAsia"/>
                <w:kern w:val="0"/>
                <w:sz w:val="18"/>
                <w:szCs w:val="18"/>
                <w:lang w:val="en-US" w:eastAsia="zh-CN"/>
              </w:rPr>
              <w:t>至少</w:t>
            </w:r>
            <w:r>
              <w:rPr>
                <w:rFonts w:cs="宋体" w:asciiTheme="majorEastAsia" w:hAnsiTheme="majorEastAsia" w:eastAsiaTheme="majorEastAsia"/>
                <w:kern w:val="0"/>
                <w:sz w:val="18"/>
                <w:szCs w:val="18"/>
              </w:rPr>
              <w:t>8</w:t>
            </w:r>
            <w:r>
              <w:rPr>
                <w:rFonts w:hint="eastAsia" w:cs="宋体" w:asciiTheme="majorEastAsia" w:hAnsiTheme="majorEastAsia" w:eastAsiaTheme="majorEastAsia"/>
                <w:kern w:val="0"/>
                <w:sz w:val="18"/>
                <w:szCs w:val="18"/>
              </w:rPr>
              <w:t>路报警输出接口</w:t>
            </w:r>
            <w:r>
              <w:rPr>
                <w:rFonts w:hint="eastAsia" w:cs="宋体" w:asciiTheme="majorEastAsia" w:hAnsiTheme="majorEastAsia" w:eastAsiaTheme="majorEastAsia"/>
                <w:kern w:val="0"/>
                <w:sz w:val="18"/>
                <w:szCs w:val="18"/>
              </w:rPr>
              <w:br w:type="page"/>
            </w:r>
            <w:r>
              <w:rPr>
                <w:rFonts w:hint="eastAsia" w:cs="宋体" w:asciiTheme="majorEastAsia" w:hAnsiTheme="majorEastAsia" w:eastAsiaTheme="majorEastAsia"/>
                <w:kern w:val="0"/>
                <w:sz w:val="18"/>
                <w:szCs w:val="18"/>
              </w:rPr>
              <w:t>。</w:t>
            </w:r>
          </w:p>
          <w:p>
            <w:pPr>
              <w:widowControl/>
              <w:numPr>
                <w:ilvl w:val="0"/>
                <w:numId w:val="11"/>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以公安部检测报告为准（中标后提供）</w:t>
            </w:r>
          </w:p>
        </w:tc>
      </w:tr>
      <w:tr>
        <w:tblPrEx>
          <w:tblLayout w:type="fixed"/>
          <w:tblCellMar>
            <w:top w:w="0" w:type="dxa"/>
            <w:left w:w="108" w:type="dxa"/>
            <w:bottom w:w="0" w:type="dxa"/>
            <w:right w:w="108" w:type="dxa"/>
          </w:tblCellMar>
        </w:tblPrEx>
        <w:trPr>
          <w:trHeight w:val="1075"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存储设备</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海康威视、大华、宇视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1台</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单设备应配置≥</w:t>
            </w:r>
            <w:r>
              <w:rPr>
                <w:rFonts w:cs="宋体" w:asciiTheme="majorEastAsia" w:hAnsiTheme="majorEastAsia" w:eastAsiaTheme="majorEastAsia"/>
                <w:kern w:val="0"/>
                <w:sz w:val="18"/>
                <w:szCs w:val="18"/>
              </w:rPr>
              <w:t>64</w:t>
            </w:r>
            <w:r>
              <w:rPr>
                <w:rFonts w:hint="eastAsia" w:cs="宋体" w:asciiTheme="majorEastAsia" w:hAnsiTheme="majorEastAsia" w:eastAsiaTheme="majorEastAsia"/>
                <w:kern w:val="0"/>
                <w:sz w:val="18"/>
                <w:szCs w:val="18"/>
              </w:rPr>
              <w:t>位多核处理器</w:t>
            </w:r>
            <w:r>
              <w:rPr>
                <w:rFonts w:hint="eastAsia" w:cs="宋体" w:asciiTheme="majorEastAsia" w:hAnsiTheme="majorEastAsia" w:eastAsiaTheme="majorEastAsia"/>
                <w:color w:val="auto"/>
                <w:kern w:val="0"/>
                <w:sz w:val="18"/>
                <w:szCs w:val="18"/>
              </w:rPr>
              <w:t>，≥</w:t>
            </w:r>
            <w:r>
              <w:rPr>
                <w:rFonts w:hint="eastAsia" w:cs="宋体" w:asciiTheme="majorEastAsia" w:hAnsiTheme="majorEastAsia" w:eastAsiaTheme="majorEastAsia"/>
                <w:color w:val="auto"/>
                <w:kern w:val="0"/>
                <w:sz w:val="18"/>
                <w:szCs w:val="18"/>
                <w:lang w:val="en-US" w:eastAsia="zh-CN"/>
              </w:rPr>
              <w:t>8</w:t>
            </w:r>
            <w:r>
              <w:rPr>
                <w:rFonts w:cs="宋体" w:asciiTheme="majorEastAsia" w:hAnsiTheme="majorEastAsia" w:eastAsiaTheme="majorEastAsia"/>
                <w:color w:val="auto"/>
                <w:kern w:val="0"/>
                <w:sz w:val="18"/>
                <w:szCs w:val="18"/>
              </w:rPr>
              <w:t>GB</w:t>
            </w:r>
            <w:r>
              <w:rPr>
                <w:rFonts w:hint="eastAsia" w:cs="宋体" w:asciiTheme="majorEastAsia" w:hAnsiTheme="majorEastAsia" w:eastAsiaTheme="majorEastAsia"/>
                <w:color w:val="auto"/>
                <w:kern w:val="0"/>
                <w:sz w:val="18"/>
                <w:szCs w:val="18"/>
              </w:rPr>
              <w:t>内存，内</w:t>
            </w:r>
            <w:r>
              <w:rPr>
                <w:rFonts w:hint="eastAsia" w:cs="宋体" w:asciiTheme="majorEastAsia" w:hAnsiTheme="majorEastAsia" w:eastAsiaTheme="majorEastAsia"/>
                <w:kern w:val="0"/>
                <w:sz w:val="18"/>
                <w:szCs w:val="18"/>
              </w:rPr>
              <w:t>存支持扩展到≥</w:t>
            </w:r>
            <w:r>
              <w:rPr>
                <w:rFonts w:cs="宋体" w:asciiTheme="majorEastAsia" w:hAnsiTheme="majorEastAsia" w:eastAsiaTheme="majorEastAsia"/>
                <w:kern w:val="0"/>
                <w:sz w:val="18"/>
                <w:szCs w:val="18"/>
              </w:rPr>
              <w:t>32GB</w:t>
            </w:r>
            <w:r>
              <w:rPr>
                <w:rFonts w:hint="eastAsia" w:cs="宋体" w:asciiTheme="majorEastAsia" w:hAnsiTheme="majorEastAsia" w:eastAsiaTheme="majorEastAsia"/>
                <w:kern w:val="0"/>
                <w:sz w:val="18"/>
                <w:szCs w:val="18"/>
              </w:rPr>
              <w:t>，需配置冗余金牌电源，支持双系统（其中电源仅以照片证明即可）</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单设备应标配≥</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个千兆网口，可增扩≥</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个万兆口或≥</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个光纤接口或增配≥</w:t>
            </w:r>
            <w:r>
              <w:rPr>
                <w:rFonts w:cs="宋体" w:asciiTheme="majorEastAsia" w:hAnsiTheme="majorEastAsia" w:eastAsiaTheme="majorEastAsia"/>
                <w:kern w:val="0"/>
                <w:sz w:val="18"/>
                <w:szCs w:val="18"/>
              </w:rPr>
              <w:t>4</w:t>
            </w:r>
            <w:r>
              <w:rPr>
                <w:rFonts w:hint="eastAsia" w:cs="宋体" w:asciiTheme="majorEastAsia" w:hAnsiTheme="majorEastAsia" w:eastAsiaTheme="majorEastAsia"/>
                <w:kern w:val="0"/>
                <w:sz w:val="18"/>
                <w:szCs w:val="18"/>
              </w:rPr>
              <w:t>个</w:t>
            </w:r>
            <w:r>
              <w:rPr>
                <w:rFonts w:cs="宋体" w:asciiTheme="majorEastAsia" w:hAnsiTheme="majorEastAsia" w:eastAsiaTheme="majorEastAsia"/>
                <w:kern w:val="0"/>
                <w:sz w:val="18"/>
                <w:szCs w:val="18"/>
              </w:rPr>
              <w:t>HDMI</w:t>
            </w:r>
            <w:r>
              <w:rPr>
                <w:rFonts w:hint="eastAsia" w:cs="宋体" w:asciiTheme="majorEastAsia" w:hAnsiTheme="majorEastAsia" w:eastAsiaTheme="majorEastAsia"/>
                <w:kern w:val="0"/>
                <w:sz w:val="18"/>
                <w:szCs w:val="18"/>
              </w:rPr>
              <w:t>接口或≥</w:t>
            </w:r>
            <w:r>
              <w:rPr>
                <w:rFonts w:cs="宋体" w:asciiTheme="majorEastAsia" w:hAnsiTheme="majorEastAsia" w:eastAsiaTheme="majorEastAsia"/>
                <w:kern w:val="0"/>
                <w:sz w:val="18"/>
                <w:szCs w:val="18"/>
              </w:rPr>
              <w:t>2</w:t>
            </w:r>
            <w:r>
              <w:rPr>
                <w:rFonts w:hint="eastAsia" w:cs="宋体" w:asciiTheme="majorEastAsia" w:hAnsiTheme="majorEastAsia" w:eastAsiaTheme="majorEastAsia"/>
                <w:kern w:val="0"/>
                <w:sz w:val="18"/>
                <w:szCs w:val="18"/>
              </w:rPr>
              <w:t>个</w:t>
            </w:r>
            <w:r>
              <w:rPr>
                <w:rFonts w:cs="宋体" w:asciiTheme="majorEastAsia" w:hAnsiTheme="majorEastAsia" w:eastAsiaTheme="majorEastAsia"/>
                <w:kern w:val="0"/>
                <w:sz w:val="18"/>
                <w:szCs w:val="18"/>
              </w:rPr>
              <w:t>SAS3.0</w:t>
            </w:r>
            <w:r>
              <w:rPr>
                <w:rFonts w:hint="eastAsia" w:cs="宋体" w:asciiTheme="majorEastAsia" w:hAnsiTheme="majorEastAsia" w:eastAsiaTheme="majorEastAsia"/>
                <w:kern w:val="0"/>
                <w:sz w:val="18"/>
                <w:szCs w:val="18"/>
              </w:rPr>
              <w:t>接口</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应支持</w:t>
            </w:r>
            <w:r>
              <w:rPr>
                <w:rFonts w:cs="宋体" w:asciiTheme="majorEastAsia" w:hAnsiTheme="majorEastAsia" w:eastAsiaTheme="majorEastAsia"/>
                <w:kern w:val="0"/>
                <w:sz w:val="18"/>
                <w:szCs w:val="18"/>
              </w:rPr>
              <w:t>FCSAN</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IPSAN</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NAS</w:t>
            </w:r>
            <w:r>
              <w:rPr>
                <w:rFonts w:hint="eastAsia" w:cs="宋体" w:asciiTheme="majorEastAsia" w:hAnsiTheme="majorEastAsia" w:eastAsiaTheme="majorEastAsia"/>
                <w:kern w:val="0"/>
                <w:sz w:val="18"/>
                <w:szCs w:val="18"/>
              </w:rPr>
              <w:t>存储功能</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可接入</w:t>
            </w:r>
            <w:r>
              <w:rPr>
                <w:rFonts w:cs="宋体" w:asciiTheme="majorEastAsia" w:hAnsiTheme="majorEastAsia" w:eastAsiaTheme="majorEastAsia"/>
                <w:kern w:val="0"/>
                <w:sz w:val="18"/>
                <w:szCs w:val="18"/>
              </w:rPr>
              <w:t>2T/3T/4T/6T/8TSATA</w:t>
            </w:r>
            <w:r>
              <w:rPr>
                <w:rFonts w:hint="eastAsia" w:cs="宋体" w:asciiTheme="majorEastAsia" w:hAnsiTheme="majorEastAsia" w:eastAsiaTheme="majorEastAsia"/>
                <w:kern w:val="0"/>
                <w:sz w:val="18"/>
                <w:szCs w:val="18"/>
              </w:rPr>
              <w:t>磁盘，支持磁盘交错启动和漫游，并支持在线热插拔；</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可接入硬盘≥</w:t>
            </w:r>
            <w:r>
              <w:rPr>
                <w:rFonts w:cs="宋体" w:asciiTheme="majorEastAsia" w:hAnsiTheme="majorEastAsia" w:eastAsiaTheme="majorEastAsia"/>
                <w:kern w:val="0"/>
                <w:sz w:val="18"/>
                <w:szCs w:val="18"/>
              </w:rPr>
              <w:t>48</w:t>
            </w:r>
            <w:r>
              <w:rPr>
                <w:rFonts w:hint="eastAsia" w:cs="宋体" w:asciiTheme="majorEastAsia" w:hAnsiTheme="majorEastAsia" w:eastAsiaTheme="majorEastAsia"/>
                <w:kern w:val="0"/>
                <w:sz w:val="18"/>
                <w:szCs w:val="18"/>
              </w:rPr>
              <w:t>块，支持</w:t>
            </w:r>
            <w:r>
              <w:rPr>
                <w:rFonts w:cs="宋体" w:asciiTheme="majorEastAsia" w:hAnsiTheme="majorEastAsia" w:eastAsiaTheme="majorEastAsia"/>
                <w:kern w:val="0"/>
                <w:sz w:val="18"/>
                <w:szCs w:val="18"/>
              </w:rPr>
              <w:t>SATA</w:t>
            </w:r>
            <w:r>
              <w:rPr>
                <w:rFonts w:hint="eastAsia" w:cs="宋体" w:asciiTheme="majorEastAsia" w:hAnsiTheme="majorEastAsia" w:eastAsiaTheme="majorEastAsia"/>
                <w:kern w:val="0"/>
                <w:sz w:val="18"/>
                <w:szCs w:val="18"/>
              </w:rPr>
              <w:t>和</w:t>
            </w:r>
            <w:r>
              <w:rPr>
                <w:rFonts w:cs="宋体" w:asciiTheme="majorEastAsia" w:hAnsiTheme="majorEastAsia" w:eastAsiaTheme="majorEastAsia"/>
                <w:kern w:val="0"/>
                <w:sz w:val="18"/>
                <w:szCs w:val="18"/>
              </w:rPr>
              <w:t>SAS</w:t>
            </w:r>
            <w:r>
              <w:rPr>
                <w:rFonts w:hint="eastAsia" w:cs="宋体" w:asciiTheme="majorEastAsia" w:hAnsiTheme="majorEastAsia" w:eastAsiaTheme="majorEastAsia"/>
                <w:kern w:val="0"/>
                <w:sz w:val="18"/>
                <w:szCs w:val="18"/>
              </w:rPr>
              <w:t>混插，并支持≥</w:t>
            </w:r>
            <w:r>
              <w:rPr>
                <w:rFonts w:cs="宋体" w:asciiTheme="majorEastAsia" w:hAnsiTheme="majorEastAsia" w:eastAsiaTheme="majorEastAsia"/>
                <w:kern w:val="0"/>
                <w:sz w:val="18"/>
                <w:szCs w:val="18"/>
              </w:rPr>
              <w:t>12</w:t>
            </w:r>
            <w:r>
              <w:rPr>
                <w:rFonts w:hint="eastAsia" w:cs="宋体" w:asciiTheme="majorEastAsia" w:hAnsiTheme="majorEastAsia" w:eastAsiaTheme="majorEastAsia"/>
                <w:kern w:val="0"/>
                <w:sz w:val="18"/>
                <w:szCs w:val="18"/>
              </w:rPr>
              <w:t>级扩展柜级联扩展；</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应能提供</w:t>
            </w:r>
            <w:r>
              <w:rPr>
                <w:rFonts w:cs="宋体" w:asciiTheme="majorEastAsia" w:hAnsiTheme="majorEastAsia" w:eastAsiaTheme="majorEastAsia"/>
                <w:kern w:val="0"/>
                <w:sz w:val="18"/>
                <w:szCs w:val="18"/>
              </w:rPr>
              <w:t>RAID0</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3</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5</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6</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10</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50</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60</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JBOD</w:t>
            </w:r>
            <w:r>
              <w:rPr>
                <w:rFonts w:hint="eastAsia" w:cs="宋体" w:asciiTheme="majorEastAsia" w:hAnsiTheme="majorEastAsia" w:eastAsiaTheme="majorEastAsia"/>
                <w:kern w:val="0"/>
                <w:sz w:val="18"/>
                <w:szCs w:val="18"/>
              </w:rPr>
              <w:t>模式，支持全局、局部等多种热备选择，支持坏盘自动重构；</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设备应能预录报警触发前</w:t>
            </w:r>
            <w:r>
              <w:rPr>
                <w:rFonts w:cs="宋体" w:asciiTheme="majorEastAsia" w:hAnsiTheme="majorEastAsia" w:eastAsiaTheme="majorEastAsia"/>
                <w:kern w:val="0"/>
                <w:sz w:val="18"/>
                <w:szCs w:val="18"/>
              </w:rPr>
              <w:t>1-40</w:t>
            </w:r>
            <w:r>
              <w:rPr>
                <w:rFonts w:hint="eastAsia" w:cs="宋体" w:asciiTheme="majorEastAsia" w:hAnsiTheme="majorEastAsia" w:eastAsiaTheme="majorEastAsia"/>
                <w:kern w:val="0"/>
                <w:sz w:val="18"/>
                <w:szCs w:val="18"/>
              </w:rPr>
              <w:t>分钟的视频录像。</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可接入</w:t>
            </w:r>
            <w:r>
              <w:rPr>
                <w:rFonts w:cs="宋体" w:asciiTheme="majorEastAsia" w:hAnsiTheme="majorEastAsia" w:eastAsiaTheme="majorEastAsia"/>
                <w:kern w:val="0"/>
                <w:sz w:val="18"/>
                <w:szCs w:val="18"/>
              </w:rPr>
              <w:t>MPEG4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H.264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H.265</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Smart265</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SVAC</w:t>
            </w:r>
            <w:r>
              <w:rPr>
                <w:rFonts w:hint="eastAsia" w:cs="宋体" w:asciiTheme="majorEastAsia" w:hAnsiTheme="majorEastAsia" w:eastAsiaTheme="majorEastAsia"/>
                <w:kern w:val="0"/>
                <w:sz w:val="18"/>
                <w:szCs w:val="18"/>
              </w:rPr>
              <w:t>编码格式的前端设备并存储录像文件</w:t>
            </w:r>
            <w:r>
              <w:rPr>
                <w:rFonts w:cs="宋体" w:asciiTheme="majorEastAsia" w:hAnsiTheme="majorEastAsia" w:eastAsiaTheme="majorEastAsia"/>
                <w:kern w:val="0"/>
                <w:sz w:val="18"/>
                <w:szCs w:val="18"/>
              </w:rPr>
              <w:t>,</w:t>
            </w:r>
            <w:r>
              <w:rPr>
                <w:rFonts w:hint="eastAsia" w:cs="宋体" w:asciiTheme="majorEastAsia" w:hAnsiTheme="majorEastAsia" w:eastAsiaTheme="majorEastAsia"/>
                <w:kern w:val="0"/>
                <w:sz w:val="18"/>
                <w:szCs w:val="18"/>
              </w:rPr>
              <w:t>可将大华、宇视、海康等厂商</w:t>
            </w:r>
            <w:r>
              <w:rPr>
                <w:rFonts w:cs="宋体" w:asciiTheme="majorEastAsia" w:hAnsiTheme="majorEastAsia" w:eastAsiaTheme="majorEastAsia"/>
                <w:kern w:val="0"/>
                <w:sz w:val="18"/>
                <w:szCs w:val="18"/>
              </w:rPr>
              <w:t>SDK</w:t>
            </w:r>
            <w:r>
              <w:rPr>
                <w:rFonts w:hint="eastAsia" w:cs="宋体" w:asciiTheme="majorEastAsia" w:hAnsiTheme="majorEastAsia" w:eastAsiaTheme="majorEastAsia"/>
                <w:kern w:val="0"/>
                <w:sz w:val="18"/>
                <w:szCs w:val="18"/>
              </w:rPr>
              <w:t>封装格式的视频流转成标准（</w:t>
            </w:r>
            <w:r>
              <w:rPr>
                <w:rFonts w:cs="宋体" w:asciiTheme="majorEastAsia" w:hAnsiTheme="majorEastAsia" w:eastAsiaTheme="majorEastAsia"/>
                <w:kern w:val="0"/>
                <w:sz w:val="18"/>
                <w:szCs w:val="18"/>
              </w:rPr>
              <w:t>MPEG4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H.264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H.265</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SVAC</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4K</w:t>
            </w:r>
            <w:r>
              <w:rPr>
                <w:rFonts w:hint="eastAsia" w:cs="宋体" w:asciiTheme="majorEastAsia" w:hAnsiTheme="majorEastAsia" w:eastAsiaTheme="majorEastAsia"/>
                <w:kern w:val="0"/>
                <w:sz w:val="18"/>
                <w:szCs w:val="18"/>
              </w:rPr>
              <w:t>等编码格式）</w:t>
            </w:r>
            <w:r>
              <w:rPr>
                <w:rFonts w:cs="宋体" w:asciiTheme="majorEastAsia" w:hAnsiTheme="majorEastAsia" w:eastAsiaTheme="majorEastAsia"/>
                <w:kern w:val="0"/>
                <w:sz w:val="18"/>
                <w:szCs w:val="18"/>
              </w:rPr>
              <w:t>PS</w:t>
            </w:r>
            <w:r>
              <w:rPr>
                <w:rFonts w:hint="eastAsia" w:cs="宋体" w:asciiTheme="majorEastAsia" w:hAnsiTheme="majorEastAsia" w:eastAsiaTheme="majorEastAsia"/>
                <w:kern w:val="0"/>
                <w:sz w:val="18"/>
                <w:szCs w:val="18"/>
              </w:rPr>
              <w:t>流（</w:t>
            </w:r>
            <w:r>
              <w:rPr>
                <w:rFonts w:cs="宋体" w:asciiTheme="majorEastAsia" w:hAnsiTheme="majorEastAsia" w:eastAsiaTheme="majorEastAsia"/>
                <w:kern w:val="0"/>
                <w:sz w:val="18"/>
                <w:szCs w:val="18"/>
              </w:rPr>
              <w:t>ProgramStream</w:t>
            </w:r>
            <w:r>
              <w:rPr>
                <w:rFonts w:hint="eastAsia" w:cs="宋体" w:asciiTheme="majorEastAsia" w:hAnsiTheme="majorEastAsia" w:eastAsiaTheme="majorEastAsia"/>
                <w:kern w:val="0"/>
                <w:sz w:val="18"/>
                <w:szCs w:val="18"/>
              </w:rPr>
              <w:t>）输出。</w:t>
            </w:r>
          </w:p>
          <w:p>
            <w:pPr>
              <w:widowControl/>
              <w:numPr>
                <w:ilvl w:val="0"/>
                <w:numId w:val="12"/>
              </w:numPr>
              <w:ind w:left="425" w:leftChars="0" w:hanging="425" w:firstLineChars="0"/>
              <w:jc w:val="left"/>
              <w:rPr>
                <w:rFonts w:hint="eastAsia" w:cs="宋体" w:asciiTheme="majorEastAsia" w:hAnsiTheme="majorEastAsia" w:eastAsiaTheme="majorEastAsia"/>
                <w:kern w:val="0"/>
                <w:sz w:val="18"/>
                <w:szCs w:val="18"/>
                <w:lang w:val="en-US" w:eastAsia="zh-CN"/>
              </w:rPr>
            </w:pPr>
            <w:r>
              <w:rPr>
                <w:rFonts w:hint="eastAsia" w:cs="宋体" w:asciiTheme="majorEastAsia" w:hAnsiTheme="majorEastAsia" w:eastAsiaTheme="majorEastAsia"/>
                <w:kern w:val="0"/>
                <w:sz w:val="18"/>
                <w:szCs w:val="18"/>
              </w:rPr>
              <w:t>支持多路文件采用非</w:t>
            </w:r>
            <w:r>
              <w:rPr>
                <w:rFonts w:cs="宋体" w:asciiTheme="majorEastAsia" w:hAnsiTheme="majorEastAsia" w:eastAsiaTheme="majorEastAsia"/>
                <w:kern w:val="0"/>
                <w:sz w:val="18"/>
                <w:szCs w:val="18"/>
              </w:rPr>
              <w:t>NAS</w:t>
            </w:r>
            <w:r>
              <w:rPr>
                <w:rFonts w:hint="eastAsia" w:cs="宋体" w:asciiTheme="majorEastAsia" w:hAnsiTheme="majorEastAsia" w:eastAsiaTheme="majorEastAsia"/>
                <w:kern w:val="0"/>
                <w:sz w:val="18"/>
                <w:szCs w:val="18"/>
              </w:rPr>
              <w:t>方式直接上传存储，且速度可设置。</w:t>
            </w:r>
            <w:r>
              <w:rPr>
                <w:rFonts w:hint="eastAsia" w:cs="宋体" w:asciiTheme="majorEastAsia" w:hAnsiTheme="majorEastAsia" w:eastAsiaTheme="majorEastAsia"/>
                <w:kern w:val="0"/>
                <w:sz w:val="18"/>
                <w:szCs w:val="18"/>
                <w:lang w:val="en-US" w:eastAsia="zh-CN"/>
              </w:rPr>
              <w:t xml:space="preserve"> </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具有</w:t>
            </w:r>
            <w:r>
              <w:rPr>
                <w:rFonts w:cs="宋体" w:asciiTheme="majorEastAsia" w:hAnsiTheme="majorEastAsia" w:eastAsiaTheme="majorEastAsia"/>
                <w:kern w:val="0"/>
                <w:sz w:val="18"/>
                <w:szCs w:val="18"/>
              </w:rPr>
              <w:t>ONVIF</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PSIA</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TCP/IP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UDP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SIP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RTSP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RTP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RTCP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iSCSI</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CIFS(SMB)</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NFS</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FTP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HTTP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AFP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RSYNC</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SNMP</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IPV4</w:t>
            </w:r>
            <w:r>
              <w:rPr>
                <w:rFonts w:hint="eastAsia" w:cs="宋体" w:asciiTheme="majorEastAsia" w:hAnsiTheme="majorEastAsia" w:eastAsiaTheme="majorEastAsia"/>
                <w:kern w:val="0"/>
                <w:sz w:val="18"/>
                <w:szCs w:val="18"/>
              </w:rPr>
              <w:t>、</w:t>
            </w:r>
            <w:r>
              <w:rPr>
                <w:rFonts w:cs="宋体" w:asciiTheme="majorEastAsia" w:hAnsiTheme="majorEastAsia" w:eastAsiaTheme="majorEastAsia"/>
                <w:kern w:val="0"/>
                <w:sz w:val="18"/>
                <w:szCs w:val="18"/>
              </w:rPr>
              <w:t>IPV6</w:t>
            </w:r>
            <w:r>
              <w:rPr>
                <w:rFonts w:hint="eastAsia" w:cs="宋体" w:asciiTheme="majorEastAsia" w:hAnsiTheme="majorEastAsia" w:eastAsiaTheme="majorEastAsia"/>
                <w:kern w:val="0"/>
                <w:sz w:val="18"/>
                <w:szCs w:val="18"/>
              </w:rPr>
              <w:t>设置选项，支持</w:t>
            </w:r>
            <w:r>
              <w:rPr>
                <w:rFonts w:cs="宋体" w:asciiTheme="majorEastAsia" w:hAnsiTheme="majorEastAsia" w:eastAsiaTheme="majorEastAsia"/>
                <w:kern w:val="0"/>
                <w:sz w:val="18"/>
                <w:szCs w:val="18"/>
              </w:rPr>
              <w:t>IP</w:t>
            </w:r>
            <w:r>
              <w:rPr>
                <w:rFonts w:hint="eastAsia" w:cs="宋体" w:asciiTheme="majorEastAsia" w:hAnsiTheme="majorEastAsia" w:eastAsiaTheme="majorEastAsia"/>
                <w:kern w:val="0"/>
                <w:sz w:val="18"/>
                <w:szCs w:val="18"/>
              </w:rPr>
              <w:t>组播；</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通过客户端软件添加及删除手机号，启用短信网关报警功能后，可向添加的手机号码发送电源异常、系统卡容量不足、存储空间异常、自动修复失败、私有卷</w:t>
            </w:r>
            <w:r>
              <w:rPr>
                <w:rFonts w:cs="宋体" w:asciiTheme="majorEastAsia" w:hAnsiTheme="majorEastAsia" w:eastAsiaTheme="majorEastAsia"/>
                <w:kern w:val="0"/>
                <w:sz w:val="18"/>
                <w:szCs w:val="18"/>
              </w:rPr>
              <w:t>IO</w:t>
            </w:r>
            <w:r>
              <w:rPr>
                <w:rFonts w:hint="eastAsia" w:cs="宋体" w:asciiTheme="majorEastAsia" w:hAnsiTheme="majorEastAsia" w:eastAsiaTheme="majorEastAsia"/>
                <w:kern w:val="0"/>
                <w:sz w:val="18"/>
                <w:szCs w:val="18"/>
              </w:rPr>
              <w:t>异常、无可用逻辑卷等报警信息，报警种类可设。</w:t>
            </w:r>
          </w:p>
          <w:p>
            <w:pPr>
              <w:widowControl/>
              <w:numPr>
                <w:ilvl w:val="0"/>
                <w:numId w:val="12"/>
              </w:numPr>
              <w:ind w:left="425" w:leftChars="0" w:hanging="425"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可通过</w:t>
            </w:r>
            <w:r>
              <w:rPr>
                <w:rFonts w:cs="宋体" w:asciiTheme="majorEastAsia" w:hAnsiTheme="majorEastAsia" w:eastAsiaTheme="majorEastAsia"/>
                <w:kern w:val="0"/>
                <w:sz w:val="18"/>
                <w:szCs w:val="18"/>
              </w:rPr>
              <w:t>IE</w:t>
            </w:r>
            <w:r>
              <w:rPr>
                <w:rFonts w:hint="eastAsia" w:cs="宋体" w:asciiTheme="majorEastAsia" w:hAnsiTheme="majorEastAsia" w:eastAsiaTheme="majorEastAsia"/>
                <w:kern w:val="0"/>
                <w:sz w:val="18"/>
                <w:szCs w:val="18"/>
              </w:rPr>
              <w:t>浏览器对一台、多台样机或扩展柜中的磁盘进行定位，使对应的磁盘指示灯闪烁，闪烁的时长可设。</w:t>
            </w:r>
          </w:p>
          <w:p>
            <w:pPr>
              <w:widowControl/>
              <w:numPr>
                <w:ilvl w:val="0"/>
                <w:numId w:val="12"/>
              </w:numPr>
              <w:ind w:left="425" w:leftChars="0" w:hanging="425" w:firstLineChars="0"/>
              <w:jc w:val="left"/>
              <w:rPr>
                <w:rFonts w:ascii="宋体" w:hAnsi="宋体" w:cs="宋体"/>
                <w:color w:val="000000"/>
                <w:sz w:val="18"/>
                <w:szCs w:val="18"/>
              </w:rPr>
            </w:pPr>
            <w:r>
              <w:rPr>
                <w:rFonts w:hint="eastAsia" w:cs="宋体" w:asciiTheme="majorEastAsia" w:hAnsiTheme="majorEastAsia" w:eastAsiaTheme="majorEastAsia"/>
                <w:kern w:val="0"/>
                <w:sz w:val="18"/>
                <w:szCs w:val="18"/>
              </w:rPr>
              <w:t>以公安部检测报告为准（中标后提供）</w:t>
            </w:r>
          </w:p>
        </w:tc>
      </w:tr>
      <w:tr>
        <w:tblPrEx>
          <w:tblLayout w:type="fixed"/>
          <w:tblCellMar>
            <w:top w:w="0" w:type="dxa"/>
            <w:left w:w="108" w:type="dxa"/>
            <w:bottom w:w="0" w:type="dxa"/>
            <w:right w:w="108" w:type="dxa"/>
          </w:tblCellMar>
        </w:tblPrEx>
        <w:trPr>
          <w:trHeight w:val="753"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监控专用硬盘</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kern w:val="0"/>
                <w:sz w:val="21"/>
                <w:szCs w:val="21"/>
              </w:rPr>
              <w:t>希捷</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西数、日立</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48</w:t>
            </w:r>
            <w:r>
              <w:rPr>
                <w:rFonts w:hint="eastAsia" w:ascii="宋体" w:hAnsi="宋体" w:cs="宋体"/>
                <w:color w:val="000000"/>
                <w:kern w:val="0"/>
                <w:sz w:val="18"/>
                <w:szCs w:val="18"/>
              </w:rPr>
              <w:t>块</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cs="宋体" w:asciiTheme="majorEastAsia" w:hAnsiTheme="majorEastAsia" w:eastAsiaTheme="minorEastAsia"/>
                <w:kern w:val="0"/>
                <w:sz w:val="18"/>
                <w:szCs w:val="18"/>
                <w:lang w:val="en-US" w:eastAsia="zh-CN"/>
              </w:rPr>
            </w:pPr>
            <w:r>
              <w:rPr>
                <w:rFonts w:hint="eastAsia" w:ascii="宋体" w:hAnsi="宋体" w:cs="宋体"/>
                <w:kern w:val="0"/>
                <w:sz w:val="18"/>
                <w:szCs w:val="18"/>
                <w:highlight w:val="none"/>
              </w:rPr>
              <w:t>4</w:t>
            </w:r>
            <w:r>
              <w:rPr>
                <w:rFonts w:hint="eastAsia" w:ascii="宋体" w:hAnsi="宋体" w:cs="宋体"/>
                <w:kern w:val="0"/>
                <w:sz w:val="18"/>
                <w:szCs w:val="18"/>
                <w:highlight w:val="none"/>
                <w:lang w:val="en-US" w:eastAsia="zh-CN"/>
              </w:rPr>
              <w:t>TB监控级硬盘</w:t>
            </w:r>
          </w:p>
        </w:tc>
      </w:tr>
      <w:tr>
        <w:tblPrEx>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12U机柜</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大唐、图腾、威龙</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23只</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厚度：方孔条1.5MM 侧门0.8MM 其余1.2MM 尺寸 600*450*635</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颜色：黑色  容量：12U  配置： M6方螺母钉10套 内六角板手一只 钥匙2把</w:t>
            </w:r>
          </w:p>
        </w:tc>
      </w:tr>
      <w:tr>
        <w:tblPrEx>
          <w:tblLayout w:type="fixed"/>
          <w:tblCellMar>
            <w:top w:w="0" w:type="dxa"/>
            <w:left w:w="108" w:type="dxa"/>
            <w:bottom w:w="0" w:type="dxa"/>
            <w:right w:w="108" w:type="dxa"/>
          </w:tblCellMar>
        </w:tblPrEx>
        <w:trPr>
          <w:trHeight w:val="1075"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42U机柜</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大唐、图腾、威龙</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1只</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厚度：方孔条</w:t>
            </w:r>
            <w:r>
              <w:rPr>
                <w:rFonts w:hint="eastAsia" w:cs="宋体" w:asciiTheme="majorEastAsia" w:hAnsiTheme="majorEastAsia" w:eastAsiaTheme="majorEastAsia"/>
                <w:kern w:val="0"/>
                <w:sz w:val="18"/>
                <w:szCs w:val="18"/>
                <w:lang w:val="en-US" w:eastAsia="zh-CN"/>
              </w:rPr>
              <w:t>≥</w:t>
            </w:r>
            <w:r>
              <w:rPr>
                <w:rFonts w:hint="eastAsia" w:cs="宋体" w:asciiTheme="majorEastAsia" w:hAnsiTheme="majorEastAsia" w:eastAsiaTheme="majorEastAsia"/>
                <w:kern w:val="0"/>
                <w:sz w:val="18"/>
                <w:szCs w:val="18"/>
              </w:rPr>
              <w:t>2.0mm,托盘</w:t>
            </w:r>
            <w:r>
              <w:rPr>
                <w:rFonts w:hint="eastAsia" w:cs="宋体" w:asciiTheme="majorEastAsia" w:hAnsiTheme="majorEastAsia" w:eastAsiaTheme="majorEastAsia"/>
                <w:kern w:val="0"/>
                <w:sz w:val="18"/>
                <w:szCs w:val="18"/>
                <w:lang w:val="en-US" w:eastAsia="zh-CN"/>
              </w:rPr>
              <w:t>≥</w:t>
            </w:r>
            <w:r>
              <w:rPr>
                <w:rFonts w:hint="eastAsia" w:cs="宋体" w:asciiTheme="majorEastAsia" w:hAnsiTheme="majorEastAsia" w:eastAsiaTheme="majorEastAsia"/>
                <w:kern w:val="0"/>
                <w:sz w:val="18"/>
                <w:szCs w:val="18"/>
              </w:rPr>
              <w:t>2.0mm,安装梁1.5m,其他1.2mm</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尺寸</w:t>
            </w:r>
            <w:r>
              <w:rPr>
                <w:rFonts w:hint="eastAsia" w:cs="宋体" w:asciiTheme="majorEastAsia" w:hAnsiTheme="majorEastAsia" w:eastAsiaTheme="majorEastAsia"/>
                <w:kern w:val="0"/>
                <w:sz w:val="18"/>
                <w:szCs w:val="18"/>
                <w:lang w:val="en-US" w:eastAsia="zh-CN"/>
              </w:rPr>
              <w:t>≥</w:t>
            </w:r>
            <w:r>
              <w:rPr>
                <w:rFonts w:hint="eastAsia" w:cs="宋体" w:asciiTheme="majorEastAsia" w:hAnsiTheme="majorEastAsia" w:eastAsiaTheme="majorEastAsia"/>
                <w:kern w:val="0"/>
                <w:sz w:val="18"/>
                <w:szCs w:val="18"/>
              </w:rPr>
              <w:t>2020*800*1000</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xml:space="preserve">颜色：黑色  容量：42U </w:t>
            </w:r>
          </w:p>
        </w:tc>
      </w:tr>
      <w:tr>
        <w:tblPrEx>
          <w:tblLayout w:type="fixed"/>
          <w:tblCellMar>
            <w:top w:w="0" w:type="dxa"/>
            <w:left w:w="108" w:type="dxa"/>
            <w:bottom w:w="0" w:type="dxa"/>
            <w:right w:w="108" w:type="dxa"/>
          </w:tblCellMar>
        </w:tblPrEx>
        <w:trPr>
          <w:trHeight w:val="637"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12芯光纤</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1项</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cs="宋体" w:asciiTheme="majorEastAsia" w:hAnsiTheme="majorEastAsia" w:eastAsiaTheme="majorEastAsia"/>
                <w:kern w:val="0"/>
                <w:sz w:val="18"/>
                <w:szCs w:val="18"/>
                <w:lang w:val="en-US" w:eastAsia="zh-CN"/>
              </w:rPr>
            </w:pPr>
          </w:p>
        </w:tc>
      </w:tr>
      <w:tr>
        <w:tblPrEx>
          <w:tblLayout w:type="fixed"/>
          <w:tblCellMar>
            <w:top w:w="0" w:type="dxa"/>
            <w:left w:w="108" w:type="dxa"/>
            <w:bottom w:w="0" w:type="dxa"/>
            <w:right w:w="108" w:type="dxa"/>
          </w:tblCellMar>
        </w:tblPrEx>
        <w:trPr>
          <w:trHeight w:val="80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超五类网线</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东强、一舟</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海康威视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1项</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cs="宋体" w:asciiTheme="majorEastAsia" w:hAnsiTheme="majorEastAsia" w:eastAsiaTheme="majorEastAsia"/>
                <w:color w:val="auto"/>
                <w:kern w:val="0"/>
                <w:sz w:val="18"/>
                <w:szCs w:val="18"/>
                <w:highlight w:val="none"/>
                <w:lang w:val="en-US" w:eastAsia="zh-CN"/>
              </w:rPr>
            </w:pPr>
            <w:r>
              <w:rPr>
                <w:rFonts w:hint="eastAsia" w:cs="宋体" w:asciiTheme="majorEastAsia" w:hAnsiTheme="majorEastAsia" w:eastAsiaTheme="majorEastAsia"/>
                <w:color w:val="auto"/>
                <w:kern w:val="0"/>
                <w:sz w:val="18"/>
                <w:szCs w:val="18"/>
                <w:highlight w:val="none"/>
              </w:rPr>
              <w:t>国标超五类室外网线</w:t>
            </w:r>
          </w:p>
        </w:tc>
      </w:tr>
      <w:tr>
        <w:tblPrEx>
          <w:tblLayout w:type="fixed"/>
          <w:tblCellMar>
            <w:top w:w="0" w:type="dxa"/>
            <w:left w:w="108" w:type="dxa"/>
            <w:bottom w:w="0" w:type="dxa"/>
            <w:right w:w="108" w:type="dxa"/>
          </w:tblCellMar>
        </w:tblPrEx>
        <w:trPr>
          <w:trHeight w:val="419"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1项</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RVV2*2.0两芯电缆</w:t>
            </w:r>
          </w:p>
        </w:tc>
      </w:tr>
      <w:tr>
        <w:tblPrEx>
          <w:tblLayout w:type="fixed"/>
          <w:tblCellMar>
            <w:top w:w="0" w:type="dxa"/>
            <w:left w:w="108" w:type="dxa"/>
            <w:bottom w:w="0" w:type="dxa"/>
            <w:right w:w="108" w:type="dxa"/>
          </w:tblCellMar>
        </w:tblPrEx>
        <w:trPr>
          <w:trHeight w:val="84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单模</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模块</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22对</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18"/>
                <w:szCs w:val="18"/>
                <w:highlight w:val="none"/>
              </w:rPr>
            </w:pPr>
            <w:r>
              <w:rPr>
                <w:rFonts w:ascii="宋体" w:hAnsi="宋体" w:cs="宋体"/>
                <w:color w:val="auto"/>
                <w:kern w:val="0"/>
                <w:sz w:val="18"/>
                <w:szCs w:val="18"/>
                <w:highlight w:val="none"/>
              </w:rPr>
              <w:t>千兆SFP光纤模块</w:t>
            </w:r>
          </w:p>
        </w:tc>
      </w:tr>
      <w:tr>
        <w:tblPrEx>
          <w:tblLayout w:type="fixed"/>
          <w:tblCellMar>
            <w:top w:w="0" w:type="dxa"/>
            <w:left w:w="108" w:type="dxa"/>
            <w:bottom w:w="0" w:type="dxa"/>
            <w:right w:w="108" w:type="dxa"/>
          </w:tblCellMar>
        </w:tblPrEx>
        <w:trPr>
          <w:trHeight w:val="742"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50英寸电视机</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2台</w:t>
            </w:r>
          </w:p>
        </w:tc>
        <w:tc>
          <w:tcPr>
            <w:tcW w:w="5408" w:type="dxa"/>
            <w:tcBorders>
              <w:top w:val="single" w:color="auto" w:sz="4" w:space="0"/>
              <w:left w:val="nil"/>
              <w:bottom w:val="single" w:color="auto" w:sz="4" w:space="0"/>
              <w:right w:val="single" w:color="auto" w:sz="4" w:space="0"/>
            </w:tcBorders>
            <w:shd w:val="clear" w:color="000000" w:fill="FFFFFF"/>
            <w:vAlign w:val="center"/>
          </w:tcPr>
          <w:p>
            <w:pPr>
              <w:rPr>
                <w:rFonts w:cs="宋体" w:asciiTheme="majorEastAsia" w:hAnsiTheme="majorEastAsia" w:eastAsiaTheme="majorEastAsia"/>
                <w:color w:val="auto"/>
                <w:kern w:val="0"/>
                <w:szCs w:val="18"/>
                <w:highlight w:val="none"/>
              </w:rPr>
            </w:pPr>
            <w:r>
              <w:rPr>
                <w:rFonts w:hint="eastAsia" w:ascii="宋体" w:hAnsi="宋体" w:cs="宋体"/>
                <w:color w:val="auto"/>
                <w:kern w:val="0"/>
                <w:sz w:val="18"/>
                <w:szCs w:val="18"/>
                <w:highlight w:val="none"/>
              </w:rPr>
              <w:t>50英寸 4K超高清HDR WIFI网络人工智能液晶平板网络电视机</w:t>
            </w:r>
          </w:p>
        </w:tc>
      </w:tr>
      <w:tr>
        <w:tblPrEx>
          <w:tblLayout w:type="fixed"/>
          <w:tblCellMar>
            <w:top w:w="0" w:type="dxa"/>
            <w:left w:w="108" w:type="dxa"/>
            <w:bottom w:w="0" w:type="dxa"/>
            <w:right w:w="108" w:type="dxa"/>
          </w:tblCellMar>
        </w:tblPrEx>
        <w:trPr>
          <w:trHeight w:val="712"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φ20PVC线管</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1项</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eastAsia="宋体" w:cs="宋体" w:asciiTheme="majorEastAsia" w:hAnsiTheme="majorEastAsia"/>
                <w:color w:val="auto"/>
                <w:kern w:val="0"/>
                <w:sz w:val="18"/>
                <w:szCs w:val="18"/>
                <w:highlight w:val="none"/>
                <w:lang w:val="en-US" w:eastAsia="zh-CN"/>
              </w:rPr>
            </w:pPr>
            <w:r>
              <w:rPr>
                <w:rFonts w:hint="eastAsia" w:ascii="宋体" w:hAnsi="宋体" w:cs="宋体"/>
                <w:color w:val="auto"/>
                <w:kern w:val="0"/>
                <w:sz w:val="18"/>
                <w:szCs w:val="18"/>
                <w:highlight w:val="none"/>
              </w:rPr>
              <w:t>20公分PVC线管</w:t>
            </w:r>
          </w:p>
        </w:tc>
      </w:tr>
      <w:tr>
        <w:tblPrEx>
          <w:tblLayout w:type="fixed"/>
          <w:tblCellMar>
            <w:top w:w="0" w:type="dxa"/>
            <w:left w:w="108" w:type="dxa"/>
            <w:bottom w:w="0" w:type="dxa"/>
            <w:right w:w="108" w:type="dxa"/>
          </w:tblCellMar>
        </w:tblPrEx>
        <w:trPr>
          <w:trHeight w:val="694"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φ32PE波纹管</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1项</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spacing w:line="480" w:lineRule="auto"/>
              <w:jc w:val="left"/>
              <w:rPr>
                <w:rFonts w:hint="default" w:eastAsia="宋体" w:cs="宋体" w:asciiTheme="majorEastAsia" w:hAnsiTheme="majorEastAsia"/>
                <w:color w:val="auto"/>
                <w:kern w:val="0"/>
                <w:sz w:val="18"/>
                <w:szCs w:val="18"/>
                <w:highlight w:val="none"/>
                <w:lang w:val="en-US" w:eastAsia="zh-CN"/>
              </w:rPr>
            </w:pPr>
            <w:r>
              <w:rPr>
                <w:rFonts w:hint="eastAsia" w:ascii="宋体" w:hAnsi="宋体" w:cs="宋体"/>
                <w:color w:val="auto"/>
                <w:kern w:val="0"/>
                <w:sz w:val="18"/>
                <w:szCs w:val="18"/>
                <w:highlight w:val="none"/>
              </w:rPr>
              <w:t>32公分波纹管</w:t>
            </w:r>
          </w:p>
        </w:tc>
      </w:tr>
      <w:tr>
        <w:tblPrEx>
          <w:tblLayout w:type="fixed"/>
          <w:tblCellMar>
            <w:top w:w="0" w:type="dxa"/>
            <w:left w:w="108" w:type="dxa"/>
            <w:bottom w:w="0" w:type="dxa"/>
            <w:right w:w="108" w:type="dxa"/>
          </w:tblCellMar>
        </w:tblPrEx>
        <w:trPr>
          <w:trHeight w:val="927"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国标3位插排</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公牛、子弹头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海康威视</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23只</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ajorEastAsia" w:hAnsiTheme="majorEastAsia" w:eastAsiaTheme="majorEastAsia"/>
                <w:color w:val="auto"/>
                <w:kern w:val="0"/>
                <w:sz w:val="18"/>
                <w:szCs w:val="18"/>
                <w:highlight w:val="none"/>
              </w:rPr>
            </w:pPr>
            <w:r>
              <w:rPr>
                <w:rFonts w:hint="eastAsia" w:ascii="宋体" w:hAnsi="宋体" w:cs="宋体"/>
                <w:color w:val="auto"/>
                <w:kern w:val="0"/>
                <w:sz w:val="18"/>
                <w:szCs w:val="18"/>
                <w:highlight w:val="none"/>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-281940</wp:posOffset>
                  </wp:positionV>
                  <wp:extent cx="455295" cy="1155700"/>
                  <wp:effectExtent l="0" t="0" r="2540" b="1905"/>
                  <wp:wrapNone/>
                  <wp:docPr id="2" name="图片 8" descr="C:\Users\ADMINI~1\AppData\Local\Temp\WeChat Files\f0c9363df7c844bca56dd946860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I~1\AppData\Local\Temp\WeChat Files\f0c9363df7c844bca56dd9468600154.jpg"/>
                          <pic:cNvPicPr>
                            <a:picLocks noChangeAspect="1" noChangeArrowheads="1"/>
                          </pic:cNvPicPr>
                        </pic:nvPicPr>
                        <pic:blipFill>
                          <a:blip r:embed="rId8" cstate="print"/>
                          <a:srcRect/>
                          <a:stretch>
                            <a:fillRect/>
                          </a:stretch>
                        </pic:blipFill>
                        <pic:spPr>
                          <a:xfrm rot="5400000">
                            <a:off x="0" y="0"/>
                            <a:ext cx="455295" cy="1155700"/>
                          </a:xfrm>
                          <a:prstGeom prst="rect">
                            <a:avLst/>
                          </a:prstGeom>
                          <a:noFill/>
                          <a:ln w="9525">
                            <a:noFill/>
                            <a:miter lim="800000"/>
                            <a:headEnd/>
                            <a:tailEnd/>
                          </a:ln>
                        </pic:spPr>
                      </pic:pic>
                    </a:graphicData>
                  </a:graphic>
                </wp:anchor>
              </w:drawing>
            </w:r>
          </w:p>
        </w:tc>
      </w:tr>
      <w:tr>
        <w:tblPrEx>
          <w:tblLayout w:type="fixed"/>
          <w:tblCellMar>
            <w:top w:w="0" w:type="dxa"/>
            <w:left w:w="108" w:type="dxa"/>
            <w:bottom w:w="0" w:type="dxa"/>
            <w:right w:w="108" w:type="dxa"/>
          </w:tblCellMar>
        </w:tblPrEx>
        <w:trPr>
          <w:trHeight w:val="74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防静电地板</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lang w:val="en-US" w:eastAsia="zh-CN"/>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20m²</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0"/>
              </w:numPr>
              <w:ind w:leftChars="0"/>
              <w:jc w:val="left"/>
              <w:rPr>
                <w:rFonts w:cs="宋体" w:asciiTheme="majorEastAsia" w:hAnsiTheme="majorEastAsia" w:eastAsiaTheme="majorEastAsia"/>
                <w:color w:val="auto"/>
                <w:kern w:val="0"/>
                <w:sz w:val="18"/>
                <w:szCs w:val="18"/>
                <w:highlight w:val="none"/>
              </w:rPr>
            </w:pPr>
            <w:r>
              <w:rPr>
                <w:rFonts w:hint="eastAsia" w:ascii="宋体" w:hAnsi="宋体" w:cs="宋体"/>
                <w:color w:val="auto"/>
                <w:kern w:val="0"/>
                <w:sz w:val="18"/>
                <w:szCs w:val="18"/>
                <w:highlight w:val="none"/>
              </w:rPr>
              <w:t>600*600*40全钢组成，机械强度高，承载能力强，耐冲击性能好；</w:t>
            </w:r>
          </w:p>
          <w:p>
            <w:pPr>
              <w:widowControl/>
              <w:numPr>
                <w:ilvl w:val="0"/>
                <w:numId w:val="0"/>
              </w:numPr>
              <w:ind w:leftChars="0"/>
              <w:jc w:val="left"/>
              <w:rPr>
                <w:rFonts w:cs="宋体" w:asciiTheme="majorEastAsia" w:hAnsiTheme="majorEastAsia" w:eastAsiaTheme="majorEastAsia"/>
                <w:color w:val="auto"/>
                <w:kern w:val="0"/>
                <w:sz w:val="18"/>
                <w:szCs w:val="18"/>
                <w:highlight w:val="none"/>
              </w:rPr>
            </w:pPr>
            <w:r>
              <w:rPr>
                <w:rFonts w:hint="eastAsia" w:ascii="宋体" w:hAnsi="宋体" w:cs="宋体"/>
                <w:color w:val="auto"/>
                <w:kern w:val="0"/>
                <w:sz w:val="18"/>
                <w:szCs w:val="18"/>
                <w:highlight w:val="none"/>
              </w:rPr>
              <w:t>表面静电喷塑，柔光、耐磨、防水、防尘、防腐蚀；</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尺寸可调级，互换性好、组装灵活、维修方便、使用寿命长；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地板四周有防静电胶条。</w:t>
            </w:r>
          </w:p>
        </w:tc>
      </w:tr>
      <w:tr>
        <w:tblPrEx>
          <w:tblLayout w:type="fixed"/>
          <w:tblCellMar>
            <w:top w:w="0" w:type="dxa"/>
            <w:left w:w="108" w:type="dxa"/>
            <w:bottom w:w="0" w:type="dxa"/>
            <w:right w:w="108" w:type="dxa"/>
          </w:tblCellMar>
        </w:tblPrEx>
        <w:trPr>
          <w:trHeight w:val="709"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辅材</w:t>
            </w:r>
          </w:p>
        </w:tc>
        <w:tc>
          <w:tcPr>
            <w:tcW w:w="14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1"/>
                <w:szCs w:val="21"/>
                <w:highlight w:val="none"/>
              </w:rPr>
            </w:pP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1批</w:t>
            </w:r>
          </w:p>
        </w:tc>
        <w:tc>
          <w:tcPr>
            <w:tcW w:w="540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施工时须走线规整，隐蔽美观，且采用独立电源。</w:t>
            </w:r>
          </w:p>
          <w:p>
            <w:pPr>
              <w:widowControl/>
              <w:jc w:val="left"/>
              <w:rPr>
                <w:rFonts w:cs="宋体" w:asciiTheme="majorEastAsia" w:hAnsiTheme="majorEastAsia" w:eastAsiaTheme="majorEastAsia"/>
                <w:color w:val="auto"/>
                <w:kern w:val="0"/>
                <w:sz w:val="18"/>
                <w:szCs w:val="18"/>
                <w:highlight w:val="none"/>
              </w:rPr>
            </w:pPr>
            <w:r>
              <w:rPr>
                <w:rFonts w:hint="eastAsia" w:ascii="宋体" w:hAnsi="宋体" w:cs="宋体"/>
                <w:b/>
                <w:bCs/>
                <w:color w:val="auto"/>
                <w:kern w:val="0"/>
                <w:sz w:val="18"/>
                <w:szCs w:val="18"/>
                <w:highlight w:val="none"/>
                <w:lang w:val="en-US" w:eastAsia="zh-CN"/>
              </w:rPr>
              <w:t>食堂须预留一道网络信号接头，以便信号并入学校总网。</w:t>
            </w:r>
          </w:p>
        </w:tc>
      </w:tr>
    </w:tbl>
    <w:p>
      <w:pPr>
        <w:numPr>
          <w:ilvl w:val="0"/>
          <w:numId w:val="0"/>
        </w:numPr>
      </w:pPr>
    </w:p>
    <w:bookmarkEnd w:id="574"/>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bCs/>
          <w:color w:val="auto"/>
          <w:sz w:val="28"/>
          <w:szCs w:val="28"/>
          <w:highlight w:val="none"/>
        </w:rPr>
      </w:pPr>
      <w:bookmarkStart w:id="575" w:name="_Toc7525"/>
      <w:r>
        <w:rPr>
          <w:rFonts w:hint="eastAsia" w:ascii="宋体" w:hAnsi="宋体"/>
          <w:b/>
          <w:bCs/>
          <w:color w:val="auto"/>
          <w:sz w:val="21"/>
          <w:szCs w:val="21"/>
          <w:highlight w:val="none"/>
          <w:lang w:val="en-US" w:eastAsia="zh-CN"/>
        </w:rPr>
        <w:t>特别说明</w:t>
      </w:r>
      <w:r>
        <w:rPr>
          <w:rFonts w:hint="eastAsia" w:ascii="宋体" w:hAnsi="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360" w:firstLineChars="200"/>
        <w:jc w:val="both"/>
        <w:textAlignment w:val="auto"/>
        <w:rPr>
          <w:rFonts w:hint="eastAsia" w:ascii="宋体" w:hAnsi="宋体"/>
          <w:b/>
          <w:bCs/>
          <w:color w:val="000000" w:themeColor="text1"/>
          <w:sz w:val="18"/>
          <w:szCs w:val="18"/>
          <w:highlight w:val="yellow"/>
          <w:lang w:val="en-US" w:eastAsia="zh-CN"/>
          <w14:textFill>
            <w14:solidFill>
              <w14:schemeClr w14:val="tx1"/>
            </w14:solidFill>
          </w14:textFill>
        </w:rPr>
      </w:pPr>
      <w:r>
        <w:rPr>
          <w:rFonts w:hint="eastAsia" w:ascii="宋体" w:hAnsi="宋体"/>
          <w:b/>
          <w:bCs/>
          <w:color w:val="auto"/>
          <w:sz w:val="18"/>
          <w:szCs w:val="18"/>
          <w:highlight w:val="none"/>
          <w:lang w:val="en-US" w:eastAsia="zh-CN"/>
        </w:rPr>
        <w:t>1、存储图像标准像素不变</w:t>
      </w:r>
      <w:r>
        <w:rPr>
          <w:rFonts w:hint="eastAsia" w:ascii="宋体" w:hAnsi="宋体"/>
          <w:b/>
          <w:bCs/>
          <w:color w:val="auto"/>
          <w:sz w:val="18"/>
          <w:szCs w:val="18"/>
          <w:highlight w:val="none"/>
        </w:rPr>
        <w:t>全天录像模式存储时间不得少于4</w:t>
      </w:r>
      <w:r>
        <w:rPr>
          <w:rFonts w:hint="eastAsia" w:ascii="宋体" w:hAnsi="宋体"/>
          <w:b/>
          <w:bCs/>
          <w:color w:val="auto"/>
          <w:sz w:val="18"/>
          <w:szCs w:val="18"/>
          <w:highlight w:val="none"/>
          <w:lang w:val="en-US" w:eastAsia="zh-CN"/>
        </w:rPr>
        <w:t>0天。</w:t>
      </w:r>
      <w:r>
        <w:rPr>
          <w:rFonts w:hint="eastAsia" w:ascii="宋体" w:hAnsi="宋体"/>
          <w:b/>
          <w:bCs/>
          <w:color w:val="auto"/>
          <w:sz w:val="18"/>
          <w:szCs w:val="18"/>
          <w:highlight w:val="none"/>
          <w:lang w:eastAsia="zh-CN"/>
        </w:rPr>
        <w:t>在施工前必须将原有监控设备</w:t>
      </w:r>
      <w:r>
        <w:rPr>
          <w:rFonts w:hint="eastAsia" w:ascii="宋体" w:hAnsi="宋体"/>
          <w:b/>
          <w:bCs/>
          <w:color w:val="auto"/>
          <w:sz w:val="18"/>
          <w:szCs w:val="18"/>
          <w:highlight w:val="none"/>
        </w:rPr>
        <w:t>拆除，经</w:t>
      </w:r>
      <w:r>
        <w:rPr>
          <w:rFonts w:hint="eastAsia" w:ascii="宋体" w:hAnsi="宋体"/>
          <w:b/>
          <w:bCs/>
          <w:color w:val="auto"/>
          <w:sz w:val="18"/>
          <w:szCs w:val="18"/>
          <w:highlight w:val="none"/>
          <w:lang w:eastAsia="zh-CN"/>
        </w:rPr>
        <w:t>甲方</w:t>
      </w:r>
      <w:r>
        <w:rPr>
          <w:rFonts w:hint="eastAsia" w:ascii="宋体" w:hAnsi="宋体"/>
          <w:b/>
          <w:bCs/>
          <w:color w:val="auto"/>
          <w:sz w:val="18"/>
          <w:szCs w:val="18"/>
          <w:highlight w:val="none"/>
          <w:lang w:val="en-US" w:eastAsia="zh-CN"/>
        </w:rPr>
        <w:t>确认</w:t>
      </w:r>
      <w:r>
        <w:rPr>
          <w:rFonts w:hint="eastAsia" w:ascii="宋体" w:hAnsi="宋体"/>
          <w:b/>
          <w:bCs/>
          <w:color w:val="auto"/>
          <w:sz w:val="18"/>
          <w:szCs w:val="18"/>
          <w:highlight w:val="none"/>
        </w:rPr>
        <w:t>后方可进行下一步施工，每一步施工工序</w:t>
      </w:r>
      <w:r>
        <w:rPr>
          <w:rFonts w:hint="eastAsia" w:ascii="宋体" w:hAnsi="宋体"/>
          <w:b/>
          <w:bCs/>
          <w:color w:val="auto"/>
          <w:sz w:val="18"/>
          <w:szCs w:val="18"/>
          <w:highlight w:val="none"/>
          <w:lang w:val="en-US" w:eastAsia="zh-CN"/>
        </w:rPr>
        <w:t>须</w:t>
      </w:r>
      <w:r>
        <w:rPr>
          <w:rFonts w:hint="eastAsia" w:ascii="宋体" w:hAnsi="宋体"/>
          <w:b/>
          <w:bCs/>
          <w:color w:val="auto"/>
          <w:sz w:val="18"/>
          <w:szCs w:val="18"/>
          <w:highlight w:val="none"/>
        </w:rPr>
        <w:t>经过甲方保卫科确认，</w:t>
      </w:r>
      <w:r>
        <w:rPr>
          <w:rFonts w:hint="eastAsia" w:ascii="宋体" w:hAnsi="宋体"/>
          <w:b/>
          <w:bCs/>
          <w:color w:val="auto"/>
          <w:sz w:val="18"/>
          <w:szCs w:val="18"/>
          <w:highlight w:val="none"/>
          <w:lang w:val="en-US" w:eastAsia="zh-CN"/>
        </w:rPr>
        <w:t>旧设备</w:t>
      </w:r>
      <w:r>
        <w:rPr>
          <w:rFonts w:hint="eastAsia" w:ascii="宋体" w:hAnsi="宋体"/>
          <w:b/>
          <w:bCs/>
          <w:color w:val="auto"/>
          <w:sz w:val="18"/>
          <w:szCs w:val="18"/>
          <w:highlight w:val="none"/>
        </w:rPr>
        <w:t>拆除时注意</w:t>
      </w:r>
      <w:r>
        <w:rPr>
          <w:rFonts w:hint="eastAsia" w:ascii="宋体" w:hAnsi="宋体"/>
          <w:b/>
          <w:bCs/>
          <w:color w:val="auto"/>
          <w:sz w:val="18"/>
          <w:szCs w:val="18"/>
          <w:highlight w:val="none"/>
          <w:lang w:val="en-US" w:eastAsia="zh-CN"/>
        </w:rPr>
        <w:t>周围设备及物品的</w:t>
      </w:r>
      <w:r>
        <w:rPr>
          <w:rFonts w:hint="eastAsia" w:ascii="宋体" w:hAnsi="宋体"/>
          <w:b/>
          <w:bCs/>
          <w:color w:val="auto"/>
          <w:sz w:val="18"/>
          <w:szCs w:val="18"/>
          <w:highlight w:val="none"/>
        </w:rPr>
        <w:t>保护</w:t>
      </w:r>
      <w:r>
        <w:rPr>
          <w:rFonts w:hint="eastAsia" w:ascii="宋体" w:hAnsi="宋体"/>
          <w:b/>
          <w:bCs/>
          <w:color w:val="auto"/>
          <w:sz w:val="18"/>
          <w:szCs w:val="18"/>
          <w:highlight w:val="none"/>
          <w:lang w:eastAsia="zh-CN"/>
        </w:rPr>
        <w:t>，</w:t>
      </w:r>
      <w:r>
        <w:rPr>
          <w:rFonts w:hint="eastAsia" w:ascii="宋体" w:hAnsi="宋体"/>
          <w:b/>
          <w:bCs/>
          <w:color w:val="auto"/>
          <w:sz w:val="18"/>
          <w:szCs w:val="18"/>
          <w:highlight w:val="none"/>
          <w:lang w:val="en-US" w:eastAsia="zh-CN"/>
        </w:rPr>
        <w:t>如有损坏，则全部由中标单位赔偿损失。</w:t>
      </w:r>
    </w:p>
    <w:p>
      <w:pPr>
        <w:keepNext w:val="0"/>
        <w:keepLines w:val="0"/>
        <w:pageBreakBefore w:val="0"/>
        <w:widowControl w:val="0"/>
        <w:kinsoku/>
        <w:wordWrap/>
        <w:overflowPunct/>
        <w:topLinePunct w:val="0"/>
        <w:autoSpaceDE/>
        <w:autoSpaceDN/>
        <w:bidi w:val="0"/>
        <w:adjustRightInd/>
        <w:snapToGrid/>
        <w:spacing w:line="312" w:lineRule="auto"/>
        <w:ind w:firstLine="360" w:firstLineChars="200"/>
        <w:jc w:val="both"/>
        <w:textAlignment w:val="auto"/>
        <w:rPr>
          <w:rFonts w:hint="eastAsia" w:ascii="宋体" w:hAnsi="宋体"/>
          <w:b/>
          <w:bCs/>
          <w:color w:val="auto"/>
          <w:sz w:val="18"/>
          <w:szCs w:val="18"/>
          <w:highlight w:val="none"/>
        </w:rPr>
      </w:pPr>
      <w:r>
        <w:rPr>
          <w:rFonts w:hint="eastAsia" w:ascii="宋体" w:hAnsi="宋体"/>
          <w:b/>
          <w:bCs/>
          <w:color w:val="auto"/>
          <w:sz w:val="18"/>
          <w:szCs w:val="18"/>
          <w:highlight w:val="none"/>
          <w:lang w:val="en-US" w:eastAsia="zh-CN"/>
        </w:rPr>
        <w:t>2、</w:t>
      </w:r>
      <w:r>
        <w:rPr>
          <w:rFonts w:hint="eastAsia" w:ascii="宋体" w:hAnsi="宋体"/>
          <w:b/>
          <w:bCs/>
          <w:color w:val="auto"/>
          <w:sz w:val="18"/>
          <w:szCs w:val="18"/>
          <w:highlight w:val="none"/>
        </w:rPr>
        <w:t>以上参考品牌及参数仅供投标单位在响应本项目时作技术上、质量上的对比参考，技术规格参数可在正偏离范围内，若所投产品的主要功能达到采购需求的主要功能，参数负偏离的不作废标处理，由评标委员会根据性能、偏离情况等因素进行</w:t>
      </w:r>
      <w:r>
        <w:rPr>
          <w:rFonts w:hint="eastAsia" w:ascii="宋体" w:hAnsi="宋体"/>
          <w:b/>
          <w:bCs/>
          <w:color w:val="auto"/>
          <w:sz w:val="18"/>
          <w:szCs w:val="18"/>
          <w:highlight w:val="none"/>
          <w:lang w:val="en-US" w:eastAsia="zh-CN"/>
        </w:rPr>
        <w:t>打</w:t>
      </w:r>
      <w:r>
        <w:rPr>
          <w:rFonts w:hint="eastAsia" w:ascii="宋体" w:hAnsi="宋体"/>
          <w:b/>
          <w:bCs/>
          <w:color w:val="auto"/>
          <w:sz w:val="18"/>
          <w:szCs w:val="18"/>
          <w:highlight w:val="none"/>
        </w:rPr>
        <w:t>分。</w:t>
      </w:r>
    </w:p>
    <w:p>
      <w:pPr>
        <w:keepNext w:val="0"/>
        <w:keepLines w:val="0"/>
        <w:pageBreakBefore w:val="0"/>
        <w:widowControl w:val="0"/>
        <w:kinsoku/>
        <w:wordWrap/>
        <w:overflowPunct/>
        <w:topLinePunct w:val="0"/>
        <w:autoSpaceDE/>
        <w:autoSpaceDN/>
        <w:bidi w:val="0"/>
        <w:adjustRightInd/>
        <w:snapToGrid/>
        <w:spacing w:line="312" w:lineRule="auto"/>
        <w:ind w:firstLine="360" w:firstLineChars="200"/>
        <w:jc w:val="both"/>
        <w:textAlignment w:val="auto"/>
        <w:rPr>
          <w:rFonts w:hint="default"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3、投标人中标后，在签定合同前，提供所投品牌厂家质保函（与投标文件质保时间一致），否则，招标人将取消其中标资格；项目竣工验收前须向采购人提供整套标准CAD布点布线图，否则不予验收。</w:t>
      </w:r>
    </w:p>
    <w:p>
      <w:pPr>
        <w:keepNext w:val="0"/>
        <w:keepLines w:val="0"/>
        <w:pageBreakBefore w:val="0"/>
        <w:widowControl w:val="0"/>
        <w:kinsoku/>
        <w:wordWrap/>
        <w:overflowPunct/>
        <w:topLinePunct w:val="0"/>
        <w:autoSpaceDE/>
        <w:autoSpaceDN/>
        <w:bidi w:val="0"/>
        <w:adjustRightInd/>
        <w:snapToGrid/>
        <w:spacing w:line="312" w:lineRule="auto"/>
        <w:ind w:firstLine="360" w:firstLineChars="200"/>
        <w:textAlignment w:val="auto"/>
        <w:rPr>
          <w:rFonts w:hint="eastAsia" w:ascii="宋体" w:hAnsi="宋体"/>
          <w:b/>
          <w:bCs/>
          <w:color w:val="000000" w:themeColor="text1"/>
          <w:sz w:val="48"/>
          <w:szCs w:val="56"/>
          <w:lang w:eastAsia="zh-CN"/>
          <w14:textFill>
            <w14:solidFill>
              <w14:schemeClr w14:val="tx1"/>
            </w14:solidFill>
          </w14:textFill>
        </w:rPr>
      </w:pPr>
      <w:r>
        <w:rPr>
          <w:rFonts w:hint="eastAsia" w:ascii="宋体" w:hAnsi="宋体"/>
          <w:b/>
          <w:bCs/>
          <w:color w:val="auto"/>
          <w:sz w:val="18"/>
          <w:szCs w:val="18"/>
          <w:highlight w:val="none"/>
          <w:lang w:val="en-US" w:eastAsia="zh-CN"/>
        </w:rPr>
        <w:t>4、</w:t>
      </w:r>
      <w:r>
        <w:rPr>
          <w:rFonts w:hint="eastAsia" w:ascii="宋体" w:hAnsi="宋体"/>
          <w:b/>
          <w:bCs/>
          <w:color w:val="auto"/>
          <w:sz w:val="18"/>
          <w:szCs w:val="18"/>
          <w:highlight w:val="none"/>
          <w:lang w:val="zh-CN"/>
        </w:rPr>
        <w:t>投标人在开标前自行至</w:t>
      </w:r>
      <w:r>
        <w:rPr>
          <w:rFonts w:hint="eastAsia" w:ascii="宋体" w:hAnsi="宋体"/>
          <w:b/>
          <w:bCs/>
          <w:color w:val="auto"/>
          <w:sz w:val="18"/>
          <w:szCs w:val="18"/>
          <w:highlight w:val="none"/>
          <w:lang w:val="en-US" w:eastAsia="zh-CN"/>
        </w:rPr>
        <w:t>采购单位</w:t>
      </w:r>
      <w:r>
        <w:rPr>
          <w:rFonts w:hint="eastAsia" w:ascii="宋体" w:hAnsi="宋体"/>
          <w:b/>
          <w:bCs/>
          <w:color w:val="auto"/>
          <w:sz w:val="18"/>
          <w:szCs w:val="18"/>
          <w:highlight w:val="none"/>
          <w:lang w:val="zh-CN"/>
        </w:rPr>
        <w:t>进行现场勘测，充分了解采购方需求</w:t>
      </w:r>
      <w:r>
        <w:rPr>
          <w:rFonts w:hint="eastAsia" w:ascii="宋体" w:hAnsi="宋体"/>
          <w:b/>
          <w:bCs/>
          <w:color w:val="auto"/>
          <w:sz w:val="18"/>
          <w:szCs w:val="18"/>
          <w:highlight w:val="none"/>
        </w:rPr>
        <w:t>根据</w:t>
      </w:r>
      <w:r>
        <w:rPr>
          <w:rFonts w:hint="eastAsia" w:ascii="宋体" w:hAnsi="宋体"/>
          <w:b/>
          <w:bCs/>
          <w:color w:val="auto"/>
          <w:sz w:val="18"/>
          <w:szCs w:val="18"/>
          <w:highlight w:val="none"/>
          <w:lang w:val="en-US" w:eastAsia="zh-CN"/>
        </w:rPr>
        <w:t>现场</w:t>
      </w:r>
      <w:r>
        <w:rPr>
          <w:rFonts w:hint="eastAsia" w:ascii="宋体" w:hAnsi="宋体"/>
          <w:b/>
          <w:bCs/>
          <w:color w:val="auto"/>
          <w:sz w:val="18"/>
          <w:szCs w:val="18"/>
          <w:highlight w:val="none"/>
        </w:rPr>
        <w:t>实际情况提供</w:t>
      </w:r>
      <w:r>
        <w:rPr>
          <w:rFonts w:hint="eastAsia" w:ascii="宋体" w:hAnsi="宋体"/>
          <w:b/>
          <w:bCs/>
          <w:color w:val="auto"/>
          <w:sz w:val="18"/>
          <w:szCs w:val="18"/>
          <w:highlight w:val="none"/>
          <w:lang w:val="en-US" w:eastAsia="zh-CN"/>
        </w:rPr>
        <w:t>准确的CAD规划</w:t>
      </w:r>
      <w:r>
        <w:rPr>
          <w:rFonts w:hint="eastAsia" w:ascii="宋体" w:hAnsi="宋体"/>
          <w:b/>
          <w:bCs/>
          <w:color w:val="auto"/>
          <w:sz w:val="18"/>
          <w:szCs w:val="18"/>
          <w:highlight w:val="none"/>
        </w:rPr>
        <w:t>布线图</w:t>
      </w:r>
      <w:r>
        <w:rPr>
          <w:rFonts w:hint="eastAsia" w:ascii="宋体" w:hAnsi="宋体"/>
          <w:b/>
          <w:bCs/>
          <w:color w:val="auto"/>
          <w:sz w:val="18"/>
          <w:szCs w:val="18"/>
          <w:highlight w:val="none"/>
          <w:lang w:eastAsia="zh-CN"/>
        </w:rPr>
        <w:t>，</w:t>
      </w:r>
      <w:r>
        <w:rPr>
          <w:rFonts w:hint="eastAsia" w:ascii="宋体" w:hAnsi="宋体"/>
          <w:b/>
          <w:bCs/>
          <w:color w:val="auto"/>
          <w:sz w:val="18"/>
          <w:szCs w:val="18"/>
          <w:highlight w:val="none"/>
          <w:lang w:val="zh-CN"/>
        </w:rPr>
        <w:t>自行估算单价</w:t>
      </w:r>
      <w:r>
        <w:rPr>
          <w:rFonts w:hint="eastAsia" w:ascii="宋体" w:hAnsi="宋体"/>
          <w:b/>
          <w:bCs/>
          <w:color w:val="auto"/>
          <w:sz w:val="18"/>
          <w:szCs w:val="18"/>
          <w:highlight w:val="none"/>
          <w:lang w:val="en-US" w:eastAsia="zh-CN"/>
        </w:rPr>
        <w:t>考虑在投标报价中。</w:t>
      </w:r>
      <w:r>
        <w:rPr>
          <w:rFonts w:hint="eastAsia" w:ascii="宋体" w:hAnsi="宋体"/>
          <w:b/>
          <w:bCs/>
          <w:color w:val="auto"/>
          <w:sz w:val="18"/>
          <w:szCs w:val="18"/>
          <w:highlight w:val="none"/>
        </w:rPr>
        <w:t>中标价格即为最终结算价</w:t>
      </w:r>
      <w:r>
        <w:rPr>
          <w:rFonts w:hint="eastAsia" w:ascii="宋体" w:hAnsi="宋体"/>
          <w:b/>
          <w:bCs/>
          <w:color w:val="auto"/>
          <w:sz w:val="18"/>
          <w:szCs w:val="18"/>
          <w:highlight w:val="none"/>
          <w:lang w:eastAsia="zh-CN"/>
        </w:rPr>
        <w:t>，</w:t>
      </w:r>
      <w:r>
        <w:rPr>
          <w:rFonts w:hint="eastAsia" w:ascii="宋体" w:hAnsi="宋体"/>
          <w:b/>
          <w:bCs/>
          <w:color w:val="auto"/>
          <w:sz w:val="18"/>
          <w:szCs w:val="18"/>
          <w:highlight w:val="none"/>
        </w:rPr>
        <w:t>中标单位不得以任何理由要求提高最终结算价；包括但不仅限于：中标单位投标文件的投标产品或实际供货产品高于以上配置、市场行为的调价、原材料上涨等情形。</w:t>
      </w:r>
    </w:p>
    <w:p>
      <w:pPr>
        <w:spacing w:line="520" w:lineRule="exact"/>
        <w:ind w:firstLine="3840" w:firstLineChars="800"/>
        <w:jc w:val="both"/>
        <w:rPr>
          <w:rFonts w:hint="eastAsia" w:ascii="宋体" w:hAnsi="宋体"/>
          <w:b/>
          <w:bCs/>
          <w:color w:val="000000" w:themeColor="text1"/>
          <w:sz w:val="48"/>
          <w:szCs w:val="56"/>
          <w:lang w:eastAsia="zh-CN"/>
          <w14:textFill>
            <w14:solidFill>
              <w14:schemeClr w14:val="tx1"/>
            </w14:solidFill>
          </w14:textFill>
        </w:rPr>
      </w:pPr>
    </w:p>
    <w:p>
      <w:pPr>
        <w:spacing w:line="520" w:lineRule="exact"/>
        <w:ind w:firstLine="3840" w:firstLineChars="800"/>
        <w:jc w:val="both"/>
        <w:rPr>
          <w:rFonts w:hint="eastAsia" w:ascii="宋体" w:hAnsi="宋体"/>
          <w:b/>
          <w:bCs/>
          <w:color w:val="000000" w:themeColor="text1"/>
          <w:sz w:val="48"/>
          <w:szCs w:val="56"/>
          <w:lang w:eastAsia="zh-CN"/>
          <w14:textFill>
            <w14:solidFill>
              <w14:schemeClr w14:val="tx1"/>
            </w14:solidFill>
          </w14:textFill>
        </w:rPr>
      </w:pPr>
    </w:p>
    <w:p>
      <w:pPr>
        <w:spacing w:line="520" w:lineRule="exact"/>
        <w:ind w:firstLine="3840" w:firstLineChars="800"/>
        <w:jc w:val="both"/>
        <w:rPr>
          <w:rFonts w:hint="eastAsia" w:ascii="宋体" w:hAnsi="宋体" w:eastAsia="宋体"/>
          <w:b/>
          <w:bCs/>
          <w:color w:val="000000" w:themeColor="text1"/>
          <w:sz w:val="48"/>
          <w:szCs w:val="56"/>
          <w:lang w:eastAsia="zh-CN"/>
          <w14:textFill>
            <w14:solidFill>
              <w14:schemeClr w14:val="tx1"/>
            </w14:solidFill>
          </w14:textFill>
        </w:rPr>
      </w:pPr>
      <w:r>
        <w:rPr>
          <w:rFonts w:hint="eastAsia" w:ascii="宋体" w:hAnsi="宋体"/>
          <w:b/>
          <w:bCs/>
          <w:color w:val="000000" w:themeColor="text1"/>
          <w:sz w:val="48"/>
          <w:szCs w:val="56"/>
          <w:lang w:eastAsia="zh-CN"/>
          <w14:textFill>
            <w14:solidFill>
              <w14:schemeClr w14:val="tx1"/>
            </w14:solidFill>
          </w14:textFill>
        </w:rPr>
        <w:t>图</w:t>
      </w:r>
      <w:r>
        <w:rPr>
          <w:rFonts w:hint="eastAsia" w:ascii="宋体" w:hAnsi="宋体"/>
          <w:b/>
          <w:bCs/>
          <w:color w:val="000000" w:themeColor="text1"/>
          <w:sz w:val="48"/>
          <w:szCs w:val="56"/>
          <w:lang w:val="en-US" w:eastAsia="zh-CN"/>
          <w14:textFill>
            <w14:solidFill>
              <w14:schemeClr w14:val="tx1"/>
            </w14:solidFill>
          </w14:textFill>
        </w:rPr>
        <w:t xml:space="preserve">    </w:t>
      </w:r>
      <w:r>
        <w:rPr>
          <w:rFonts w:hint="eastAsia" w:ascii="宋体" w:hAnsi="宋体"/>
          <w:b/>
          <w:bCs/>
          <w:color w:val="000000" w:themeColor="text1"/>
          <w:sz w:val="48"/>
          <w:szCs w:val="56"/>
          <w:lang w:eastAsia="zh-CN"/>
          <w14:textFill>
            <w14:solidFill>
              <w14:schemeClr w14:val="tx1"/>
            </w14:solidFill>
          </w14:textFill>
        </w:rPr>
        <w:t>纸</w:t>
      </w:r>
    </w:p>
    <w:p>
      <w:pPr>
        <w:jc w:val="center"/>
        <w:rPr>
          <w:rFonts w:hint="eastAsia" w:eastAsia="宋体"/>
          <w:lang w:eastAsia="zh-CN"/>
        </w:rPr>
      </w:pPr>
      <w:r>
        <w:rPr>
          <w:rFonts w:hint="eastAsia" w:eastAsia="宋体"/>
          <w:lang w:eastAsia="zh-CN"/>
        </w:rPr>
        <w:drawing>
          <wp:inline distT="0" distB="0" distL="114300" distR="114300">
            <wp:extent cx="5374005" cy="7165975"/>
            <wp:effectExtent l="0" t="0" r="5715" b="12065"/>
            <wp:docPr id="3" name="图片 3" descr="141e3dd13d4d5da26d1a3d3d13253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1e3dd13d4d5da26d1a3d3d132539a"/>
                    <pic:cNvPicPr>
                      <a:picLocks noChangeAspect="1"/>
                    </pic:cNvPicPr>
                  </pic:nvPicPr>
                  <pic:blipFill>
                    <a:blip r:embed="rId9"/>
                    <a:stretch>
                      <a:fillRect/>
                    </a:stretch>
                  </pic:blipFill>
                  <pic:spPr>
                    <a:xfrm>
                      <a:off x="0" y="0"/>
                      <a:ext cx="5374005" cy="7165975"/>
                    </a:xfrm>
                    <a:prstGeom prst="rect">
                      <a:avLst/>
                    </a:prstGeom>
                  </pic:spPr>
                </pic:pic>
              </a:graphicData>
            </a:graphic>
          </wp:inline>
        </w:drawing>
      </w:r>
    </w:p>
    <w:p>
      <w:pPr>
        <w:rPr>
          <w:rFonts w:hint="eastAsia" w:eastAsia="宋体"/>
          <w:lang w:eastAsia="zh-CN"/>
        </w:rPr>
      </w:pPr>
      <w:r>
        <w:rPr>
          <w:rFonts w:hint="eastAsia" w:eastAsia="宋体"/>
          <w:lang w:eastAsia="zh-CN"/>
        </w:rPr>
        <w:br w:type="page"/>
      </w:r>
    </w:p>
    <w:p>
      <w:pPr>
        <w:rPr>
          <w:rFonts w:hint="eastAsia" w:eastAsia="宋体"/>
          <w:lang w:eastAsia="zh-CN"/>
        </w:rPr>
      </w:pPr>
      <w:r>
        <w:rPr>
          <w:rFonts w:hint="eastAsia" w:eastAsia="宋体"/>
          <w:lang w:eastAsia="zh-CN"/>
        </w:rPr>
        <w:drawing>
          <wp:inline distT="0" distB="0" distL="114300" distR="114300">
            <wp:extent cx="5750560" cy="7666990"/>
            <wp:effectExtent l="0" t="0" r="2540" b="10160"/>
            <wp:docPr id="5" name="图片 5" descr="986c7db546a1dde8bc33c29b2f02f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86c7db546a1dde8bc33c29b2f02f6a"/>
                    <pic:cNvPicPr>
                      <a:picLocks noChangeAspect="1"/>
                    </pic:cNvPicPr>
                  </pic:nvPicPr>
                  <pic:blipFill>
                    <a:blip r:embed="rId10"/>
                    <a:stretch>
                      <a:fillRect/>
                    </a:stretch>
                  </pic:blipFill>
                  <pic:spPr>
                    <a:xfrm>
                      <a:off x="0" y="0"/>
                      <a:ext cx="5750560" cy="7666990"/>
                    </a:xfrm>
                    <a:prstGeom prst="rect">
                      <a:avLst/>
                    </a:prstGeom>
                  </pic:spPr>
                </pic:pic>
              </a:graphicData>
            </a:graphic>
          </wp:inline>
        </w:drawing>
      </w:r>
      <w:r>
        <w:rPr>
          <w:rFonts w:hint="eastAsia" w:eastAsia="宋体"/>
          <w:lang w:eastAsia="zh-CN"/>
        </w:rPr>
        <w:drawing>
          <wp:inline distT="0" distB="0" distL="114300" distR="114300">
            <wp:extent cx="5750560" cy="7666990"/>
            <wp:effectExtent l="0" t="0" r="2540" b="10160"/>
            <wp:docPr id="6" name="图片 6" descr="e7a80d229523c9b7fa3c99a0dae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7a80d229523c9b7fa3c99a0daebc60"/>
                    <pic:cNvPicPr>
                      <a:picLocks noChangeAspect="1"/>
                    </pic:cNvPicPr>
                  </pic:nvPicPr>
                  <pic:blipFill>
                    <a:blip r:embed="rId11"/>
                    <a:stretch>
                      <a:fillRect/>
                    </a:stretch>
                  </pic:blipFill>
                  <pic:spPr>
                    <a:xfrm>
                      <a:off x="0" y="0"/>
                      <a:ext cx="5750560" cy="7666990"/>
                    </a:xfrm>
                    <a:prstGeom prst="rect">
                      <a:avLst/>
                    </a:prstGeom>
                  </pic:spPr>
                </pic:pic>
              </a:graphicData>
            </a:graphic>
          </wp:inline>
        </w:drawing>
      </w:r>
      <w:r>
        <w:rPr>
          <w:rFonts w:hint="eastAsia" w:eastAsia="宋体"/>
          <w:lang w:eastAsia="zh-CN"/>
        </w:rPr>
        <w:drawing>
          <wp:inline distT="0" distB="0" distL="114300" distR="114300">
            <wp:extent cx="5750560" cy="7666990"/>
            <wp:effectExtent l="0" t="0" r="2540" b="10160"/>
            <wp:docPr id="7" name="图片 7" descr="99c20d72a57e994e5d64a56517618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9c20d72a57e994e5d64a565176181f"/>
                    <pic:cNvPicPr>
                      <a:picLocks noChangeAspect="1"/>
                    </pic:cNvPicPr>
                  </pic:nvPicPr>
                  <pic:blipFill>
                    <a:blip r:embed="rId12"/>
                    <a:stretch>
                      <a:fillRect/>
                    </a:stretch>
                  </pic:blipFill>
                  <pic:spPr>
                    <a:xfrm>
                      <a:off x="0" y="0"/>
                      <a:ext cx="5750560" cy="7666990"/>
                    </a:xfrm>
                    <a:prstGeom prst="rect">
                      <a:avLst/>
                    </a:prstGeom>
                  </pic:spPr>
                </pic:pic>
              </a:graphicData>
            </a:graphic>
          </wp:inline>
        </w:drawing>
      </w:r>
    </w:p>
    <w:p>
      <w:pPr>
        <w:pStyle w:val="2"/>
        <w:jc w:val="both"/>
      </w:pPr>
      <w:bookmarkStart w:id="576" w:name="_Toc17792"/>
      <w:bookmarkStart w:id="577" w:name="_Toc22771"/>
      <w:r>
        <w:rPr>
          <w:rFonts w:hint="eastAsia"/>
        </w:rPr>
        <w:t>第六章 投标文件格式</w:t>
      </w:r>
      <w:bookmarkEnd w:id="575"/>
      <w:bookmarkEnd w:id="576"/>
      <w:bookmarkEnd w:id="577"/>
    </w:p>
    <w:p>
      <w:pPr>
        <w:spacing w:line="360" w:lineRule="auto"/>
        <w:jc w:val="left"/>
        <w:rPr>
          <w:rFonts w:ascii="宋体" w:hAnsi="宋体"/>
          <w:b/>
          <w:sz w:val="32"/>
        </w:rPr>
      </w:pPr>
      <w:bookmarkStart w:id="578" w:name="_Toc16832"/>
      <w:bookmarkStart w:id="579" w:name="_Toc397928631"/>
      <w:bookmarkStart w:id="580" w:name="_Toc17400"/>
      <w:bookmarkStart w:id="581" w:name="_Toc511142522"/>
      <w:r>
        <w:rPr>
          <w:rStyle w:val="59"/>
          <w:rFonts w:hint="eastAsia" w:ascii="宋体" w:hAnsi="宋体" w:eastAsia="宋体"/>
        </w:rPr>
        <w:t>封面</w:t>
      </w:r>
      <w:bookmarkEnd w:id="578"/>
      <w:bookmarkEnd w:id="579"/>
      <w:bookmarkEnd w:id="580"/>
      <w:bookmarkEnd w:id="581"/>
    </w:p>
    <w:p>
      <w:pPr>
        <w:spacing w:line="360" w:lineRule="auto"/>
        <w:jc w:val="center"/>
        <w:rPr>
          <w:rFonts w:ascii="黑体" w:eastAsia="黑体"/>
          <w:b/>
          <w:sz w:val="32"/>
        </w:rPr>
      </w:pPr>
    </w:p>
    <w:p>
      <w:pPr>
        <w:jc w:val="center"/>
        <w:rPr>
          <w:rFonts w:ascii="宋体" w:hAnsi="宋体"/>
          <w:sz w:val="44"/>
          <w:szCs w:val="44"/>
        </w:rPr>
      </w:pPr>
      <w:r>
        <w:rPr>
          <w:rFonts w:hint="eastAsia" w:ascii="宋体" w:hAnsi="宋体"/>
          <w:sz w:val="44"/>
          <w:szCs w:val="44"/>
        </w:rPr>
        <w:t xml:space="preserve"> </w:t>
      </w:r>
    </w:p>
    <w:p>
      <w:pPr>
        <w:jc w:val="center"/>
        <w:rPr>
          <w:rFonts w:ascii="宋体" w:hAnsi="宋体"/>
          <w:sz w:val="44"/>
          <w:szCs w:val="44"/>
        </w:rPr>
      </w:pPr>
      <w:r>
        <w:rPr>
          <w:rFonts w:hint="eastAsia" w:ascii="宋体" w:hAnsi="宋体"/>
          <w:sz w:val="44"/>
          <w:szCs w:val="44"/>
          <w:u w:val="single"/>
        </w:rPr>
        <w:t xml:space="preserve"> （项目名称及标段）    </w:t>
      </w:r>
      <w:r>
        <w:rPr>
          <w:rFonts w:hint="eastAsia" w:ascii="宋体" w:hAnsi="宋体"/>
          <w:sz w:val="44"/>
          <w:szCs w:val="44"/>
        </w:rPr>
        <w:t>货物招标</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72"/>
          <w:szCs w:val="72"/>
        </w:rPr>
      </w:pPr>
    </w:p>
    <w:p>
      <w:pPr>
        <w:spacing w:line="360" w:lineRule="auto"/>
        <w:jc w:val="center"/>
        <w:rPr>
          <w:rFonts w:ascii="黑体" w:hAnsi="黑体" w:eastAsia="黑体"/>
          <w:sz w:val="96"/>
          <w:szCs w:val="96"/>
        </w:rPr>
      </w:pPr>
      <w:r>
        <w:rPr>
          <w:rFonts w:hint="eastAsia" w:ascii="黑体" w:hAnsi="黑体" w:eastAsia="黑体"/>
          <w:sz w:val="96"/>
          <w:szCs w:val="96"/>
        </w:rPr>
        <w:t>投 标 文 件</w:t>
      </w: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 xml:space="preserve">招标编号： </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ind w:firstLine="708" w:firstLineChars="253"/>
        <w:jc w:val="left"/>
        <w:rPr>
          <w:rFonts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pPr>
        <w:spacing w:line="360" w:lineRule="auto"/>
        <w:jc w:val="cente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ascii="黑体" w:eastAsia="黑体"/>
          <w:b/>
          <w:sz w:val="32"/>
        </w:rPr>
        <w:br w:type="page"/>
      </w:r>
      <w:bookmarkStart w:id="582" w:name="_Toc387526438"/>
      <w:bookmarkStart w:id="583" w:name="_Toc5230"/>
      <w:bookmarkStart w:id="584" w:name="_Toc387526346"/>
      <w:bookmarkStart w:id="585" w:name="_Toc397928632"/>
      <w:bookmarkStart w:id="586" w:name="_Toc387526242"/>
    </w:p>
    <w:p>
      <w:pPr>
        <w:pStyle w:val="159"/>
        <w:rPr>
          <w:rFonts w:hAnsi="宋体"/>
          <w:color w:val="auto"/>
        </w:rPr>
      </w:pPr>
      <w:bookmarkStart w:id="587" w:name="_Toc10507"/>
      <w:bookmarkStart w:id="588" w:name="_Toc26921"/>
      <w:bookmarkStart w:id="589" w:name="_Toc511142523"/>
      <w:r>
        <w:rPr>
          <w:rFonts w:hint="eastAsia"/>
          <w:color w:val="auto"/>
        </w:rPr>
        <w:t>1.投标函</w:t>
      </w:r>
      <w:bookmarkEnd w:id="582"/>
      <w:bookmarkEnd w:id="583"/>
      <w:bookmarkEnd w:id="584"/>
      <w:bookmarkEnd w:id="585"/>
      <w:bookmarkEnd w:id="586"/>
      <w:bookmarkEnd w:id="587"/>
      <w:bookmarkEnd w:id="588"/>
      <w:bookmarkEnd w:id="589"/>
    </w:p>
    <w:p>
      <w:pPr>
        <w:pStyle w:val="212"/>
        <w:spacing w:line="360" w:lineRule="auto"/>
        <w:jc w:val="center"/>
        <w:rPr>
          <w:rFonts w:hAnsi="宋体" w:cs="宋体"/>
          <w:sz w:val="32"/>
          <w:szCs w:val="32"/>
        </w:rPr>
      </w:pPr>
      <w:r>
        <w:rPr>
          <w:rFonts w:hint="eastAsia" w:hAnsi="宋体" w:cs="宋体"/>
          <w:sz w:val="32"/>
          <w:szCs w:val="32"/>
        </w:rPr>
        <w:t>投   标   函</w:t>
      </w:r>
    </w:p>
    <w:p>
      <w:pPr>
        <w:pStyle w:val="212"/>
        <w:spacing w:line="360" w:lineRule="auto"/>
        <w:rPr>
          <w:rFonts w:hAnsi="宋体" w:cs="宋体"/>
          <w:sz w:val="21"/>
          <w:szCs w:val="21"/>
        </w:rPr>
      </w:pPr>
      <w:r>
        <w:rPr>
          <w:rFonts w:hint="eastAsia" w:hAnsi="宋体" w:cs="宋体"/>
          <w:sz w:val="21"/>
          <w:szCs w:val="21"/>
          <w:u w:val="single"/>
        </w:rPr>
        <w:t xml:space="preserve">  </w:t>
      </w:r>
      <w:r>
        <w:rPr>
          <w:rFonts w:hint="eastAsia" w:hAnsi="宋体" w:cs="宋体"/>
          <w:iCs/>
          <w:sz w:val="21"/>
          <w:szCs w:val="21"/>
          <w:u w:val="single"/>
        </w:rPr>
        <w:t>（招标人）</w:t>
      </w:r>
      <w:r>
        <w:rPr>
          <w:rFonts w:hint="eastAsia" w:hAnsi="宋体" w:cs="宋体"/>
          <w:sz w:val="21"/>
          <w:szCs w:val="21"/>
          <w:u w:val="single"/>
        </w:rPr>
        <w:t xml:space="preserve">   </w:t>
      </w:r>
      <w:r>
        <w:rPr>
          <w:rFonts w:hint="eastAsia" w:hAnsi="宋体" w:cs="宋体"/>
          <w:sz w:val="21"/>
          <w:szCs w:val="21"/>
        </w:rPr>
        <w:t>：</w:t>
      </w:r>
    </w:p>
    <w:p>
      <w:pPr>
        <w:spacing w:line="360" w:lineRule="auto"/>
        <w:ind w:firstLine="420" w:firstLineChars="200"/>
        <w:rPr>
          <w:szCs w:val="21"/>
        </w:rPr>
      </w:pPr>
      <w:r>
        <w:rPr>
          <w:szCs w:val="21"/>
        </w:rPr>
        <w:t>1．我方已仔细研究了</w:t>
      </w:r>
      <w:r>
        <w:rPr>
          <w:szCs w:val="21"/>
          <w:u w:val="single"/>
        </w:rPr>
        <w:t xml:space="preserve">       </w:t>
      </w:r>
      <w:r>
        <w:rPr>
          <w:rFonts w:hint="eastAsia"/>
          <w:szCs w:val="21"/>
          <w:u w:val="single"/>
        </w:rPr>
        <w:t xml:space="preserve">     </w:t>
      </w:r>
      <w:r>
        <w:rPr>
          <w:szCs w:val="21"/>
          <w:u w:val="single"/>
        </w:rPr>
        <w:t xml:space="preserve">   </w:t>
      </w:r>
      <w:r>
        <w:rPr>
          <w:rFonts w:hint="eastAsia" w:ascii="宋体" w:hAnsi="TimesNewRomanPSMT" w:cs="宋体"/>
          <w:kern w:val="0"/>
          <w:szCs w:val="21"/>
        </w:rPr>
        <w:t>（项目名称及标段）货物招标文件</w:t>
      </w:r>
      <w:r>
        <w:rPr>
          <w:szCs w:val="21"/>
        </w:rPr>
        <w:t>的全部内容，愿意以人民币（大写）</w:t>
      </w:r>
      <w:r>
        <w:rPr>
          <w:szCs w:val="21"/>
          <w:u w:val="single"/>
        </w:rPr>
        <w:t xml:space="preserve">    </w:t>
      </w:r>
      <w:r>
        <w:rPr>
          <w:rFonts w:hint="eastAsia"/>
          <w:szCs w:val="21"/>
          <w:u w:val="single"/>
        </w:rPr>
        <w:t xml:space="preserve">         </w:t>
      </w:r>
      <w:r>
        <w:rPr>
          <w:szCs w:val="21"/>
          <w:u w:val="single"/>
        </w:rPr>
        <w:t xml:space="preserve">     </w:t>
      </w:r>
      <w:r>
        <w:rPr>
          <w:szCs w:val="21"/>
        </w:rPr>
        <w:t>（¥</w:t>
      </w:r>
      <w:r>
        <w:rPr>
          <w:szCs w:val="21"/>
          <w:u w:val="single"/>
        </w:rPr>
        <w:t xml:space="preserve">           </w:t>
      </w:r>
      <w:r>
        <w:rPr>
          <w:szCs w:val="21"/>
        </w:rPr>
        <w:t>）</w:t>
      </w:r>
      <w:r>
        <w:rPr>
          <w:rFonts w:hint="eastAsia"/>
          <w:szCs w:val="21"/>
        </w:rPr>
        <w:t>元</w:t>
      </w:r>
      <w:r>
        <w:rPr>
          <w:szCs w:val="21"/>
        </w:rPr>
        <w:t>的投标总报价，以</w:t>
      </w:r>
      <w:r>
        <w:rPr>
          <w:rFonts w:hint="eastAsia" w:hAnsi="宋体" w:cs="宋体"/>
          <w:szCs w:val="21"/>
          <w:u w:val="single"/>
        </w:rPr>
        <w:t xml:space="preserve"> （交货期或交付使用期）  </w:t>
      </w:r>
      <w:r>
        <w:rPr>
          <w:rFonts w:hint="eastAsia" w:hAnsi="宋体" w:cs="宋体"/>
          <w:szCs w:val="21"/>
        </w:rPr>
        <w:t>，并将按招标文件的规定履行合同责任和义务</w:t>
      </w:r>
      <w:r>
        <w:rPr>
          <w:szCs w:val="21"/>
        </w:rPr>
        <w:t>，</w:t>
      </w:r>
      <w:r>
        <w:rPr>
          <w:rFonts w:hint="eastAsia"/>
          <w:szCs w:val="21"/>
        </w:rPr>
        <w:t>实现工程目的</w:t>
      </w:r>
      <w:r>
        <w:rPr>
          <w:szCs w:val="21"/>
        </w:rPr>
        <w:t>。</w:t>
      </w:r>
    </w:p>
    <w:p>
      <w:pPr>
        <w:spacing w:line="360" w:lineRule="auto"/>
        <w:ind w:firstLine="420" w:firstLineChars="200"/>
        <w:rPr>
          <w:szCs w:val="21"/>
        </w:rPr>
      </w:pPr>
      <w:r>
        <w:rPr>
          <w:szCs w:val="21"/>
        </w:rPr>
        <w:t>2．我方承诺在</w:t>
      </w:r>
      <w:r>
        <w:rPr>
          <w:rFonts w:hint="eastAsia"/>
          <w:szCs w:val="21"/>
        </w:rPr>
        <w:t>招标文件规定的</w:t>
      </w:r>
      <w:r>
        <w:rPr>
          <w:szCs w:val="21"/>
        </w:rPr>
        <w:t>投标有效期内不修改、撤销投标文件</w:t>
      </w:r>
      <w:r>
        <w:rPr>
          <w:rFonts w:hint="eastAsia"/>
          <w:szCs w:val="21"/>
        </w:rPr>
        <w:t>。</w:t>
      </w:r>
    </w:p>
    <w:p>
      <w:pPr>
        <w:spacing w:line="360" w:lineRule="auto"/>
        <w:ind w:firstLine="420" w:firstLineChars="200"/>
        <w:rPr>
          <w:szCs w:val="21"/>
        </w:rPr>
      </w:pPr>
      <w:r>
        <w:rPr>
          <w:rFonts w:hint="eastAsia"/>
          <w:szCs w:val="21"/>
        </w:rPr>
        <w:t>3</w:t>
      </w:r>
      <w:r>
        <w:rPr>
          <w:szCs w:val="21"/>
        </w:rPr>
        <w:t>．如我方中标：</w:t>
      </w:r>
    </w:p>
    <w:p>
      <w:pPr>
        <w:spacing w:line="360" w:lineRule="auto"/>
        <w:ind w:firstLine="539" w:firstLineChars="257"/>
        <w:rPr>
          <w:szCs w:val="21"/>
        </w:rPr>
      </w:pPr>
      <w:r>
        <w:rPr>
          <w:szCs w:val="21"/>
        </w:rPr>
        <w:t>（1）我方承诺在收到中标通知书后，在中标通知书规定的期限内与你方签订合同。</w:t>
      </w:r>
    </w:p>
    <w:p>
      <w:pPr>
        <w:spacing w:line="360" w:lineRule="auto"/>
        <w:ind w:firstLine="539" w:firstLineChars="257"/>
        <w:rPr>
          <w:szCs w:val="21"/>
        </w:rPr>
      </w:pPr>
      <w:r>
        <w:rPr>
          <w:szCs w:val="21"/>
        </w:rPr>
        <w:t>（2）我方承诺按照招标文件规定向你方递交履约保证金。</w:t>
      </w:r>
    </w:p>
    <w:p>
      <w:pPr>
        <w:spacing w:line="360" w:lineRule="auto"/>
        <w:ind w:firstLine="539" w:firstLineChars="257"/>
        <w:rPr>
          <w:szCs w:val="21"/>
        </w:rPr>
      </w:pPr>
      <w:r>
        <w:rPr>
          <w:szCs w:val="21"/>
        </w:rPr>
        <w:t>（3）</w:t>
      </w:r>
      <w:r>
        <w:rPr>
          <w:rFonts w:hint="eastAsia"/>
          <w:szCs w:val="21"/>
        </w:rPr>
        <w:t>我方将严格履行本投标文件中的全部承诺和责任，并遵守招标文件中对投标人的所有规定。</w:t>
      </w:r>
    </w:p>
    <w:p>
      <w:pPr>
        <w:spacing w:line="360" w:lineRule="auto"/>
        <w:ind w:firstLine="420" w:firstLineChars="200"/>
        <w:rPr>
          <w:szCs w:val="21"/>
        </w:rPr>
      </w:pPr>
      <w:r>
        <w:rPr>
          <w:rFonts w:hint="eastAsia"/>
          <w:szCs w:val="21"/>
        </w:rPr>
        <w:t>4</w:t>
      </w:r>
      <w:r>
        <w:rPr>
          <w:szCs w:val="21"/>
        </w:rPr>
        <w:t>．</w:t>
      </w:r>
      <w:r>
        <w:rPr>
          <w:rFonts w:hint="eastAsia"/>
        </w:rPr>
        <w:t>我方在此声明，所递交的投标文件及有关资料内容完整、真实和准确，且不存在第二章“投标人须知”第1.4.3项规定的任何一种情形。</w:t>
      </w:r>
    </w:p>
    <w:p>
      <w:pPr>
        <w:spacing w:line="360" w:lineRule="auto"/>
        <w:ind w:firstLine="420" w:firstLineChars="200"/>
        <w:rPr>
          <w:szCs w:val="21"/>
        </w:rPr>
      </w:pPr>
      <w:r>
        <w:rPr>
          <w:rFonts w:hint="eastAsia"/>
          <w:szCs w:val="21"/>
        </w:rPr>
        <w:t>5．</w:t>
      </w:r>
      <w:r>
        <w:rPr>
          <w:szCs w:val="21"/>
          <w:u w:val="single"/>
        </w:rPr>
        <w:t xml:space="preserve">                                       </w:t>
      </w:r>
      <w:r>
        <w:rPr>
          <w:szCs w:val="21"/>
        </w:rPr>
        <w:t>（</w:t>
      </w:r>
      <w:r>
        <w:rPr>
          <w:rFonts w:hint="eastAsia"/>
          <w:szCs w:val="21"/>
        </w:rPr>
        <w:t>其他</w:t>
      </w:r>
      <w:r>
        <w:rPr>
          <w:szCs w:val="21"/>
        </w:rPr>
        <w:t>补充说明）。</w:t>
      </w:r>
    </w:p>
    <w:p>
      <w:pPr>
        <w:pStyle w:val="212"/>
        <w:spacing w:line="360" w:lineRule="auto"/>
        <w:ind w:firstLine="420" w:firstLineChars="200"/>
        <w:rPr>
          <w:rFonts w:hAnsi="宋体" w:cs="宋体"/>
          <w:sz w:val="21"/>
          <w:szCs w:val="21"/>
        </w:rPr>
      </w:pPr>
    </w:p>
    <w:p>
      <w:pPr>
        <w:pStyle w:val="212"/>
        <w:tabs>
          <w:tab w:val="left" w:pos="5665"/>
          <w:tab w:val="right" w:pos="8360"/>
        </w:tabs>
        <w:spacing w:line="360" w:lineRule="auto"/>
        <w:ind w:right="42" w:firstLine="1560" w:firstLineChars="650"/>
        <w:rPr>
          <w:rFonts w:hAnsi="宋体" w:cs="宋体"/>
          <w:sz w:val="24"/>
        </w:rPr>
      </w:pPr>
    </w:p>
    <w:p>
      <w:pPr>
        <w:pStyle w:val="212"/>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投标人(公章)：</w:t>
      </w:r>
      <w:r>
        <w:rPr>
          <w:rFonts w:hint="eastAsia" w:hAnsi="宋体" w:cs="宋体"/>
          <w:sz w:val="24"/>
          <w:u w:val="single"/>
        </w:rPr>
        <w:t xml:space="preserve">                                  </w:t>
      </w:r>
    </w:p>
    <w:p>
      <w:pPr>
        <w:pStyle w:val="212"/>
        <w:tabs>
          <w:tab w:val="left" w:pos="5665"/>
          <w:tab w:val="right" w:pos="8360"/>
        </w:tabs>
        <w:spacing w:line="360" w:lineRule="auto"/>
        <w:ind w:right="42" w:firstLine="1560" w:firstLineChars="650"/>
        <w:rPr>
          <w:rFonts w:hAnsi="宋体" w:cs="宋体"/>
          <w:sz w:val="24"/>
          <w:u w:val="single"/>
        </w:rPr>
      </w:pPr>
    </w:p>
    <w:p>
      <w:pPr>
        <w:pStyle w:val="212"/>
        <w:tabs>
          <w:tab w:val="left" w:pos="5665"/>
          <w:tab w:val="right" w:pos="8360"/>
        </w:tabs>
        <w:spacing w:line="360" w:lineRule="auto"/>
        <w:ind w:right="42" w:firstLine="1560" w:firstLineChars="650"/>
        <w:rPr>
          <w:rFonts w:hAnsi="宋体" w:cs="宋体"/>
          <w:sz w:val="24"/>
          <w:u w:val="single"/>
        </w:rPr>
      </w:pPr>
    </w:p>
    <w:p>
      <w:pPr>
        <w:pStyle w:val="212"/>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法人代表或授权委托人（签字或印章）：</w:t>
      </w:r>
      <w:r>
        <w:rPr>
          <w:rFonts w:hint="eastAsia" w:hAnsi="宋体" w:cs="宋体"/>
          <w:sz w:val="24"/>
          <w:u w:val="single"/>
        </w:rPr>
        <w:t xml:space="preserve">             </w:t>
      </w:r>
    </w:p>
    <w:p>
      <w:pPr>
        <w:pStyle w:val="212"/>
        <w:tabs>
          <w:tab w:val="left" w:pos="5665"/>
          <w:tab w:val="right" w:pos="8360"/>
        </w:tabs>
        <w:spacing w:line="360" w:lineRule="auto"/>
        <w:ind w:right="42" w:firstLine="1560" w:firstLineChars="650"/>
        <w:rPr>
          <w:rFonts w:hAnsi="宋体" w:cs="宋体"/>
          <w:sz w:val="24"/>
          <w:u w:val="single"/>
        </w:rPr>
      </w:pPr>
    </w:p>
    <w:p>
      <w:pPr>
        <w:pStyle w:val="212"/>
        <w:tabs>
          <w:tab w:val="left" w:pos="5665"/>
          <w:tab w:val="right" w:pos="8360"/>
        </w:tabs>
        <w:spacing w:line="360" w:lineRule="auto"/>
        <w:ind w:right="42" w:firstLine="1560" w:firstLineChars="650"/>
        <w:rPr>
          <w:rFonts w:hAnsi="宋体" w:cs="宋体"/>
          <w:sz w:val="24"/>
          <w:u w:val="single"/>
        </w:rPr>
      </w:pPr>
    </w:p>
    <w:p>
      <w:pPr>
        <w:pStyle w:val="212"/>
        <w:tabs>
          <w:tab w:val="left" w:pos="5665"/>
          <w:tab w:val="right" w:pos="8360"/>
        </w:tabs>
        <w:spacing w:line="360" w:lineRule="auto"/>
        <w:ind w:right="42" w:firstLine="1575" w:firstLineChars="750"/>
        <w:jc w:val="left"/>
        <w:rPr>
          <w:rFonts w:hAnsi="宋体" w:cs="宋体"/>
          <w:sz w:val="21"/>
          <w:szCs w:val="21"/>
          <w:u w:val="single"/>
        </w:rPr>
      </w:pPr>
      <w:r>
        <w:rPr>
          <w:rFonts w:hint="eastAsia" w:hAnsi="宋体" w:cs="宋体"/>
          <w:sz w:val="21"/>
          <w:szCs w:val="21"/>
        </w:rPr>
        <w:t>日 期：</w:t>
      </w:r>
      <w:r>
        <w:rPr>
          <w:rFonts w:hint="eastAsia" w:hAnsi="宋体" w:cs="宋体"/>
          <w:sz w:val="21"/>
          <w:szCs w:val="21"/>
          <w:u w:val="single"/>
        </w:rPr>
        <w:t xml:space="preserve">                                                </w:t>
      </w:r>
    </w:p>
    <w:p>
      <w:pPr>
        <w:pStyle w:val="212"/>
        <w:tabs>
          <w:tab w:val="left" w:pos="5665"/>
          <w:tab w:val="right" w:pos="8360"/>
        </w:tabs>
        <w:spacing w:line="360" w:lineRule="auto"/>
        <w:ind w:right="42" w:firstLine="1365" w:firstLineChars="650"/>
        <w:jc w:val="left"/>
        <w:rPr>
          <w:rFonts w:hAnsi="宋体" w:cs="宋体"/>
          <w:sz w:val="21"/>
          <w:szCs w:val="21"/>
          <w:u w:val="single"/>
        </w:rPr>
      </w:pPr>
    </w:p>
    <w:p>
      <w:pPr>
        <w:pStyle w:val="212"/>
        <w:tabs>
          <w:tab w:val="left" w:pos="5665"/>
          <w:tab w:val="right" w:pos="8360"/>
        </w:tabs>
        <w:spacing w:line="360" w:lineRule="auto"/>
        <w:ind w:right="42" w:firstLine="1365" w:firstLineChars="650"/>
        <w:jc w:val="left"/>
        <w:rPr>
          <w:rFonts w:hAnsi="宋体" w:cs="宋体"/>
          <w:b/>
          <w:sz w:val="21"/>
          <w:szCs w:val="21"/>
          <w:u w:val="single"/>
        </w:rPr>
      </w:pPr>
    </w:p>
    <w:p>
      <w:pPr>
        <w:pStyle w:val="159"/>
        <w:rPr>
          <w:color w:val="auto"/>
        </w:rPr>
      </w:pPr>
      <w:bookmarkStart w:id="590" w:name="_Toc387526347"/>
      <w:bookmarkStart w:id="591" w:name="_Toc4085"/>
      <w:bookmarkStart w:id="592" w:name="_Toc387526243"/>
      <w:bookmarkStart w:id="593" w:name="_Toc387526439"/>
      <w:r>
        <w:rPr>
          <w:color w:val="auto"/>
        </w:rPr>
        <w:br w:type="page"/>
      </w:r>
      <w:bookmarkStart w:id="594" w:name="_Toc511142524"/>
      <w:bookmarkStart w:id="595" w:name="_Toc397928633"/>
      <w:bookmarkStart w:id="596" w:name="_Toc28707"/>
      <w:bookmarkStart w:id="597" w:name="_Toc26656"/>
      <w:r>
        <w:rPr>
          <w:rFonts w:hint="eastAsia"/>
          <w:color w:val="auto"/>
        </w:rPr>
        <w:t>2.投标报价汇总表</w:t>
      </w:r>
      <w:bookmarkEnd w:id="590"/>
      <w:bookmarkEnd w:id="591"/>
      <w:bookmarkEnd w:id="592"/>
      <w:bookmarkEnd w:id="593"/>
      <w:bookmarkEnd w:id="594"/>
      <w:bookmarkEnd w:id="595"/>
      <w:bookmarkEnd w:id="596"/>
      <w:bookmarkEnd w:id="597"/>
    </w:p>
    <w:p>
      <w:pPr>
        <w:autoSpaceDE w:val="0"/>
        <w:autoSpaceDN w:val="0"/>
        <w:spacing w:line="360" w:lineRule="auto"/>
        <w:ind w:right="-5"/>
        <w:jc w:val="center"/>
        <w:textAlignment w:val="bottom"/>
        <w:rPr>
          <w:rFonts w:ascii="宋体" w:hAnsi="宋体" w:cs="宋体"/>
          <w:sz w:val="32"/>
          <w:szCs w:val="32"/>
        </w:rPr>
      </w:pPr>
      <w:r>
        <w:rPr>
          <w:rFonts w:hint="eastAsia" w:ascii="宋体" w:hAnsi="宋体" w:cs="宋体"/>
          <w:sz w:val="32"/>
          <w:szCs w:val="32"/>
        </w:rPr>
        <w:t>投标报价汇总表</w:t>
      </w:r>
    </w:p>
    <w:p>
      <w:pPr>
        <w:spacing w:line="360" w:lineRule="auto"/>
        <w:jc w:val="left"/>
        <w:rPr>
          <w:rFonts w:ascii="宋体" w:hAnsi="宋体" w:cs="宋体"/>
          <w:b/>
          <w:szCs w:val="21"/>
        </w:rPr>
      </w:pPr>
      <w:r>
        <w:rPr>
          <w:rFonts w:hint="eastAsia" w:ascii="宋体" w:hAnsi="宋体" w:cs="宋体"/>
          <w:szCs w:val="21"/>
        </w:rPr>
        <w:t>项目名称：</w:t>
      </w:r>
      <w:r>
        <w:rPr>
          <w:rFonts w:hint="eastAsia" w:ascii="宋体" w:hAnsi="宋体" w:cs="宋体"/>
          <w:b/>
          <w:szCs w:val="21"/>
        </w:rPr>
        <w:t xml:space="preserve"> </w:t>
      </w:r>
    </w:p>
    <w:p>
      <w:pPr>
        <w:spacing w:line="360" w:lineRule="auto"/>
        <w:rPr>
          <w:rFonts w:ascii="宋体" w:hAnsi="宋体" w:cs="宋体"/>
          <w:szCs w:val="21"/>
        </w:rPr>
      </w:pPr>
      <w:r>
        <w:rPr>
          <w:rFonts w:hint="eastAsia" w:ascii="宋体" w:hAnsi="宋体" w:cs="宋体"/>
          <w:szCs w:val="21"/>
        </w:rPr>
        <w:t xml:space="preserve">招标编号：                                   标段号：（如有时）  </w:t>
      </w:r>
    </w:p>
    <w:tbl>
      <w:tblPr>
        <w:tblStyle w:val="48"/>
        <w:tblW w:w="9167" w:type="dxa"/>
        <w:jc w:val="center"/>
        <w:tblInd w:w="0" w:type="dxa"/>
        <w:tblLayout w:type="fixed"/>
        <w:tblCellMar>
          <w:top w:w="0" w:type="dxa"/>
          <w:left w:w="30" w:type="dxa"/>
          <w:bottom w:w="0" w:type="dxa"/>
          <w:right w:w="30" w:type="dxa"/>
        </w:tblCellMar>
      </w:tblPr>
      <w:tblGrid>
        <w:gridCol w:w="840"/>
        <w:gridCol w:w="3585"/>
        <w:gridCol w:w="2976"/>
        <w:gridCol w:w="1766"/>
      </w:tblGrid>
      <w:tr>
        <w:tblPrEx>
          <w:tblLayout w:type="fixed"/>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序号</w:t>
            </w:r>
          </w:p>
        </w:tc>
        <w:tc>
          <w:tcPr>
            <w:tcW w:w="3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内容</w:t>
            </w: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价格（</w:t>
            </w:r>
            <w:r>
              <w:rPr>
                <w:rFonts w:hint="eastAsia" w:ascii="宋体" w:hAnsi="宋体" w:cs="宋体"/>
                <w:bCs/>
                <w:szCs w:val="21"/>
              </w:rPr>
              <w:t>人民币万元）</w:t>
            </w: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备注</w:t>
            </w:r>
          </w:p>
        </w:tc>
      </w:tr>
      <w:tr>
        <w:tblPrEx>
          <w:tblLayout w:type="fixed"/>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3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szCs w:val="21"/>
              </w:rPr>
            </w:pP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r>
      <w:tr>
        <w:tblPrEx>
          <w:tblLayout w:type="fixed"/>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w:t>
            </w:r>
          </w:p>
        </w:tc>
        <w:tc>
          <w:tcPr>
            <w:tcW w:w="3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szCs w:val="21"/>
              </w:rPr>
            </w:pP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r>
      <w:tr>
        <w:tblPrEx>
          <w:tblLayout w:type="fixed"/>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3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szCs w:val="21"/>
              </w:rPr>
            </w:pP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r>
      <w:tr>
        <w:tblPrEx>
          <w:tblLayout w:type="fixed"/>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3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szCs w:val="21"/>
              </w:rPr>
            </w:pP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r>
      <w:tr>
        <w:tblPrEx>
          <w:tblLayout w:type="fixed"/>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3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szCs w:val="21"/>
              </w:rPr>
            </w:pP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r>
      <w:tr>
        <w:tblPrEx>
          <w:tblLayout w:type="fixed"/>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358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Cs w:val="21"/>
              </w:rPr>
            </w:pPr>
            <w:r>
              <w:rPr>
                <w:rFonts w:hint="eastAsia" w:ascii="宋体" w:hAnsi="宋体" w:cs="宋体"/>
                <w:szCs w:val="21"/>
              </w:rPr>
              <w:t>……</w:t>
            </w: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r>
      <w:tr>
        <w:tblPrEx>
          <w:tblLayout w:type="fixed"/>
          <w:tblCellMar>
            <w:top w:w="0" w:type="dxa"/>
            <w:left w:w="30" w:type="dxa"/>
            <w:bottom w:w="0" w:type="dxa"/>
            <w:right w:w="30" w:type="dxa"/>
          </w:tblCellMar>
        </w:tblPrEx>
        <w:trPr>
          <w:trHeight w:val="445" w:hRule="atLeast"/>
          <w:jc w:val="center"/>
        </w:trPr>
        <w:tc>
          <w:tcPr>
            <w:tcW w:w="44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投标总价（人民币小写）</w:t>
            </w:r>
          </w:p>
        </w:tc>
        <w:tc>
          <w:tcPr>
            <w:tcW w:w="2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ascii="宋体" w:hAnsi="宋体" w:cs="宋体"/>
                <w:szCs w:val="21"/>
              </w:rPr>
            </w:pPr>
          </w:p>
        </w:tc>
      </w:tr>
      <w:tr>
        <w:tblPrEx>
          <w:tblLayout w:type="fixed"/>
          <w:tblCellMar>
            <w:top w:w="0" w:type="dxa"/>
            <w:left w:w="30" w:type="dxa"/>
            <w:bottom w:w="0" w:type="dxa"/>
            <w:right w:w="30" w:type="dxa"/>
          </w:tblCellMar>
        </w:tblPrEx>
        <w:trPr>
          <w:trHeight w:val="635" w:hRule="atLeast"/>
          <w:jc w:val="center"/>
        </w:trPr>
        <w:tc>
          <w:tcPr>
            <w:tcW w:w="9167" w:type="dxa"/>
            <w:gridSpan w:val="4"/>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投标总价（人民币大写）：</w:t>
            </w:r>
          </w:p>
        </w:tc>
      </w:tr>
      <w:tr>
        <w:tblPrEx>
          <w:tblLayout w:type="fixed"/>
          <w:tblCellMar>
            <w:top w:w="0" w:type="dxa"/>
            <w:left w:w="30" w:type="dxa"/>
            <w:bottom w:w="0" w:type="dxa"/>
            <w:right w:w="30" w:type="dxa"/>
          </w:tblCellMar>
        </w:tblPrEx>
        <w:trPr>
          <w:trHeight w:val="667" w:hRule="atLeast"/>
          <w:jc w:val="center"/>
        </w:trPr>
        <w:tc>
          <w:tcPr>
            <w:tcW w:w="9167" w:type="dxa"/>
            <w:gridSpan w:val="4"/>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 xml:space="preserve">投标保证金： </w:t>
            </w:r>
          </w:p>
        </w:tc>
      </w:tr>
      <w:tr>
        <w:tblPrEx>
          <w:tblLayout w:type="fixed"/>
          <w:tblCellMar>
            <w:top w:w="0" w:type="dxa"/>
            <w:left w:w="30" w:type="dxa"/>
            <w:bottom w:w="0" w:type="dxa"/>
            <w:right w:w="30" w:type="dxa"/>
          </w:tblCellMar>
        </w:tblPrEx>
        <w:trPr>
          <w:trHeight w:val="667" w:hRule="atLeast"/>
          <w:jc w:val="center"/>
        </w:trPr>
        <w:tc>
          <w:tcPr>
            <w:tcW w:w="9167" w:type="dxa"/>
            <w:gridSpan w:val="4"/>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供货期或交付使用期：</w:t>
            </w:r>
          </w:p>
        </w:tc>
      </w:tr>
      <w:tr>
        <w:tblPrEx>
          <w:tblLayout w:type="fixed"/>
          <w:tblCellMar>
            <w:top w:w="0" w:type="dxa"/>
            <w:left w:w="30" w:type="dxa"/>
            <w:bottom w:w="0" w:type="dxa"/>
            <w:right w:w="30" w:type="dxa"/>
          </w:tblCellMar>
        </w:tblPrEx>
        <w:trPr>
          <w:trHeight w:val="646" w:hRule="atLeast"/>
          <w:jc w:val="center"/>
        </w:trPr>
        <w:tc>
          <w:tcPr>
            <w:tcW w:w="9167" w:type="dxa"/>
            <w:gridSpan w:val="4"/>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优惠条件：（如有时）</w:t>
            </w:r>
          </w:p>
        </w:tc>
      </w:tr>
    </w:tbl>
    <w:p>
      <w:pPr>
        <w:autoSpaceDE w:val="0"/>
        <w:autoSpaceDN w:val="0"/>
        <w:spacing w:line="360" w:lineRule="auto"/>
        <w:ind w:right="-5"/>
        <w:textAlignment w:val="bottom"/>
        <w:rPr>
          <w:rFonts w:ascii="宋体" w:hAnsi="宋体" w:cs="宋体"/>
          <w:szCs w:val="21"/>
        </w:rPr>
      </w:pPr>
      <w:r>
        <w:rPr>
          <w:rFonts w:hint="eastAsia" w:ascii="宋体" w:hAnsi="宋体" w:cs="宋体"/>
          <w:szCs w:val="21"/>
        </w:rPr>
        <w:t>注：此表的投标总价中已包含投标人完成本招标项目的一切费用，与开标一览表的投标报价一致；</w:t>
      </w:r>
    </w:p>
    <w:p>
      <w:pPr>
        <w:autoSpaceDE w:val="0"/>
        <w:autoSpaceDN w:val="0"/>
        <w:spacing w:line="360" w:lineRule="auto"/>
        <w:ind w:right="-5" w:firstLine="3780" w:firstLineChars="1800"/>
        <w:textAlignment w:val="bottom"/>
        <w:rPr>
          <w:rFonts w:ascii="宋体" w:hAnsi="宋体" w:cs="宋体"/>
          <w:szCs w:val="21"/>
        </w:rPr>
      </w:pPr>
    </w:p>
    <w:p>
      <w:pPr>
        <w:pStyle w:val="212"/>
        <w:tabs>
          <w:tab w:val="left" w:pos="5665"/>
          <w:tab w:val="right" w:pos="8360"/>
        </w:tabs>
        <w:ind w:right="42" w:firstLine="1560" w:firstLineChars="650"/>
        <w:rPr>
          <w:rFonts w:hAnsi="宋体" w:cs="宋体"/>
          <w:sz w:val="24"/>
          <w:u w:val="single"/>
        </w:rPr>
      </w:pPr>
      <w:r>
        <w:rPr>
          <w:rFonts w:hint="eastAsia" w:hAnsi="宋体" w:cs="宋体"/>
          <w:sz w:val="24"/>
        </w:rPr>
        <w:t>投标人(公章)：</w:t>
      </w:r>
      <w:r>
        <w:rPr>
          <w:rFonts w:hint="eastAsia" w:hAnsi="宋体" w:cs="宋体"/>
          <w:sz w:val="24"/>
          <w:u w:val="single"/>
        </w:rPr>
        <w:t xml:space="preserve">                                  </w:t>
      </w:r>
    </w:p>
    <w:p>
      <w:pPr>
        <w:pStyle w:val="212"/>
        <w:tabs>
          <w:tab w:val="left" w:pos="5665"/>
          <w:tab w:val="right" w:pos="8360"/>
        </w:tabs>
        <w:ind w:right="42" w:firstLine="1560" w:firstLineChars="650"/>
        <w:rPr>
          <w:rFonts w:hAnsi="宋体" w:cs="宋体"/>
          <w:sz w:val="24"/>
          <w:u w:val="single"/>
        </w:rPr>
      </w:pPr>
    </w:p>
    <w:p>
      <w:pPr>
        <w:pStyle w:val="212"/>
        <w:tabs>
          <w:tab w:val="left" w:pos="5665"/>
          <w:tab w:val="right" w:pos="8360"/>
        </w:tabs>
        <w:ind w:right="42" w:firstLine="1560" w:firstLineChars="650"/>
        <w:rPr>
          <w:rFonts w:hAnsi="宋体" w:cs="宋体"/>
          <w:sz w:val="24"/>
          <w:u w:val="single"/>
        </w:rPr>
      </w:pPr>
      <w:r>
        <w:rPr>
          <w:rFonts w:hint="eastAsia" w:hAnsi="宋体" w:cs="宋体"/>
          <w:sz w:val="24"/>
        </w:rPr>
        <w:t>法人代表或授权委托人（签字或印章）：</w:t>
      </w:r>
      <w:r>
        <w:rPr>
          <w:rFonts w:hint="eastAsia" w:hAnsi="宋体" w:cs="宋体"/>
          <w:sz w:val="24"/>
          <w:u w:val="single"/>
        </w:rPr>
        <w:t xml:space="preserve">             </w:t>
      </w:r>
    </w:p>
    <w:p>
      <w:pPr>
        <w:pStyle w:val="212"/>
        <w:tabs>
          <w:tab w:val="left" w:pos="5665"/>
          <w:tab w:val="right" w:pos="8360"/>
        </w:tabs>
        <w:ind w:right="42" w:firstLine="1560" w:firstLineChars="650"/>
        <w:rPr>
          <w:rFonts w:hAnsi="宋体" w:cs="宋体"/>
          <w:sz w:val="24"/>
          <w:u w:val="single"/>
        </w:rPr>
      </w:pPr>
    </w:p>
    <w:p>
      <w:pPr>
        <w:pStyle w:val="212"/>
        <w:tabs>
          <w:tab w:val="left" w:pos="5665"/>
          <w:tab w:val="right" w:pos="8360"/>
        </w:tabs>
        <w:ind w:right="42" w:firstLine="1575" w:firstLineChars="750"/>
        <w:jc w:val="left"/>
        <w:rPr>
          <w:rFonts w:hAnsi="宋体" w:cs="宋体"/>
          <w:sz w:val="21"/>
          <w:szCs w:val="21"/>
          <w:u w:val="single"/>
        </w:rPr>
      </w:pPr>
      <w:r>
        <w:rPr>
          <w:rFonts w:hint="eastAsia" w:hAnsi="宋体" w:cs="宋体"/>
          <w:sz w:val="21"/>
          <w:szCs w:val="21"/>
        </w:rPr>
        <w:t>日 期：</w:t>
      </w:r>
      <w:r>
        <w:rPr>
          <w:rFonts w:hint="eastAsia" w:hAnsi="宋体" w:cs="宋体"/>
          <w:sz w:val="21"/>
          <w:szCs w:val="21"/>
          <w:u w:val="single"/>
        </w:rPr>
        <w:t xml:space="preserve">                                                </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b/>
          <w:sz w:val="24"/>
        </w:rPr>
      </w:pPr>
      <w:r>
        <w:rPr>
          <w:rFonts w:hint="eastAsia" w:ascii="宋体"/>
          <w:b/>
          <w:szCs w:val="21"/>
        </w:rPr>
        <w:br w:type="page"/>
      </w:r>
      <w:r>
        <w:rPr>
          <w:rFonts w:hint="eastAsia" w:ascii="宋体"/>
          <w:b/>
          <w:sz w:val="24"/>
        </w:rPr>
        <w:t xml:space="preserve">2.1货物分项报价表 </w:t>
      </w:r>
    </w:p>
    <w:p>
      <w:pPr>
        <w:spacing w:line="360" w:lineRule="auto"/>
        <w:jc w:val="center"/>
        <w:rPr>
          <w:rFonts w:ascii="宋体" w:hAnsi="宋体" w:cs="宋体"/>
          <w:sz w:val="32"/>
          <w:szCs w:val="32"/>
        </w:rPr>
      </w:pPr>
      <w:r>
        <w:rPr>
          <w:rFonts w:hint="eastAsia" w:ascii="宋体" w:hAnsi="宋体" w:cs="宋体"/>
          <w:sz w:val="32"/>
          <w:szCs w:val="32"/>
        </w:rPr>
        <w:t>货物分项报价表</w:t>
      </w:r>
    </w:p>
    <w:p>
      <w:pPr>
        <w:spacing w:line="360" w:lineRule="auto"/>
        <w:rPr>
          <w:rFonts w:ascii="宋体"/>
          <w:sz w:val="24"/>
        </w:rPr>
      </w:pPr>
    </w:p>
    <w:p>
      <w:pPr>
        <w:spacing w:line="360" w:lineRule="auto"/>
        <w:jc w:val="left"/>
        <w:rPr>
          <w:rFonts w:ascii="宋体" w:hAnsi="宋体" w:cs="宋体"/>
          <w:szCs w:val="21"/>
        </w:rPr>
      </w:pPr>
      <w:r>
        <w:rPr>
          <w:rFonts w:hint="eastAsia" w:ascii="宋体" w:hAnsi="宋体" w:cs="宋体"/>
          <w:szCs w:val="21"/>
        </w:rPr>
        <w:t xml:space="preserve">项目名称：                                  </w:t>
      </w:r>
    </w:p>
    <w:p>
      <w:pPr>
        <w:spacing w:line="360" w:lineRule="auto"/>
        <w:jc w:val="left"/>
        <w:rPr>
          <w:rFonts w:ascii="宋体" w:hAnsi="宋体" w:cs="宋体"/>
          <w:szCs w:val="21"/>
        </w:rPr>
      </w:pPr>
      <w:r>
        <w:rPr>
          <w:rFonts w:hint="eastAsia" w:ascii="宋体" w:hAnsi="宋体" w:cs="宋体"/>
          <w:szCs w:val="21"/>
        </w:rPr>
        <w:t xml:space="preserve">招标编号：                                  </w:t>
      </w:r>
    </w:p>
    <w:p>
      <w:pPr>
        <w:spacing w:line="360" w:lineRule="auto"/>
        <w:jc w:val="left"/>
        <w:rPr>
          <w:rFonts w:ascii="宋体" w:hAnsi="宋体" w:cs="宋体"/>
          <w:szCs w:val="21"/>
        </w:rPr>
      </w:pPr>
      <w:r>
        <w:rPr>
          <w:rFonts w:hint="eastAsia" w:ascii="宋体" w:hAnsi="宋体" w:cs="宋体"/>
          <w:szCs w:val="21"/>
        </w:rPr>
        <w:t>报价单位：人民币万元</w:t>
      </w:r>
    </w:p>
    <w:tbl>
      <w:tblPr>
        <w:tblStyle w:val="48"/>
        <w:tblW w:w="8610" w:type="dxa"/>
        <w:tblInd w:w="3" w:type="dxa"/>
        <w:tblLayout w:type="fixed"/>
        <w:tblCellMar>
          <w:top w:w="0" w:type="dxa"/>
          <w:left w:w="108" w:type="dxa"/>
          <w:bottom w:w="0" w:type="dxa"/>
          <w:right w:w="108" w:type="dxa"/>
        </w:tblCellMar>
      </w:tblPr>
      <w:tblGrid>
        <w:gridCol w:w="735"/>
        <w:gridCol w:w="1680"/>
        <w:gridCol w:w="1470"/>
        <w:gridCol w:w="728"/>
        <w:gridCol w:w="784"/>
        <w:gridCol w:w="898"/>
        <w:gridCol w:w="898"/>
        <w:gridCol w:w="1417"/>
      </w:tblGrid>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序号</w:t>
            </w:r>
          </w:p>
        </w:tc>
        <w:tc>
          <w:tcPr>
            <w:tcW w:w="1680"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货物名称</w:t>
            </w:r>
          </w:p>
        </w:tc>
        <w:tc>
          <w:tcPr>
            <w:tcW w:w="1470"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型号及规格</w:t>
            </w:r>
          </w:p>
        </w:tc>
        <w:tc>
          <w:tcPr>
            <w:tcW w:w="72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单位</w:t>
            </w:r>
          </w:p>
        </w:tc>
        <w:tc>
          <w:tcPr>
            <w:tcW w:w="784"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数量</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单价</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总价</w:t>
            </w:r>
          </w:p>
        </w:tc>
        <w:tc>
          <w:tcPr>
            <w:tcW w:w="1417"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ascii="宋体" w:hAnsi="宋体" w:cs="宋体"/>
                <w:szCs w:val="21"/>
              </w:rPr>
            </w:pPr>
            <w:r>
              <w:rPr>
                <w:rFonts w:hint="eastAsia" w:ascii="宋体" w:hAnsi="宋体" w:cs="宋体"/>
                <w:szCs w:val="21"/>
              </w:rPr>
              <w:t>制造商/产地</w:t>
            </w: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szCs w:val="21"/>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r>
        <w:tblPrEx>
          <w:tblLayout w:type="fixed"/>
          <w:tblCellMar>
            <w:top w:w="0" w:type="dxa"/>
            <w:left w:w="108" w:type="dxa"/>
            <w:bottom w:w="0" w:type="dxa"/>
            <w:right w:w="108" w:type="dxa"/>
          </w:tblCellMar>
        </w:tblPrEx>
        <w:trPr>
          <w:cantSplit/>
          <w:trHeight w:val="655" w:hRule="atLeast"/>
        </w:trPr>
        <w:tc>
          <w:tcPr>
            <w:tcW w:w="6295" w:type="dxa"/>
            <w:gridSpan w:val="6"/>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szCs w:val="21"/>
              </w:rPr>
            </w:pPr>
            <w:r>
              <w:rPr>
                <w:rFonts w:hint="eastAsia" w:ascii="宋体" w:hAnsi="宋体" w:cs="宋体"/>
                <w:szCs w:val="21"/>
              </w:rPr>
              <w:t>货物分项报价汇总</w:t>
            </w:r>
          </w:p>
        </w:tc>
        <w:tc>
          <w:tcPr>
            <w:tcW w:w="2315" w:type="dxa"/>
            <w:gridSpan w:val="2"/>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szCs w:val="21"/>
              </w:rPr>
            </w:pPr>
          </w:p>
        </w:tc>
      </w:tr>
    </w:tbl>
    <w:p>
      <w:pPr>
        <w:spacing w:line="360" w:lineRule="auto"/>
        <w:jc w:val="right"/>
        <w:rPr>
          <w:rFonts w:ascii="宋体"/>
          <w:sz w:val="24"/>
        </w:rPr>
      </w:pPr>
    </w:p>
    <w:p>
      <w:pPr>
        <w:pStyle w:val="212"/>
        <w:tabs>
          <w:tab w:val="left" w:pos="5665"/>
          <w:tab w:val="right" w:pos="8360"/>
        </w:tabs>
        <w:ind w:right="42" w:firstLine="1560" w:firstLineChars="650"/>
        <w:rPr>
          <w:rFonts w:hAnsi="宋体" w:cs="宋体"/>
          <w:sz w:val="24"/>
        </w:rPr>
      </w:pPr>
    </w:p>
    <w:p>
      <w:pPr>
        <w:pStyle w:val="212"/>
        <w:tabs>
          <w:tab w:val="left" w:pos="5665"/>
          <w:tab w:val="right" w:pos="8360"/>
        </w:tabs>
        <w:ind w:right="42" w:firstLine="1560" w:firstLineChars="650"/>
        <w:rPr>
          <w:rFonts w:hAnsi="宋体" w:cs="宋体"/>
          <w:sz w:val="24"/>
          <w:u w:val="single"/>
        </w:rPr>
      </w:pPr>
      <w:r>
        <w:rPr>
          <w:rFonts w:hint="eastAsia" w:hAnsi="宋体" w:cs="宋体"/>
          <w:sz w:val="24"/>
        </w:rPr>
        <w:t>投标人(公章)：</w:t>
      </w:r>
      <w:r>
        <w:rPr>
          <w:rFonts w:hint="eastAsia" w:hAnsi="宋体" w:cs="宋体"/>
          <w:sz w:val="24"/>
          <w:u w:val="single"/>
        </w:rPr>
        <w:t xml:space="preserve">                                  </w:t>
      </w:r>
    </w:p>
    <w:p>
      <w:pPr>
        <w:pStyle w:val="212"/>
        <w:tabs>
          <w:tab w:val="left" w:pos="5665"/>
          <w:tab w:val="right" w:pos="8360"/>
        </w:tabs>
        <w:ind w:right="42" w:firstLine="1560" w:firstLineChars="650"/>
        <w:rPr>
          <w:rFonts w:hAnsi="宋体" w:cs="宋体"/>
          <w:sz w:val="24"/>
          <w:u w:val="single"/>
        </w:rPr>
      </w:pPr>
    </w:p>
    <w:p>
      <w:pPr>
        <w:pStyle w:val="212"/>
        <w:tabs>
          <w:tab w:val="left" w:pos="5665"/>
          <w:tab w:val="right" w:pos="8360"/>
        </w:tabs>
        <w:ind w:right="42" w:firstLine="1560" w:firstLineChars="650"/>
        <w:rPr>
          <w:rFonts w:hAnsi="宋体" w:cs="宋体"/>
          <w:sz w:val="24"/>
          <w:u w:val="single"/>
        </w:rPr>
      </w:pPr>
      <w:r>
        <w:rPr>
          <w:rFonts w:hint="eastAsia" w:hAnsi="宋体" w:cs="宋体"/>
          <w:sz w:val="24"/>
        </w:rPr>
        <w:t>法人代表或授权委托人（签字或印章）：</w:t>
      </w:r>
      <w:r>
        <w:rPr>
          <w:rFonts w:hint="eastAsia" w:hAnsi="宋体" w:cs="宋体"/>
          <w:sz w:val="24"/>
          <w:u w:val="single"/>
        </w:rPr>
        <w:t xml:space="preserve">             </w:t>
      </w:r>
    </w:p>
    <w:p>
      <w:pPr>
        <w:pStyle w:val="212"/>
        <w:tabs>
          <w:tab w:val="left" w:pos="5665"/>
          <w:tab w:val="right" w:pos="8360"/>
        </w:tabs>
        <w:ind w:right="42" w:firstLine="1560" w:firstLineChars="650"/>
        <w:rPr>
          <w:rFonts w:hAnsi="宋体" w:cs="宋体"/>
          <w:sz w:val="24"/>
          <w:u w:val="single"/>
        </w:rPr>
      </w:pPr>
    </w:p>
    <w:p>
      <w:pPr>
        <w:pStyle w:val="212"/>
        <w:tabs>
          <w:tab w:val="left" w:pos="5665"/>
          <w:tab w:val="right" w:pos="8360"/>
        </w:tabs>
        <w:ind w:right="42" w:firstLine="1575" w:firstLineChars="750"/>
        <w:jc w:val="left"/>
        <w:rPr>
          <w:rFonts w:hAnsi="宋体" w:cs="宋体"/>
          <w:sz w:val="21"/>
          <w:szCs w:val="21"/>
          <w:u w:val="single"/>
        </w:rPr>
      </w:pPr>
      <w:r>
        <w:rPr>
          <w:rFonts w:hint="eastAsia" w:hAnsi="宋体" w:cs="宋体"/>
          <w:sz w:val="21"/>
          <w:szCs w:val="21"/>
        </w:rPr>
        <w:t>日 期：</w:t>
      </w:r>
      <w:r>
        <w:rPr>
          <w:rFonts w:hint="eastAsia" w:hAnsi="宋体" w:cs="宋体"/>
          <w:sz w:val="21"/>
          <w:szCs w:val="21"/>
          <w:u w:val="single"/>
        </w:rPr>
        <w:t xml:space="preserve">                                                </w:t>
      </w:r>
    </w:p>
    <w:p>
      <w:pPr>
        <w:pStyle w:val="159"/>
        <w:rPr>
          <w:color w:val="auto"/>
        </w:rPr>
      </w:pPr>
      <w:bookmarkStart w:id="598" w:name="_Toc387526244"/>
      <w:bookmarkStart w:id="599" w:name="_Toc387526348"/>
      <w:bookmarkStart w:id="600" w:name="_Toc27195"/>
      <w:bookmarkStart w:id="601" w:name="_Toc511142525"/>
      <w:bookmarkStart w:id="602" w:name="_Toc397928634"/>
      <w:bookmarkStart w:id="603" w:name="_Toc387526440"/>
      <w:bookmarkStart w:id="604" w:name="_Toc32230"/>
      <w:bookmarkStart w:id="605" w:name="_Toc11908"/>
      <w:r>
        <w:rPr>
          <w:rFonts w:hint="eastAsia"/>
          <w:color w:val="auto"/>
        </w:rPr>
        <w:t>3.商务及技术条款偏离表</w:t>
      </w:r>
      <w:bookmarkEnd w:id="598"/>
      <w:bookmarkEnd w:id="599"/>
      <w:bookmarkEnd w:id="600"/>
      <w:bookmarkEnd w:id="601"/>
      <w:bookmarkEnd w:id="602"/>
      <w:bookmarkEnd w:id="603"/>
      <w:bookmarkEnd w:id="604"/>
      <w:bookmarkEnd w:id="605"/>
    </w:p>
    <w:p>
      <w:pPr>
        <w:pStyle w:val="212"/>
        <w:spacing w:line="360" w:lineRule="auto"/>
        <w:jc w:val="center"/>
        <w:rPr>
          <w:rFonts w:hAnsi="宋体" w:cs="宋体"/>
          <w:sz w:val="32"/>
          <w:szCs w:val="32"/>
        </w:rPr>
      </w:pPr>
      <w:r>
        <w:rPr>
          <w:rFonts w:hint="eastAsia" w:hAnsi="宋体" w:cs="宋体"/>
          <w:sz w:val="32"/>
          <w:szCs w:val="32"/>
        </w:rPr>
        <w:t>商务及技术条款偏离表</w:t>
      </w:r>
    </w:p>
    <w:p>
      <w:pPr>
        <w:spacing w:line="360" w:lineRule="auto"/>
        <w:jc w:val="center"/>
        <w:rPr>
          <w:rFonts w:ascii="宋体" w:hAnsi="宋体" w:cs="宋体"/>
        </w:rPr>
      </w:pPr>
    </w:p>
    <w:p>
      <w:pPr>
        <w:spacing w:line="360" w:lineRule="auto"/>
        <w:ind w:right="-365" w:rightChars="-174" w:firstLine="119" w:firstLineChars="57"/>
        <w:rPr>
          <w:rFonts w:ascii="宋体" w:hAnsi="宋体" w:cs="宋体"/>
          <w:szCs w:val="21"/>
        </w:rPr>
      </w:pPr>
      <w:r>
        <w:rPr>
          <w:rFonts w:hint="eastAsia" w:ascii="宋体" w:hAnsi="宋体" w:cs="宋体"/>
          <w:szCs w:val="21"/>
        </w:rPr>
        <w:t>招标文件编号：                                         标段号（如有时）：</w:t>
      </w:r>
    </w:p>
    <w:tbl>
      <w:tblPr>
        <w:tblStyle w:val="48"/>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444"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Cs w:val="21"/>
              </w:rPr>
            </w:pPr>
            <w:r>
              <w:rPr>
                <w:rFonts w:hint="eastAsia" w:ascii="宋体" w:hAnsi="宋体" w:cs="宋体"/>
                <w:szCs w:val="21"/>
              </w:rPr>
              <w:t>招标文件</w:t>
            </w:r>
          </w:p>
          <w:p>
            <w:pPr>
              <w:spacing w:line="360" w:lineRule="auto"/>
              <w:jc w:val="center"/>
              <w:rPr>
                <w:rFonts w:ascii="宋体" w:hAnsi="宋体" w:cs="宋体"/>
                <w:szCs w:val="21"/>
              </w:rPr>
            </w:pPr>
            <w:r>
              <w:rPr>
                <w:rFonts w:hint="eastAsia" w:ascii="宋体" w:hAnsi="宋体" w:cs="宋体"/>
                <w:szCs w:val="21"/>
              </w:rPr>
              <w:t>条目号</w:t>
            </w:r>
          </w:p>
        </w:tc>
        <w:tc>
          <w:tcPr>
            <w:tcW w:w="22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Cs w:val="21"/>
              </w:rPr>
            </w:pPr>
            <w:r>
              <w:rPr>
                <w:rFonts w:hint="eastAsia" w:ascii="宋体" w:hAnsi="宋体" w:cs="宋体"/>
                <w:szCs w:val="21"/>
              </w:rPr>
              <w:t>招标文件的</w:t>
            </w:r>
          </w:p>
          <w:p>
            <w:pPr>
              <w:spacing w:line="360" w:lineRule="auto"/>
              <w:jc w:val="center"/>
              <w:rPr>
                <w:rFonts w:ascii="宋体" w:hAnsi="宋体" w:cs="宋体"/>
                <w:szCs w:val="21"/>
              </w:rPr>
            </w:pPr>
            <w:r>
              <w:rPr>
                <w:rFonts w:hint="eastAsia" w:ascii="宋体" w:hAnsi="宋体" w:cs="宋体"/>
                <w:szCs w:val="21"/>
              </w:rPr>
              <w:t>商务、技术条款</w:t>
            </w:r>
          </w:p>
        </w:tc>
        <w:tc>
          <w:tcPr>
            <w:tcW w:w="240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Cs w:val="21"/>
              </w:rPr>
            </w:pPr>
            <w:r>
              <w:rPr>
                <w:rFonts w:hint="eastAsia" w:ascii="宋体" w:hAnsi="宋体" w:cs="宋体"/>
                <w:szCs w:val="21"/>
              </w:rPr>
              <w:t>投标文件的</w:t>
            </w:r>
          </w:p>
          <w:p>
            <w:pPr>
              <w:spacing w:line="360" w:lineRule="auto"/>
              <w:jc w:val="center"/>
              <w:rPr>
                <w:rFonts w:ascii="宋体" w:hAnsi="宋体" w:cs="宋体"/>
                <w:szCs w:val="21"/>
              </w:rPr>
            </w:pPr>
            <w:r>
              <w:rPr>
                <w:rFonts w:hint="eastAsia" w:ascii="宋体" w:hAnsi="宋体" w:cs="宋体"/>
                <w:szCs w:val="21"/>
              </w:rPr>
              <w:t>商务、技术条款</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bl>
    <w:p>
      <w:pPr>
        <w:spacing w:line="360" w:lineRule="auto"/>
        <w:ind w:left="630" w:leftChars="100" w:hanging="420" w:hangingChars="200"/>
        <w:rPr>
          <w:rFonts w:ascii="宋体" w:hAnsi="宋体" w:cs="宋体"/>
          <w:szCs w:val="21"/>
        </w:rPr>
      </w:pPr>
      <w:r>
        <w:rPr>
          <w:rFonts w:hint="eastAsia" w:ascii="宋体" w:hAnsi="宋体" w:cs="宋体"/>
          <w:szCs w:val="21"/>
        </w:rPr>
        <w:t>注：投标人必须对招标文件的主要商务技术条款（如供货期、付款方式、履约保证、质保期等）逐条填写。</w:t>
      </w:r>
    </w:p>
    <w:p>
      <w:pPr>
        <w:spacing w:line="360" w:lineRule="auto"/>
        <w:ind w:firstLine="4139" w:firstLineChars="1971"/>
        <w:rPr>
          <w:rFonts w:ascii="宋体" w:hAnsi="宋体" w:cs="宋体"/>
          <w:szCs w:val="21"/>
        </w:rPr>
      </w:pPr>
      <w:r>
        <w:rPr>
          <w:rFonts w:hint="eastAsia" w:ascii="宋体" w:hAnsi="宋体" w:cs="宋体"/>
          <w:szCs w:val="21"/>
        </w:rPr>
        <w:t>授权委托人（签字）：</w:t>
      </w:r>
      <w:r>
        <w:rPr>
          <w:rFonts w:hint="eastAsia" w:ascii="宋体" w:hAnsi="宋体" w:cs="宋体"/>
          <w:szCs w:val="21"/>
          <w:u w:val="single"/>
        </w:rPr>
        <w:t xml:space="preserve">                      </w:t>
      </w:r>
    </w:p>
    <w:p>
      <w:pPr>
        <w:pStyle w:val="212"/>
        <w:spacing w:line="360" w:lineRule="auto"/>
        <w:ind w:firstLine="4139" w:firstLineChars="1971"/>
        <w:rPr>
          <w:rFonts w:hAnsi="宋体" w:cs="宋体"/>
          <w:sz w:val="21"/>
          <w:szCs w:val="21"/>
        </w:rPr>
      </w:pPr>
      <w:r>
        <w:rPr>
          <w:rFonts w:hint="eastAsia" w:hAnsi="宋体" w:cs="宋体"/>
          <w:sz w:val="21"/>
          <w:szCs w:val="21"/>
        </w:rPr>
        <w:t>日             期：</w:t>
      </w:r>
      <w:r>
        <w:rPr>
          <w:rFonts w:hint="eastAsia" w:hAnsi="宋体" w:cs="宋体"/>
          <w:sz w:val="21"/>
          <w:szCs w:val="21"/>
          <w:u w:val="single"/>
        </w:rPr>
        <w:t xml:space="preserve">                      </w:t>
      </w:r>
    </w:p>
    <w:p>
      <w:pPr>
        <w:pStyle w:val="3"/>
        <w:spacing w:line="360" w:lineRule="auto"/>
        <w:rPr>
          <w:rFonts w:ascii="宋体" w:hAnsi="宋体" w:eastAsia="宋体"/>
          <w:sz w:val="36"/>
          <w:szCs w:val="36"/>
        </w:rPr>
      </w:pPr>
      <w:r>
        <w:rPr>
          <w:sz w:val="24"/>
        </w:rPr>
        <w:br w:type="page"/>
      </w:r>
      <w:bookmarkStart w:id="606" w:name="_Toc387526441"/>
      <w:bookmarkStart w:id="607" w:name="_Toc22694"/>
      <w:bookmarkStart w:id="608" w:name="_Toc10679"/>
      <w:bookmarkStart w:id="609" w:name="_Toc5065"/>
      <w:bookmarkStart w:id="610" w:name="_Toc387526349"/>
      <w:bookmarkStart w:id="611" w:name="_Toc387526245"/>
      <w:bookmarkStart w:id="612" w:name="_Toc397928635"/>
      <w:bookmarkStart w:id="613" w:name="_Toc511142526"/>
      <w:r>
        <w:rPr>
          <w:rFonts w:hint="eastAsia" w:ascii="宋体" w:hAnsi="宋体" w:eastAsia="宋体"/>
        </w:rPr>
        <w:t>4.授权委托书</w:t>
      </w:r>
      <w:bookmarkEnd w:id="606"/>
      <w:bookmarkEnd w:id="607"/>
      <w:bookmarkEnd w:id="608"/>
      <w:bookmarkEnd w:id="609"/>
      <w:bookmarkEnd w:id="610"/>
      <w:bookmarkEnd w:id="611"/>
      <w:bookmarkEnd w:id="612"/>
      <w:bookmarkEnd w:id="613"/>
    </w:p>
    <w:p>
      <w:pPr>
        <w:autoSpaceDE w:val="0"/>
        <w:autoSpaceDN w:val="0"/>
        <w:adjustRightInd w:val="0"/>
        <w:jc w:val="center"/>
        <w:rPr>
          <w:rFonts w:ascii="宋体" w:hAnsi="宋体" w:cs="宋体"/>
          <w:kern w:val="0"/>
          <w:sz w:val="32"/>
          <w:szCs w:val="32"/>
        </w:rPr>
      </w:pPr>
      <w:r>
        <w:rPr>
          <w:rFonts w:hint="eastAsia" w:ascii="宋体" w:hAnsi="宋体" w:cs="宋体"/>
          <w:kern w:val="0"/>
          <w:sz w:val="32"/>
          <w:szCs w:val="32"/>
        </w:rPr>
        <w:t>授权委托书</w:t>
      </w:r>
    </w:p>
    <w:p>
      <w:pPr>
        <w:autoSpaceDE w:val="0"/>
        <w:autoSpaceDN w:val="0"/>
        <w:adjustRightInd w:val="0"/>
        <w:jc w:val="center"/>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kern w:val="0"/>
          <w:szCs w:val="21"/>
          <w:u w:val="single"/>
        </w:rPr>
        <w:t xml:space="preserve">               </w:t>
      </w:r>
      <w:r>
        <w:rPr>
          <w:rFonts w:hint="eastAsia" w:ascii="宋体" w:hAnsi="宋体" w:cs="宋体"/>
          <w:kern w:val="0"/>
          <w:szCs w:val="21"/>
        </w:rPr>
        <w:t>（投标人名称）的法定代表人，现委托</w:t>
      </w:r>
      <w:r>
        <w:rPr>
          <w:rFonts w:hint="eastAsia" w:ascii="宋体" w:hAnsi="宋体" w:cs="宋体"/>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rPr>
        <w:t xml:space="preserve">             （项目名称及标段）      </w:t>
      </w:r>
      <w:r>
        <w:rPr>
          <w:rFonts w:hint="eastAsia" w:ascii="宋体" w:hAnsi="宋体" w:cs="宋体"/>
          <w:kern w:val="0"/>
          <w:szCs w:val="21"/>
        </w:rPr>
        <w:t>投标文件、签订合同和处理有关事宜，其法律后果由我方承担。</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代理人无转委托权。</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kern w:val="0"/>
          <w:szCs w:val="21"/>
          <w:u w:val="single"/>
        </w:rPr>
        <w:t xml:space="preserve">                        </w:t>
      </w:r>
      <w:r>
        <w:rPr>
          <w:rFonts w:hint="eastAsia" w:ascii="宋体" w:hAnsi="宋体" w:cs="宋体"/>
          <w:kern w:val="0"/>
          <w:szCs w:val="21"/>
        </w:rPr>
        <w:t>（盖单位章）</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kern w:val="0"/>
          <w:szCs w:val="21"/>
          <w:u w:val="single"/>
        </w:rPr>
        <w:t xml:space="preserve">                                   </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kern w:val="0"/>
          <w:szCs w:val="21"/>
          <w:u w:val="single"/>
        </w:rPr>
        <w:t xml:space="preserve">                                   </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3255" w:firstLineChars="1550"/>
        <w:jc w:val="left"/>
        <w:rPr>
          <w:rFonts w:ascii="宋体" w:hAnsi="宋体" w:cs="宋体"/>
          <w:kern w:val="0"/>
          <w:szCs w:val="21"/>
          <w:u w:val="single"/>
        </w:rPr>
      </w:pPr>
    </w:p>
    <w:p>
      <w:pPr>
        <w:autoSpaceDE w:val="0"/>
        <w:autoSpaceDN w:val="0"/>
        <w:adjustRightInd w:val="0"/>
        <w:spacing w:line="360" w:lineRule="auto"/>
        <w:ind w:firstLine="3255" w:firstLineChars="1550"/>
        <w:jc w:val="left"/>
        <w:rPr>
          <w:rFonts w:ascii="宋体" w:hAnsi="宋体" w:cs="宋体"/>
          <w:kern w:val="0"/>
          <w:szCs w:val="21"/>
          <w:u w:val="single"/>
        </w:rPr>
      </w:pPr>
    </w:p>
    <w:p>
      <w:pPr>
        <w:autoSpaceDE w:val="0"/>
        <w:autoSpaceDN w:val="0"/>
        <w:adjustRightInd w:val="0"/>
        <w:spacing w:line="360" w:lineRule="auto"/>
        <w:ind w:firstLine="3255" w:firstLineChars="1550"/>
        <w:jc w:val="left"/>
        <w:rPr>
          <w:rFonts w:ascii="宋体" w:hAnsi="宋体" w:cs="宋体"/>
          <w:kern w:val="0"/>
          <w:szCs w:val="21"/>
          <w:u w:val="single"/>
        </w:rPr>
      </w:pPr>
    </w:p>
    <w:p>
      <w:pPr>
        <w:autoSpaceDE w:val="0"/>
        <w:autoSpaceDN w:val="0"/>
        <w:adjustRightInd w:val="0"/>
        <w:spacing w:line="360" w:lineRule="auto"/>
        <w:ind w:firstLine="3255" w:firstLineChars="1550"/>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212"/>
        <w:spacing w:line="360" w:lineRule="auto"/>
        <w:jc w:val="left"/>
        <w:rPr>
          <w:rFonts w:hAnsi="宋体" w:cs="宋体"/>
          <w:sz w:val="24"/>
        </w:rPr>
      </w:pPr>
    </w:p>
    <w:p>
      <w:pPr>
        <w:pStyle w:val="212"/>
        <w:spacing w:line="360" w:lineRule="auto"/>
        <w:jc w:val="left"/>
        <w:rPr>
          <w:rFonts w:hAnsi="宋体" w:cs="宋体"/>
          <w:sz w:val="24"/>
        </w:rPr>
      </w:pPr>
    </w:p>
    <w:p>
      <w:pPr>
        <w:pStyle w:val="3"/>
        <w:spacing w:line="360" w:lineRule="auto"/>
        <w:rPr>
          <w:rFonts w:ascii="黑体" w:hAnsi="TimesNewRomanPSMT" w:cs="宋体"/>
          <w:kern w:val="0"/>
          <w:sz w:val="30"/>
          <w:szCs w:val="30"/>
        </w:rPr>
      </w:pPr>
      <w:r>
        <w:rPr>
          <w:rFonts w:hAnsi="宋体" w:cs="宋体"/>
          <w:sz w:val="24"/>
        </w:rPr>
        <w:br w:type="page"/>
      </w:r>
      <w:bookmarkStart w:id="614" w:name="_Toc19680"/>
      <w:bookmarkStart w:id="615" w:name="_Toc27717"/>
      <w:bookmarkStart w:id="616" w:name="_Toc511142527"/>
      <w:r>
        <w:rPr>
          <w:rFonts w:hint="eastAsia" w:ascii="宋体" w:hAnsi="宋体" w:eastAsia="宋体"/>
        </w:rPr>
        <w:t>5.法定代表人身份证明</w:t>
      </w:r>
      <w:bookmarkEnd w:id="614"/>
      <w:bookmarkEnd w:id="615"/>
      <w:bookmarkEnd w:id="616"/>
    </w:p>
    <w:p>
      <w:pPr>
        <w:autoSpaceDE w:val="0"/>
        <w:autoSpaceDN w:val="0"/>
        <w:adjustRightInd w:val="0"/>
        <w:spacing w:line="360" w:lineRule="auto"/>
        <w:ind w:firstLine="480" w:firstLineChars="200"/>
        <w:jc w:val="left"/>
        <w:rPr>
          <w:rFonts w:ascii="宋体" w:hAnsi="TimesNewRomanPSMT" w:cs="宋体"/>
          <w:kern w:val="0"/>
          <w:sz w:val="24"/>
        </w:rPr>
      </w:pPr>
    </w:p>
    <w:p>
      <w:pPr>
        <w:autoSpaceDE w:val="0"/>
        <w:autoSpaceDN w:val="0"/>
        <w:adjustRightInd w:val="0"/>
        <w:spacing w:line="360" w:lineRule="auto"/>
        <w:ind w:firstLine="480" w:firstLineChars="200"/>
        <w:jc w:val="left"/>
        <w:rPr>
          <w:rFonts w:ascii="宋体" w:hAnsi="TimesNewRomanPSMT" w:cs="宋体"/>
          <w:kern w:val="0"/>
          <w:sz w:val="24"/>
        </w:rPr>
      </w:pPr>
    </w:p>
    <w:p>
      <w:pPr>
        <w:autoSpaceDE w:val="0"/>
        <w:autoSpaceDN w:val="0"/>
        <w:adjustRightInd w:val="0"/>
        <w:spacing w:line="360" w:lineRule="auto"/>
        <w:jc w:val="center"/>
        <w:rPr>
          <w:rFonts w:ascii="宋体" w:hAnsi="宋体" w:cs="宋体"/>
          <w:kern w:val="0"/>
          <w:sz w:val="32"/>
          <w:szCs w:val="32"/>
        </w:rPr>
      </w:pPr>
      <w:r>
        <w:rPr>
          <w:rFonts w:hint="eastAsia" w:ascii="宋体" w:hAnsi="宋体" w:cs="宋体"/>
          <w:kern w:val="0"/>
          <w:sz w:val="32"/>
          <w:szCs w:val="32"/>
        </w:rPr>
        <w:t>法定代表人身份证明</w:t>
      </w:r>
    </w:p>
    <w:p>
      <w:pPr>
        <w:autoSpaceDE w:val="0"/>
        <w:autoSpaceDN w:val="0"/>
        <w:adjustRightInd w:val="0"/>
        <w:spacing w:line="360" w:lineRule="auto"/>
        <w:ind w:firstLine="480" w:firstLineChars="200"/>
        <w:jc w:val="left"/>
        <w:rPr>
          <w:rFonts w:ascii="宋体" w:hAnsi="TimesNewRomanPSMT" w:cs="宋体"/>
          <w:kern w:val="0"/>
          <w:sz w:val="24"/>
        </w:rPr>
      </w:pP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投 标 人：</w:t>
      </w:r>
      <w:r>
        <w:rPr>
          <w:rFonts w:hint="eastAsia" w:ascii="宋体" w:hAnsi="TimesNewRomanPSMT" w:cs="宋体"/>
          <w:kern w:val="0"/>
          <w:szCs w:val="21"/>
          <w:u w:val="single"/>
        </w:rPr>
        <w:t xml:space="preserve">                                                       </w:t>
      </w:r>
      <w:r>
        <w:rPr>
          <w:rFonts w:hint="eastAsia" w:ascii="宋体" w:hAnsi="TimesNewRomanPSMT" w:cs="宋体"/>
          <w:kern w:val="0"/>
          <w:szCs w:val="21"/>
        </w:rPr>
        <w:t xml:space="preserve"> </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单位性质：</w:t>
      </w:r>
      <w:r>
        <w:rPr>
          <w:rFonts w:hint="eastAsia" w:ascii="宋体" w:hAnsi="TimesNewRomanPSMT" w:cs="宋体"/>
          <w:kern w:val="0"/>
          <w:szCs w:val="21"/>
          <w:u w:val="single"/>
        </w:rPr>
        <w:t xml:space="preserve">                                                       </w:t>
      </w:r>
      <w:r>
        <w:rPr>
          <w:rFonts w:hint="eastAsia" w:ascii="宋体" w:hAnsi="TimesNewRomanPSMT" w:cs="宋体"/>
          <w:kern w:val="0"/>
          <w:szCs w:val="21"/>
        </w:rPr>
        <w:t xml:space="preserve"> </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地    址：</w:t>
      </w:r>
      <w:r>
        <w:rPr>
          <w:rFonts w:hint="eastAsia" w:ascii="宋体" w:hAnsi="TimesNewRomanPSMT" w:cs="宋体"/>
          <w:kern w:val="0"/>
          <w:szCs w:val="21"/>
          <w:u w:val="single"/>
        </w:rPr>
        <w:t xml:space="preserve">                                                       </w:t>
      </w:r>
      <w:r>
        <w:rPr>
          <w:rFonts w:hint="eastAsia" w:ascii="宋体" w:hAnsi="TimesNewRomanPSMT" w:cs="宋体"/>
          <w:kern w:val="0"/>
          <w:szCs w:val="21"/>
        </w:rPr>
        <w:t xml:space="preserve"> </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成立时间：</w:t>
      </w:r>
      <w:r>
        <w:rPr>
          <w:rFonts w:hint="eastAsia" w:ascii="宋体" w:hAnsi="TimesNewRomanPSMT" w:cs="宋体"/>
          <w:kern w:val="0"/>
          <w:szCs w:val="21"/>
          <w:u w:val="single"/>
        </w:rPr>
        <w:t xml:space="preserve">                 </w:t>
      </w:r>
      <w:r>
        <w:rPr>
          <w:rFonts w:hint="eastAsia" w:ascii="宋体" w:hAnsi="TimesNewRomanPSMT" w:cs="宋体"/>
          <w:kern w:val="0"/>
          <w:szCs w:val="21"/>
        </w:rPr>
        <w:t>年</w:t>
      </w:r>
      <w:r>
        <w:rPr>
          <w:rFonts w:hint="eastAsia" w:ascii="宋体" w:hAnsi="TimesNewRomanPSMT" w:cs="宋体"/>
          <w:kern w:val="0"/>
          <w:szCs w:val="21"/>
          <w:u w:val="single"/>
        </w:rPr>
        <w:t xml:space="preserve">              </w:t>
      </w:r>
      <w:r>
        <w:rPr>
          <w:rFonts w:hint="eastAsia" w:ascii="宋体" w:hAnsi="TimesNewRomanPSMT" w:cs="宋体"/>
          <w:kern w:val="0"/>
          <w:szCs w:val="21"/>
        </w:rPr>
        <w:t>月</w:t>
      </w:r>
      <w:r>
        <w:rPr>
          <w:rFonts w:hint="eastAsia" w:ascii="宋体" w:hAnsi="TimesNewRomanPSMT" w:cs="宋体"/>
          <w:kern w:val="0"/>
          <w:szCs w:val="21"/>
          <w:u w:val="single"/>
        </w:rPr>
        <w:t xml:space="preserve">              </w:t>
      </w:r>
      <w:r>
        <w:rPr>
          <w:rFonts w:hint="eastAsia" w:ascii="宋体" w:hAnsi="TimesNewRomanPSMT" w:cs="宋体"/>
          <w:kern w:val="0"/>
          <w:szCs w:val="21"/>
        </w:rPr>
        <w:t>日</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经营期限：</w:t>
      </w:r>
      <w:r>
        <w:rPr>
          <w:rFonts w:hint="eastAsia" w:ascii="宋体" w:hAnsi="TimesNewRomanPSMT" w:cs="宋体"/>
          <w:kern w:val="0"/>
          <w:szCs w:val="21"/>
          <w:u w:val="single"/>
        </w:rPr>
        <w:t xml:space="preserve">                                                        </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姓    名：</w:t>
      </w:r>
      <w:r>
        <w:rPr>
          <w:rFonts w:hint="eastAsia" w:ascii="宋体" w:hAnsi="TimesNewRomanPSMT" w:cs="宋体"/>
          <w:kern w:val="0"/>
          <w:szCs w:val="21"/>
          <w:u w:val="single"/>
        </w:rPr>
        <w:t xml:space="preserve">                      </w:t>
      </w:r>
      <w:r>
        <w:rPr>
          <w:rFonts w:hint="eastAsia" w:ascii="宋体" w:hAnsi="TimesNewRomanPSMT" w:cs="宋体"/>
          <w:kern w:val="0"/>
          <w:szCs w:val="21"/>
        </w:rPr>
        <w:t xml:space="preserve">    性        别：</w:t>
      </w:r>
      <w:r>
        <w:rPr>
          <w:rFonts w:hint="eastAsia" w:ascii="宋体" w:hAnsi="TimesNewRomanPSMT" w:cs="宋体"/>
          <w:kern w:val="0"/>
          <w:szCs w:val="21"/>
          <w:u w:val="single"/>
        </w:rPr>
        <w:t xml:space="preserve">                </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年    龄：</w:t>
      </w:r>
      <w:r>
        <w:rPr>
          <w:rFonts w:hint="eastAsia" w:ascii="宋体" w:hAnsi="TimesNewRomanPSMT" w:cs="宋体"/>
          <w:kern w:val="0"/>
          <w:szCs w:val="21"/>
          <w:u w:val="single"/>
        </w:rPr>
        <w:t xml:space="preserve">                      </w:t>
      </w:r>
      <w:r>
        <w:rPr>
          <w:rFonts w:hint="eastAsia" w:ascii="宋体" w:hAnsi="TimesNewRomanPSMT" w:cs="宋体"/>
          <w:kern w:val="0"/>
          <w:szCs w:val="21"/>
        </w:rPr>
        <w:t xml:space="preserve">    职        务：</w:t>
      </w:r>
      <w:r>
        <w:rPr>
          <w:rFonts w:hint="eastAsia" w:ascii="宋体" w:hAnsi="TimesNewRomanPSMT" w:cs="宋体"/>
          <w:kern w:val="0"/>
          <w:szCs w:val="21"/>
          <w:u w:val="single"/>
        </w:rPr>
        <w:t xml:space="preserve">                </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系</w:t>
      </w:r>
      <w:r>
        <w:rPr>
          <w:rFonts w:hint="eastAsia" w:ascii="宋体" w:hAnsi="TimesNewRomanPSMT" w:cs="宋体"/>
          <w:kern w:val="0"/>
          <w:szCs w:val="21"/>
          <w:u w:val="single"/>
        </w:rPr>
        <w:t xml:space="preserve">                                    </w:t>
      </w:r>
      <w:r>
        <w:rPr>
          <w:rFonts w:hint="eastAsia" w:ascii="宋体" w:hAnsi="TimesNewRomanPSMT" w:cs="宋体"/>
          <w:kern w:val="0"/>
          <w:szCs w:val="21"/>
        </w:rPr>
        <w:t>（投标人名称）的法定代表人。</w:t>
      </w:r>
    </w:p>
    <w:p>
      <w:pPr>
        <w:autoSpaceDE w:val="0"/>
        <w:autoSpaceDN w:val="0"/>
        <w:adjustRightInd w:val="0"/>
        <w:spacing w:line="360" w:lineRule="auto"/>
        <w:ind w:firstLine="840" w:firstLineChars="400"/>
        <w:jc w:val="left"/>
        <w:rPr>
          <w:rFonts w:ascii="宋体" w:hAnsi="TimesNewRomanPSMT" w:cs="宋体"/>
          <w:kern w:val="0"/>
          <w:szCs w:val="21"/>
        </w:rPr>
      </w:pPr>
      <w:r>
        <w:rPr>
          <w:rFonts w:hint="eastAsia" w:ascii="宋体" w:hAnsi="TimesNewRomanPSMT" w:cs="宋体"/>
          <w:kern w:val="0"/>
          <w:szCs w:val="21"/>
        </w:rPr>
        <w:t>特此证明。</w:t>
      </w:r>
    </w:p>
    <w:p>
      <w:pPr>
        <w:autoSpaceDE w:val="0"/>
        <w:autoSpaceDN w:val="0"/>
        <w:adjustRightInd w:val="0"/>
        <w:spacing w:line="360" w:lineRule="auto"/>
        <w:ind w:firstLine="420" w:firstLineChars="200"/>
        <w:jc w:val="left"/>
        <w:rPr>
          <w:rFonts w:ascii="宋体" w:hAnsi="TimesNewRomanPSMT" w:cs="宋体"/>
          <w:kern w:val="0"/>
          <w:szCs w:val="21"/>
        </w:rPr>
      </w:pP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附：法定代表人身份证复印件。</w:t>
      </w:r>
    </w:p>
    <w:p>
      <w:pPr>
        <w:autoSpaceDE w:val="0"/>
        <w:autoSpaceDN w:val="0"/>
        <w:adjustRightInd w:val="0"/>
        <w:spacing w:line="360" w:lineRule="auto"/>
        <w:ind w:firstLine="420" w:firstLineChars="200"/>
        <w:jc w:val="left"/>
        <w:rPr>
          <w:rFonts w:ascii="宋体" w:hAnsi="TimesNewRomanPSMT" w:cs="宋体"/>
          <w:kern w:val="0"/>
          <w:szCs w:val="21"/>
        </w:rPr>
      </w:pPr>
    </w:p>
    <w:p>
      <w:pPr>
        <w:autoSpaceDE w:val="0"/>
        <w:autoSpaceDN w:val="0"/>
        <w:adjustRightInd w:val="0"/>
        <w:spacing w:line="360" w:lineRule="auto"/>
        <w:ind w:firstLine="420" w:firstLineChars="200"/>
        <w:jc w:val="left"/>
        <w:rPr>
          <w:rFonts w:ascii="宋体" w:hAnsi="TimesNewRomanPSMT" w:cs="宋体"/>
          <w:kern w:val="0"/>
          <w:szCs w:val="21"/>
        </w:rPr>
      </w:pPr>
    </w:p>
    <w:p>
      <w:pPr>
        <w:autoSpaceDE w:val="0"/>
        <w:autoSpaceDN w:val="0"/>
        <w:adjustRightInd w:val="0"/>
        <w:spacing w:line="360" w:lineRule="auto"/>
        <w:ind w:firstLine="420" w:firstLineChars="200"/>
        <w:jc w:val="left"/>
        <w:rPr>
          <w:rFonts w:ascii="宋体" w:hAnsi="TimesNewRomanPSMT" w:cs="宋体"/>
          <w:kern w:val="0"/>
          <w:szCs w:val="21"/>
        </w:rPr>
      </w:pPr>
    </w:p>
    <w:p>
      <w:pPr>
        <w:autoSpaceDE w:val="0"/>
        <w:autoSpaceDN w:val="0"/>
        <w:adjustRightInd w:val="0"/>
        <w:spacing w:line="360" w:lineRule="auto"/>
        <w:ind w:firstLine="420" w:firstLineChars="200"/>
        <w:jc w:val="left"/>
        <w:rPr>
          <w:rFonts w:ascii="宋体" w:hAnsi="TimesNewRomanPSMT" w:cs="宋体"/>
          <w:kern w:val="0"/>
          <w:szCs w:val="21"/>
        </w:rPr>
      </w:pPr>
    </w:p>
    <w:p>
      <w:pPr>
        <w:autoSpaceDE w:val="0"/>
        <w:autoSpaceDN w:val="0"/>
        <w:adjustRightInd w:val="0"/>
        <w:spacing w:line="360" w:lineRule="auto"/>
        <w:ind w:firstLine="1995" w:firstLineChars="950"/>
        <w:jc w:val="left"/>
        <w:rPr>
          <w:rFonts w:ascii="宋体" w:hAnsi="TimesNewRomanPSMT" w:cs="宋体"/>
          <w:kern w:val="0"/>
          <w:szCs w:val="21"/>
        </w:rPr>
      </w:pPr>
      <w:r>
        <w:rPr>
          <w:rFonts w:hint="eastAsia" w:ascii="宋体" w:hAnsi="TimesNewRomanPSMT" w:cs="宋体"/>
          <w:kern w:val="0"/>
          <w:szCs w:val="21"/>
        </w:rPr>
        <w:t>投标人：</w:t>
      </w:r>
      <w:r>
        <w:rPr>
          <w:rFonts w:hint="eastAsia" w:ascii="宋体" w:hAnsi="TimesNewRomanPSMT" w:cs="宋体"/>
          <w:kern w:val="0"/>
          <w:szCs w:val="21"/>
          <w:u w:val="single"/>
        </w:rPr>
        <w:t xml:space="preserve">                          </w:t>
      </w:r>
      <w:r>
        <w:rPr>
          <w:rFonts w:hint="eastAsia" w:ascii="宋体" w:hAnsi="TimesNewRomanPSMT" w:cs="宋体"/>
          <w:kern w:val="0"/>
          <w:szCs w:val="21"/>
        </w:rPr>
        <w:t>（盖单位章）</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 xml:space="preserve">                         </w:t>
      </w:r>
      <w:r>
        <w:rPr>
          <w:rFonts w:hint="eastAsia" w:ascii="宋体" w:hAnsi="TimesNewRomanPSMT" w:cs="宋体"/>
          <w:kern w:val="0"/>
          <w:szCs w:val="21"/>
          <w:u w:val="single"/>
        </w:rPr>
        <w:t xml:space="preserve">          </w:t>
      </w:r>
      <w:r>
        <w:rPr>
          <w:rFonts w:hint="eastAsia" w:ascii="宋体" w:hAnsi="TimesNewRomanPSMT" w:cs="宋体"/>
          <w:kern w:val="0"/>
          <w:szCs w:val="21"/>
        </w:rPr>
        <w:t>年</w:t>
      </w:r>
      <w:r>
        <w:rPr>
          <w:rFonts w:hint="eastAsia" w:ascii="宋体" w:hAnsi="TimesNewRomanPSMT" w:cs="宋体"/>
          <w:kern w:val="0"/>
          <w:szCs w:val="21"/>
          <w:u w:val="single"/>
        </w:rPr>
        <w:t xml:space="preserve">        </w:t>
      </w:r>
      <w:r>
        <w:rPr>
          <w:rFonts w:hint="eastAsia" w:ascii="宋体" w:hAnsi="TimesNewRomanPSMT" w:cs="宋体"/>
          <w:kern w:val="0"/>
          <w:szCs w:val="21"/>
        </w:rPr>
        <w:t>月</w:t>
      </w:r>
      <w:r>
        <w:rPr>
          <w:rFonts w:hint="eastAsia" w:ascii="宋体" w:hAnsi="TimesNewRomanPSMT" w:cs="宋体"/>
          <w:kern w:val="0"/>
          <w:szCs w:val="21"/>
          <w:u w:val="single"/>
        </w:rPr>
        <w:t xml:space="preserve">        </w:t>
      </w:r>
      <w:r>
        <w:rPr>
          <w:rFonts w:hint="eastAsia" w:ascii="宋体" w:hAnsi="TimesNewRomanPSMT" w:cs="宋体"/>
          <w:kern w:val="0"/>
          <w:szCs w:val="21"/>
        </w:rPr>
        <w:t xml:space="preserve">日  </w:t>
      </w:r>
    </w:p>
    <w:p>
      <w:pPr>
        <w:pStyle w:val="3"/>
        <w:spacing w:line="360" w:lineRule="auto"/>
        <w:rPr>
          <w:rFonts w:ascii="宋体" w:hAnsi="宋体" w:eastAsia="宋体"/>
          <w:sz w:val="24"/>
          <w:szCs w:val="24"/>
        </w:rPr>
      </w:pPr>
    </w:p>
    <w:p>
      <w:pPr>
        <w:pStyle w:val="3"/>
        <w:spacing w:line="360" w:lineRule="auto"/>
        <w:rPr>
          <w:rFonts w:hAnsi="宋体" w:cs="宋体"/>
        </w:rPr>
      </w:pPr>
    </w:p>
    <w:p>
      <w:pPr>
        <w:pStyle w:val="212"/>
        <w:spacing w:line="360" w:lineRule="auto"/>
        <w:rPr>
          <w:rFonts w:hAnsi="宋体" w:cs="宋体"/>
          <w:b/>
          <w:sz w:val="24"/>
        </w:rPr>
      </w:pPr>
    </w:p>
    <w:p>
      <w:pPr>
        <w:pStyle w:val="212"/>
        <w:spacing w:line="360" w:lineRule="auto"/>
        <w:rPr>
          <w:rFonts w:hAnsi="宋体" w:cs="宋体"/>
          <w:sz w:val="24"/>
        </w:rPr>
      </w:pPr>
    </w:p>
    <w:p>
      <w:pPr>
        <w:pStyle w:val="159"/>
        <w:rPr>
          <w:color w:val="auto"/>
        </w:rPr>
      </w:pPr>
      <w:r>
        <w:rPr>
          <w:color w:val="auto"/>
        </w:rPr>
        <w:br w:type="page"/>
      </w:r>
      <w:bookmarkStart w:id="617" w:name="_Toc28934"/>
      <w:bookmarkStart w:id="618" w:name="_Toc511142528"/>
      <w:bookmarkStart w:id="619" w:name="_Toc387526255"/>
      <w:bookmarkStart w:id="620" w:name="_Toc27205"/>
      <w:bookmarkStart w:id="621" w:name="_Toc397928645"/>
      <w:bookmarkStart w:id="622" w:name="_Toc17568"/>
      <w:bookmarkStart w:id="623" w:name="_Toc387526359"/>
      <w:bookmarkStart w:id="624" w:name="_Toc387526451"/>
      <w:r>
        <w:rPr>
          <w:rFonts w:hint="eastAsia"/>
          <w:color w:val="auto"/>
        </w:rPr>
        <w:t>6.技术参数响应表</w:t>
      </w:r>
      <w:bookmarkEnd w:id="617"/>
      <w:bookmarkEnd w:id="618"/>
      <w:bookmarkEnd w:id="619"/>
      <w:bookmarkEnd w:id="620"/>
      <w:bookmarkEnd w:id="621"/>
      <w:bookmarkEnd w:id="622"/>
      <w:bookmarkEnd w:id="623"/>
      <w:bookmarkEnd w:id="624"/>
    </w:p>
    <w:p>
      <w:pPr>
        <w:pStyle w:val="212"/>
        <w:tabs>
          <w:tab w:val="left" w:pos="6930"/>
          <w:tab w:val="left" w:pos="8360"/>
        </w:tabs>
        <w:spacing w:line="360" w:lineRule="auto"/>
        <w:ind w:right="42"/>
        <w:jc w:val="center"/>
        <w:rPr>
          <w:rFonts w:hAnsi="宋体" w:cs="宋体"/>
          <w:sz w:val="32"/>
          <w:szCs w:val="32"/>
        </w:rPr>
      </w:pPr>
      <w:r>
        <w:rPr>
          <w:rFonts w:hint="eastAsia" w:hAnsi="宋体" w:cs="宋体"/>
          <w:sz w:val="32"/>
          <w:szCs w:val="32"/>
        </w:rPr>
        <w:t>技术参数响应表</w:t>
      </w:r>
    </w:p>
    <w:p>
      <w:pPr>
        <w:spacing w:line="360" w:lineRule="auto"/>
        <w:jc w:val="left"/>
        <w:rPr>
          <w:rFonts w:ascii="宋体" w:hAnsi="宋体" w:cs="宋体"/>
          <w:b/>
          <w:szCs w:val="21"/>
        </w:rPr>
      </w:pPr>
      <w:r>
        <w:rPr>
          <w:rFonts w:hint="eastAsia" w:ascii="宋体" w:hAnsi="宋体" w:cs="宋体"/>
          <w:b/>
          <w:szCs w:val="21"/>
        </w:rPr>
        <w:t>标段号：</w:t>
      </w:r>
    </w:p>
    <w:tbl>
      <w:tblPr>
        <w:tblStyle w:val="4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2"/>
        <w:gridCol w:w="1399"/>
        <w:gridCol w:w="1548"/>
        <w:gridCol w:w="1477"/>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4092" w:type="dxa"/>
            <w:tcBorders>
              <w:top w:val="single" w:color="000000" w:sz="4" w:space="0"/>
              <w:left w:val="single" w:color="auto"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技术参数及要求</w:t>
            </w: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招标要求</w:t>
            </w: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投标响应</w:t>
            </w:r>
          </w:p>
        </w:tc>
        <w:tc>
          <w:tcPr>
            <w:tcW w:w="1483" w:type="dxa"/>
            <w:gridSpan w:val="2"/>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正负偏离情况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bl>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注：投标人应按招标文件要求的品目号分别填写，逐点应答。</w:t>
      </w:r>
    </w:p>
    <w:p>
      <w:pPr>
        <w:spacing w:line="360" w:lineRule="auto"/>
        <w:jc w:val="left"/>
        <w:rPr>
          <w:rFonts w:ascii="宋体" w:hAnsi="宋体" w:cs="宋体"/>
          <w:b/>
          <w:szCs w:val="21"/>
        </w:rPr>
      </w:pPr>
      <w:r>
        <w:rPr>
          <w:rFonts w:hint="eastAsia" w:ascii="宋体" w:hAnsi="宋体" w:cs="宋体"/>
          <w:b/>
          <w:szCs w:val="21"/>
        </w:rPr>
        <w:t>正偏离表示投标响应高于招标要求，并附页说明，否则可能导致不予认可。</w:t>
      </w:r>
    </w:p>
    <w:p>
      <w:pPr>
        <w:spacing w:line="360" w:lineRule="auto"/>
        <w:jc w:val="left"/>
        <w:rPr>
          <w:rFonts w:ascii="宋体" w:hAnsi="宋体" w:cs="宋体"/>
          <w:b/>
          <w:szCs w:val="21"/>
        </w:rPr>
      </w:pPr>
      <w:r>
        <w:rPr>
          <w:rFonts w:hint="eastAsia" w:ascii="宋体" w:hAnsi="宋体" w:cs="宋体"/>
          <w:b/>
          <w:szCs w:val="21"/>
        </w:rPr>
        <w:t>负偏离表示投标响应低于招标要求，并附页说明，否则可能导致作为不响应投标。</w:t>
      </w:r>
    </w:p>
    <w:p>
      <w:pPr>
        <w:spacing w:line="360" w:lineRule="auto"/>
        <w:jc w:val="left"/>
        <w:rPr>
          <w:rFonts w:ascii="宋体" w:hAnsi="宋体" w:cs="宋体"/>
          <w:b/>
          <w:szCs w:val="21"/>
        </w:rPr>
      </w:pPr>
      <w:r>
        <w:rPr>
          <w:rFonts w:hint="eastAsia" w:ascii="宋体" w:hAnsi="宋体" w:cs="宋体"/>
          <w:b/>
          <w:szCs w:val="21"/>
        </w:rPr>
        <w:t>无偏离表示投标响应等同于招标要求。</w:t>
      </w:r>
    </w:p>
    <w:p>
      <w:pPr>
        <w:pStyle w:val="212"/>
        <w:tabs>
          <w:tab w:val="left" w:pos="6930"/>
          <w:tab w:val="left" w:pos="8360"/>
        </w:tabs>
        <w:spacing w:line="360" w:lineRule="auto"/>
        <w:ind w:right="42"/>
        <w:rPr>
          <w:rFonts w:hAnsi="宋体" w:cs="宋体"/>
          <w:sz w:val="24"/>
        </w:rPr>
      </w:pPr>
    </w:p>
    <w:p>
      <w:pPr>
        <w:pStyle w:val="212"/>
        <w:tabs>
          <w:tab w:val="left" w:pos="6930"/>
          <w:tab w:val="left" w:pos="8360"/>
        </w:tabs>
        <w:spacing w:line="360" w:lineRule="auto"/>
        <w:ind w:right="42"/>
        <w:rPr>
          <w:rFonts w:hAnsi="宋体" w:cs="宋体"/>
          <w:sz w:val="24"/>
        </w:rPr>
      </w:pPr>
    </w:p>
    <w:p>
      <w:pPr>
        <w:pStyle w:val="212"/>
        <w:tabs>
          <w:tab w:val="left" w:pos="6930"/>
          <w:tab w:val="left" w:pos="8360"/>
        </w:tabs>
        <w:spacing w:line="360" w:lineRule="auto"/>
        <w:ind w:right="42"/>
        <w:rPr>
          <w:rFonts w:hAnsi="宋体" w:cs="宋体"/>
          <w:sz w:val="24"/>
        </w:rPr>
      </w:pPr>
    </w:p>
    <w:p>
      <w:pPr>
        <w:pStyle w:val="212"/>
        <w:tabs>
          <w:tab w:val="left" w:pos="6930"/>
          <w:tab w:val="left" w:pos="8360"/>
        </w:tabs>
        <w:spacing w:line="360" w:lineRule="auto"/>
        <w:ind w:right="42"/>
        <w:rPr>
          <w:rFonts w:hAnsi="宋体" w:cs="宋体"/>
          <w:sz w:val="24"/>
        </w:rPr>
      </w:pPr>
    </w:p>
    <w:p>
      <w:pPr>
        <w:pStyle w:val="212"/>
        <w:tabs>
          <w:tab w:val="left" w:pos="6930"/>
          <w:tab w:val="left" w:pos="8360"/>
        </w:tabs>
        <w:spacing w:line="360" w:lineRule="auto"/>
        <w:ind w:right="42"/>
        <w:rPr>
          <w:rFonts w:hAnsi="宋体" w:cs="宋体"/>
          <w:sz w:val="24"/>
        </w:rPr>
      </w:pPr>
    </w:p>
    <w:p>
      <w:pPr>
        <w:pStyle w:val="212"/>
        <w:tabs>
          <w:tab w:val="left" w:pos="6930"/>
          <w:tab w:val="left" w:pos="8360"/>
        </w:tabs>
        <w:spacing w:line="360" w:lineRule="auto"/>
        <w:ind w:right="42"/>
        <w:rPr>
          <w:rFonts w:hAnsi="宋体" w:cs="宋体"/>
          <w:sz w:val="24"/>
        </w:rPr>
      </w:pPr>
    </w:p>
    <w:p>
      <w:pPr>
        <w:pStyle w:val="212"/>
        <w:tabs>
          <w:tab w:val="left" w:pos="6930"/>
          <w:tab w:val="left" w:pos="8360"/>
        </w:tabs>
        <w:spacing w:line="360" w:lineRule="auto"/>
        <w:ind w:right="42"/>
        <w:rPr>
          <w:rFonts w:hAnsi="宋体" w:cs="宋体"/>
          <w:sz w:val="24"/>
        </w:rPr>
      </w:pPr>
    </w:p>
    <w:p>
      <w:pPr>
        <w:pStyle w:val="212"/>
        <w:tabs>
          <w:tab w:val="left" w:pos="6930"/>
          <w:tab w:val="left" w:pos="8360"/>
        </w:tabs>
        <w:spacing w:line="360" w:lineRule="auto"/>
        <w:ind w:right="42"/>
        <w:rPr>
          <w:rFonts w:hAnsi="宋体" w:cs="宋体"/>
          <w:sz w:val="24"/>
        </w:rPr>
      </w:pPr>
    </w:p>
    <w:p>
      <w:pPr>
        <w:spacing w:line="360" w:lineRule="auto"/>
        <w:rPr>
          <w:rFonts w:ascii="宋体" w:hAnsi="宋体" w:cs="宋体"/>
          <w:sz w:val="24"/>
        </w:rPr>
      </w:pPr>
    </w:p>
    <w:p>
      <w:pPr>
        <w:pStyle w:val="3"/>
        <w:rPr>
          <w:rFonts w:hint="eastAsia" w:ascii="宋体" w:hAnsi="宋体" w:eastAsia="宋体" w:cs="宋体"/>
        </w:rPr>
      </w:pPr>
      <w:bookmarkStart w:id="625" w:name="_Toc6202"/>
      <w:bookmarkStart w:id="626" w:name="_Toc511142529"/>
      <w:bookmarkStart w:id="627" w:name="_Toc387526256"/>
      <w:bookmarkStart w:id="628" w:name="_Toc15300"/>
      <w:bookmarkStart w:id="629" w:name="_Toc397928646"/>
      <w:bookmarkStart w:id="630" w:name="_Toc387526360"/>
      <w:bookmarkStart w:id="631" w:name="_Toc387526452"/>
      <w:bookmarkStart w:id="632" w:name="_Toc14342"/>
      <w:r>
        <w:rPr>
          <w:rFonts w:hint="eastAsia"/>
          <w:color w:val="auto"/>
        </w:rPr>
        <w:t>7.</w:t>
      </w:r>
      <w:bookmarkEnd w:id="625"/>
      <w:bookmarkEnd w:id="626"/>
      <w:bookmarkEnd w:id="627"/>
      <w:bookmarkEnd w:id="628"/>
      <w:bookmarkEnd w:id="629"/>
      <w:bookmarkEnd w:id="630"/>
      <w:bookmarkEnd w:id="631"/>
      <w:r>
        <w:rPr>
          <w:rFonts w:hint="eastAsia" w:ascii="宋体" w:hAnsi="宋体" w:eastAsia="宋体" w:cs="宋体"/>
        </w:rPr>
        <w:t>售后服务</w:t>
      </w:r>
      <w:bookmarkEnd w:id="632"/>
    </w:p>
    <w:p>
      <w:pPr>
        <w:pStyle w:val="213"/>
        <w:spacing w:line="360" w:lineRule="auto"/>
        <w:ind w:firstLine="420" w:firstLineChars="200"/>
        <w:rPr>
          <w:rFonts w:hint="eastAsia" w:hAnsi="宋体" w:cs="宋体"/>
          <w:sz w:val="21"/>
          <w:szCs w:val="21"/>
        </w:rPr>
      </w:pPr>
      <w:r>
        <w:rPr>
          <w:rFonts w:hint="eastAsia" w:hAnsi="宋体" w:cs="宋体"/>
          <w:sz w:val="21"/>
          <w:szCs w:val="21"/>
        </w:rPr>
        <w:t>应包含下列内容，但不限于此：</w:t>
      </w:r>
    </w:p>
    <w:p>
      <w:pPr>
        <w:pStyle w:val="213"/>
        <w:spacing w:line="360" w:lineRule="auto"/>
        <w:ind w:firstLine="420" w:firstLineChars="200"/>
        <w:rPr>
          <w:rFonts w:hint="eastAsia" w:hAnsi="宋体" w:cs="宋体"/>
          <w:sz w:val="21"/>
          <w:szCs w:val="21"/>
        </w:rPr>
      </w:pPr>
      <w:r>
        <w:rPr>
          <w:rFonts w:hint="eastAsia" w:hAnsi="宋体" w:cs="宋体"/>
          <w:sz w:val="21"/>
          <w:szCs w:val="21"/>
        </w:rPr>
        <w:t>1、卖方对买方操作、维护人员的培训方案及计划（包括培训人数、时间、地点、内容、目标等）；</w:t>
      </w:r>
    </w:p>
    <w:p>
      <w:pPr>
        <w:ind w:firstLine="420" w:firstLineChars="200"/>
        <w:rPr>
          <w:rFonts w:hint="eastAsia" w:ascii="宋体" w:hAnsi="宋体" w:cs="宋体"/>
        </w:rPr>
      </w:pPr>
      <w:r>
        <w:rPr>
          <w:rFonts w:hint="eastAsia" w:ascii="宋体" w:hAnsi="宋体" w:cs="宋体"/>
        </w:rPr>
        <w:t xml:space="preserve">2、质保期内，卖方对中标货物及服务在质保期内的售后服务具体内容及承诺； </w:t>
      </w:r>
    </w:p>
    <w:p>
      <w:pPr>
        <w:pStyle w:val="213"/>
        <w:spacing w:line="360" w:lineRule="auto"/>
        <w:ind w:firstLine="420" w:firstLineChars="200"/>
        <w:rPr>
          <w:rFonts w:hint="eastAsia" w:hAnsi="宋体" w:cs="宋体"/>
          <w:sz w:val="21"/>
          <w:szCs w:val="21"/>
        </w:rPr>
      </w:pPr>
      <w:r>
        <w:rPr>
          <w:rFonts w:hint="eastAsia" w:hAnsi="宋体" w:cs="宋体"/>
          <w:sz w:val="21"/>
          <w:szCs w:val="21"/>
        </w:rPr>
        <w:t>3、质保期满后，卖方对中标货物及服务在质保期满后，如买方不委托卖方维保的情况下，卖方售后服务具体内容及承诺；如买方委托卖方对中标货物及服务进行售后服务，应分别列出卖方对中标货物及服务质保期满后每年维保清包、大包的范围、内容、价格及相关承诺。</w:t>
      </w:r>
    </w:p>
    <w:p>
      <w:pPr>
        <w:pStyle w:val="213"/>
        <w:spacing w:line="360" w:lineRule="auto"/>
        <w:ind w:firstLine="420" w:firstLineChars="200"/>
        <w:rPr>
          <w:rFonts w:hint="eastAsia" w:hAnsi="宋体" w:cs="宋体"/>
          <w:sz w:val="21"/>
          <w:szCs w:val="21"/>
        </w:rPr>
      </w:pPr>
      <w:r>
        <w:rPr>
          <w:rFonts w:hint="eastAsia" w:hAnsi="宋体" w:cs="宋体"/>
          <w:sz w:val="21"/>
          <w:szCs w:val="21"/>
        </w:rPr>
        <w:t>4、服务内容：设备调试、技术指导、免费提供备品、备件等</w:t>
      </w:r>
    </w:p>
    <w:p>
      <w:pPr>
        <w:pStyle w:val="212"/>
        <w:spacing w:line="360" w:lineRule="auto"/>
        <w:ind w:firstLine="420" w:firstLineChars="200"/>
        <w:rPr>
          <w:rFonts w:hAnsi="宋体" w:cs="宋体"/>
          <w:sz w:val="21"/>
          <w:szCs w:val="21"/>
        </w:rPr>
      </w:pPr>
    </w:p>
    <w:p>
      <w:pPr>
        <w:pStyle w:val="212"/>
        <w:spacing w:line="360" w:lineRule="auto"/>
        <w:rPr>
          <w:rFonts w:hAnsi="宋体" w:cs="宋体"/>
          <w:sz w:val="24"/>
        </w:rPr>
      </w:pPr>
    </w:p>
    <w:p>
      <w:pPr>
        <w:spacing w:line="360" w:lineRule="auto"/>
        <w:rPr>
          <w:rFonts w:ascii="宋体" w:hAnsi="宋体" w:cs="宋体"/>
          <w:szCs w:val="21"/>
        </w:rPr>
      </w:pPr>
    </w:p>
    <w:p>
      <w:pPr>
        <w:pStyle w:val="3"/>
        <w:rPr>
          <w:rFonts w:ascii="宋体" w:hAnsi="宋体" w:eastAsia="宋体"/>
        </w:rPr>
      </w:pPr>
      <w:r>
        <w:rPr>
          <w:rFonts w:ascii="宋体"/>
        </w:rPr>
        <w:br w:type="page"/>
      </w:r>
      <w:bookmarkStart w:id="633" w:name="_Toc27568"/>
      <w:bookmarkStart w:id="634" w:name="_Toc26335"/>
      <w:bookmarkStart w:id="635" w:name="_Toc511142530"/>
      <w:bookmarkStart w:id="636" w:name="_Toc397928649"/>
      <w:r>
        <w:rPr>
          <w:rFonts w:hint="eastAsia" w:ascii="宋体" w:hAnsi="宋体" w:eastAsia="宋体"/>
        </w:rPr>
        <w:t>8.投标货物的安装、调试等方案</w:t>
      </w:r>
      <w:bookmarkEnd w:id="633"/>
      <w:bookmarkEnd w:id="634"/>
      <w:bookmarkEnd w:id="635"/>
      <w:bookmarkEnd w:id="636"/>
    </w:p>
    <w:p>
      <w:pPr>
        <w:pStyle w:val="212"/>
        <w:spacing w:line="360" w:lineRule="auto"/>
        <w:ind w:firstLine="315" w:firstLineChars="150"/>
        <w:jc w:val="left"/>
        <w:rPr>
          <w:rFonts w:hAnsi="宋体" w:cs="宋体"/>
          <w:sz w:val="21"/>
          <w:szCs w:val="21"/>
        </w:rPr>
      </w:pPr>
      <w:r>
        <w:rPr>
          <w:rFonts w:hint="eastAsia" w:hAnsi="宋体" w:cs="宋体"/>
          <w:sz w:val="21"/>
          <w:szCs w:val="21"/>
        </w:rPr>
        <w:t>内容应包含组织机构、人员配备、项目负责人、安装计划、实施方案；时间、质量、安全控制措施，以及需买方配合的工作和提供的条件.</w:t>
      </w:r>
    </w:p>
    <w:p>
      <w:pPr>
        <w:pStyle w:val="212"/>
        <w:spacing w:line="360" w:lineRule="auto"/>
        <w:ind w:firstLine="360" w:firstLineChars="150"/>
        <w:jc w:val="left"/>
        <w:rPr>
          <w:rFonts w:hAnsi="宋体" w:cs="宋体"/>
          <w:sz w:val="24"/>
        </w:rPr>
      </w:pPr>
    </w:p>
    <w:p>
      <w:pPr>
        <w:pStyle w:val="3"/>
        <w:rPr>
          <w:rFonts w:ascii="宋体" w:hAnsi="宋体" w:eastAsia="宋体"/>
        </w:rPr>
      </w:pPr>
      <w:r>
        <w:rPr>
          <w:rFonts w:ascii="宋体" w:hAnsi="宋体" w:eastAsia="宋体"/>
        </w:rPr>
        <w:br w:type="page"/>
      </w:r>
      <w:bookmarkStart w:id="637" w:name="_Toc397928650"/>
      <w:bookmarkStart w:id="638" w:name="_Toc511142531"/>
      <w:bookmarkStart w:id="639" w:name="_Toc6591"/>
      <w:bookmarkStart w:id="640" w:name="_Toc13365"/>
      <w:r>
        <w:rPr>
          <w:rFonts w:hint="eastAsia" w:ascii="宋体" w:hAnsi="宋体" w:eastAsia="宋体"/>
        </w:rPr>
        <w:t>9.投标货物相关检测报告、证书</w:t>
      </w:r>
      <w:bookmarkEnd w:id="637"/>
      <w:bookmarkEnd w:id="638"/>
      <w:bookmarkEnd w:id="639"/>
      <w:bookmarkEnd w:id="640"/>
    </w:p>
    <w:p>
      <w:pPr>
        <w:pStyle w:val="212"/>
        <w:spacing w:line="360" w:lineRule="auto"/>
        <w:jc w:val="left"/>
        <w:rPr>
          <w:rFonts w:hAnsi="宋体" w:cs="宋体"/>
          <w:b/>
          <w:sz w:val="24"/>
        </w:rPr>
      </w:pPr>
    </w:p>
    <w:p>
      <w:pPr>
        <w:pStyle w:val="3"/>
        <w:rPr>
          <w:rFonts w:ascii="宋体" w:hAnsi="宋体" w:eastAsia="宋体"/>
        </w:rPr>
      </w:pPr>
      <w:r>
        <w:rPr>
          <w:rFonts w:ascii="宋体" w:hAnsi="宋体" w:eastAsia="宋体"/>
        </w:rPr>
        <w:br w:type="page"/>
      </w:r>
      <w:bookmarkStart w:id="641" w:name="_Toc5362"/>
      <w:bookmarkStart w:id="642" w:name="_Toc397928652"/>
      <w:bookmarkStart w:id="643" w:name="_Toc511142532"/>
      <w:bookmarkStart w:id="644" w:name="_Toc20035"/>
      <w:r>
        <w:rPr>
          <w:rFonts w:hint="eastAsia" w:ascii="宋体" w:hAnsi="宋体" w:eastAsia="宋体"/>
        </w:rPr>
        <w:t>10.为完成本项目投标人认为所需要的其它资料</w:t>
      </w:r>
      <w:bookmarkEnd w:id="641"/>
      <w:bookmarkEnd w:id="642"/>
      <w:bookmarkEnd w:id="643"/>
      <w:bookmarkEnd w:id="644"/>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pPr>
    </w:p>
    <w:p>
      <w:pPr>
        <w:pStyle w:val="212"/>
        <w:spacing w:line="360" w:lineRule="auto"/>
        <w:rPr>
          <w:rFonts w:hAnsi="宋体" w:cs="宋体"/>
          <w:sz w:val="24"/>
        </w:rPr>
        <w:sectPr>
          <w:footerReference r:id="rId5" w:type="default"/>
          <w:pgSz w:w="11906" w:h="16838"/>
          <w:pgMar w:top="1247" w:right="1418" w:bottom="1134" w:left="1418" w:header="851" w:footer="992" w:gutter="0"/>
          <w:pgNumType w:fmt="decimal"/>
          <w:cols w:space="720" w:num="1"/>
          <w:docGrid w:type="linesAndChars" w:linePitch="312" w:charSpace="0"/>
        </w:sectPr>
      </w:pPr>
    </w:p>
    <w:p>
      <w:pPr>
        <w:spacing w:line="440" w:lineRule="exact"/>
        <w:jc w:val="center"/>
        <w:rPr>
          <w:rFonts w:ascii="宋体" w:hAnsi="宋体"/>
          <w:b/>
          <w:sz w:val="32"/>
          <w:szCs w:val="32"/>
        </w:rPr>
      </w:pPr>
      <w:r>
        <w:rPr>
          <w:rFonts w:hint="eastAsia" w:ascii="宋体" w:hAnsi="宋体"/>
          <w:b/>
          <w:sz w:val="32"/>
          <w:szCs w:val="32"/>
        </w:rPr>
        <w:t>11、开标一览表</w:t>
      </w:r>
    </w:p>
    <w:p>
      <w:pPr>
        <w:snapToGrid w:val="0"/>
        <w:spacing w:before="50" w:after="50" w:line="440" w:lineRule="exact"/>
        <w:ind w:firstLine="420" w:firstLineChars="200"/>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p>
    <w:p>
      <w:pPr>
        <w:snapToGrid w:val="0"/>
        <w:spacing w:before="50" w:after="50" w:line="440" w:lineRule="exact"/>
        <w:ind w:firstLine="420" w:firstLineChars="200"/>
        <w:rPr>
          <w:rFonts w:ascii="宋体" w:hAnsi="宋体"/>
          <w:szCs w:val="21"/>
        </w:rPr>
      </w:pP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单位：元</w:t>
      </w:r>
    </w:p>
    <w:tbl>
      <w:tblPr>
        <w:tblStyle w:val="48"/>
        <w:tblW w:w="12643"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4269"/>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序号</w:t>
            </w:r>
          </w:p>
        </w:tc>
        <w:tc>
          <w:tcPr>
            <w:tcW w:w="42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项目名称</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exact"/>
        </w:trPr>
        <w:tc>
          <w:tcPr>
            <w:tcW w:w="720" w:type="dxa"/>
            <w:vMerge w:val="restart"/>
            <w:tcBorders>
              <w:top w:val="single" w:color="auto" w:sz="4" w:space="0"/>
              <w:left w:val="single" w:color="auto" w:sz="4" w:space="0"/>
              <w:right w:val="single" w:color="auto" w:sz="4" w:space="0"/>
            </w:tcBorders>
            <w:vAlign w:val="center"/>
          </w:tcPr>
          <w:p>
            <w:pPr>
              <w:snapToGrid w:val="0"/>
              <w:spacing w:before="50" w:after="50" w:line="440" w:lineRule="exact"/>
              <w:jc w:val="center"/>
              <w:rPr>
                <w:rFonts w:ascii="宋体" w:hAnsi="宋体"/>
                <w:szCs w:val="21"/>
              </w:rPr>
            </w:pPr>
            <w:r>
              <w:rPr>
                <w:rFonts w:hint="eastAsia" w:ascii="宋体" w:hAnsi="宋体"/>
                <w:szCs w:val="21"/>
              </w:rPr>
              <w:t>1</w:t>
            </w:r>
          </w:p>
        </w:tc>
        <w:tc>
          <w:tcPr>
            <w:tcW w:w="426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kern w:val="0"/>
                <w:szCs w:val="21"/>
                <w:lang w:eastAsia="zh-CN"/>
              </w:rPr>
            </w:pPr>
            <w:r>
              <w:rPr>
                <w:rFonts w:hint="eastAsia" w:ascii="宋体" w:hAnsi="宋体"/>
                <w:szCs w:val="21"/>
              </w:rPr>
              <w:t>盐城市大丰区幸福路小学校园监控系统设备采购安装及伴随服务项目</w:t>
            </w:r>
            <w:r>
              <w:rPr>
                <w:rFonts w:hint="eastAsia" w:ascii="宋体" w:hAnsi="宋体"/>
                <w:szCs w:val="21"/>
                <w:lang w:eastAsia="zh-CN"/>
              </w:rPr>
              <w:t>（</w:t>
            </w:r>
            <w:r>
              <w:rPr>
                <w:rFonts w:hint="eastAsia" w:ascii="宋体" w:hAnsi="宋体"/>
                <w:szCs w:val="21"/>
                <w:lang w:val="en-US" w:eastAsia="zh-CN"/>
              </w:rPr>
              <w:t>二次</w:t>
            </w:r>
            <w:r>
              <w:rPr>
                <w:rFonts w:hint="eastAsia" w:ascii="宋体" w:hAnsi="宋体"/>
                <w:szCs w:val="21"/>
                <w:lang w:eastAsia="zh-CN"/>
              </w:rPr>
              <w:t>）</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ind w:right="-860" w:rightChars="-410"/>
              <w:jc w:val="left"/>
              <w:rPr>
                <w:rFonts w:ascii="宋体" w:hAnsi="宋体"/>
                <w:bCs/>
                <w:szCs w:val="21"/>
              </w:rPr>
            </w:pPr>
            <w:r>
              <w:rPr>
                <w:rFonts w:hint="eastAsia" w:ascii="宋体" w:hAnsi="宋体"/>
                <w:bCs/>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exact"/>
        </w:trPr>
        <w:tc>
          <w:tcPr>
            <w:tcW w:w="720" w:type="dxa"/>
            <w:vMerge w:val="continue"/>
            <w:tcBorders>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szCs w:val="21"/>
              </w:rPr>
            </w:pPr>
          </w:p>
        </w:tc>
        <w:tc>
          <w:tcPr>
            <w:tcW w:w="42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ind w:right="-860" w:rightChars="-410"/>
              <w:jc w:val="left"/>
              <w:rPr>
                <w:rFonts w:ascii="宋体" w:hAnsi="宋体"/>
                <w:bCs/>
                <w:szCs w:val="21"/>
              </w:rPr>
            </w:pPr>
            <w:r>
              <w:rPr>
                <w:rFonts w:hint="eastAsia" w:ascii="宋体" w:hAnsi="宋体"/>
                <w:bCs/>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498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质保期</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6" w:hRule="exact"/>
        </w:trPr>
        <w:tc>
          <w:tcPr>
            <w:tcW w:w="498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b/>
                <w:szCs w:val="21"/>
              </w:rPr>
            </w:pPr>
            <w:r>
              <w:rPr>
                <w:rFonts w:hint="eastAsia" w:ascii="宋体" w:hAnsi="宋体"/>
                <w:b/>
                <w:szCs w:val="21"/>
              </w:rPr>
              <w:t>供货期限</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szCs w:val="21"/>
              </w:rPr>
            </w:pPr>
            <w:r>
              <w:rPr>
                <w:rFonts w:hint="eastAsia" w:ascii="宋体" w:hAnsi="宋体"/>
                <w:szCs w:val="21"/>
              </w:rPr>
              <w:t>合同签订后</w:t>
            </w:r>
            <w:r>
              <w:rPr>
                <w:rFonts w:hint="eastAsia" w:ascii="宋体" w:hAnsi="宋体"/>
                <w:szCs w:val="21"/>
                <w:u w:val="single"/>
              </w:rPr>
              <w:t xml:space="preserve">    </w:t>
            </w:r>
            <w:r>
              <w:rPr>
                <w:rFonts w:hint="eastAsia" w:ascii="宋体" w:hAnsi="宋体" w:cs="宋体"/>
                <w:color w:val="000000"/>
                <w:kern w:val="0"/>
                <w:szCs w:val="21"/>
                <w:u w:val="none"/>
              </w:rPr>
              <w:t>日历天内完成所有设备的供货、安装、调试并经验收合格</w:t>
            </w:r>
          </w:p>
        </w:tc>
      </w:tr>
    </w:tbl>
    <w:p>
      <w:pPr>
        <w:snapToGrid w:val="0"/>
        <w:spacing w:line="440" w:lineRule="exact"/>
        <w:ind w:firstLine="420" w:firstLineChars="200"/>
        <w:jc w:val="left"/>
        <w:rPr>
          <w:rFonts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snapToGrid w:val="0"/>
        <w:spacing w:line="440" w:lineRule="exact"/>
        <w:ind w:left="478" w:leftChars="228" w:firstLine="315" w:firstLineChars="150"/>
        <w:jc w:val="left"/>
        <w:rPr>
          <w:rFonts w:ascii="宋体" w:hAnsi="宋体"/>
          <w:szCs w:val="21"/>
        </w:rPr>
      </w:pPr>
      <w:r>
        <w:rPr>
          <w:rFonts w:ascii="宋体" w:hAnsi="宋体"/>
          <w:szCs w:val="21"/>
        </w:rPr>
        <w:t>2</w:t>
      </w:r>
      <w:r>
        <w:rPr>
          <w:rFonts w:hint="eastAsia" w:ascii="宋体" w:hAnsi="宋体"/>
          <w:szCs w:val="21"/>
        </w:rPr>
        <w:t>、投标费用包括本项目招标文件规定的一切费用。</w:t>
      </w:r>
    </w:p>
    <w:p>
      <w:pPr>
        <w:snapToGrid w:val="0"/>
        <w:spacing w:line="440" w:lineRule="exact"/>
        <w:ind w:left="478" w:leftChars="228" w:firstLine="315" w:firstLineChars="150"/>
        <w:jc w:val="left"/>
        <w:rPr>
          <w:rFonts w:ascii="宋体" w:hAnsi="宋体"/>
          <w:szCs w:val="21"/>
        </w:rPr>
      </w:pPr>
      <w:r>
        <w:rPr>
          <w:rFonts w:hint="eastAsia" w:ascii="宋体" w:hAnsi="宋体"/>
          <w:szCs w:val="21"/>
        </w:rPr>
        <w:t>3、</w:t>
      </w:r>
      <w:r>
        <w:rPr>
          <w:rFonts w:hint="eastAsia" w:ascii="宋体" w:hAnsi="宋体"/>
          <w:szCs w:val="21"/>
          <w:u w:val="single"/>
        </w:rPr>
        <w:t>此表请单独密封提交，信封封面请注明招标编号、项目名称、投标人名称及“开标一览表”字样。</w:t>
      </w:r>
    </w:p>
    <w:p>
      <w:pPr>
        <w:snapToGrid w:val="0"/>
        <w:spacing w:line="440" w:lineRule="exact"/>
        <w:ind w:left="-2" w:leftChars="-1" w:right="-816" w:rightChars="-389" w:firstLine="420" w:firstLineChars="200"/>
        <w:rPr>
          <w:rFonts w:ascii="宋体" w:hAnsi="宋体"/>
          <w:szCs w:val="21"/>
        </w:rPr>
      </w:pPr>
      <w:r>
        <w:rPr>
          <w:rFonts w:hint="eastAsia" w:ascii="宋体" w:hAnsi="宋体"/>
          <w:szCs w:val="21"/>
        </w:rPr>
        <w:t>投标人名称（盖章）：</w:t>
      </w:r>
      <w:r>
        <w:rPr>
          <w:rFonts w:ascii="宋体" w:hAnsi="宋体"/>
          <w:szCs w:val="21"/>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w:t>
      </w:r>
    </w:p>
    <w:p>
      <w:pPr>
        <w:snapToGrid w:val="0"/>
        <w:spacing w:line="440" w:lineRule="exact"/>
        <w:ind w:left="-2" w:leftChars="-1" w:right="-816" w:rightChars="-389" w:firstLine="420" w:firstLineChars="200"/>
        <w:rPr>
          <w:rFonts w:ascii="宋体" w:hAnsi="宋体"/>
          <w:szCs w:val="21"/>
        </w:rPr>
      </w:pPr>
      <w:r>
        <w:rPr>
          <w:rFonts w:hint="eastAsia" w:ascii="宋体" w:hAnsi="宋体"/>
          <w:szCs w:val="21"/>
        </w:rPr>
        <w:t xml:space="preserve">法定代表人（签字或盖章）： </w:t>
      </w:r>
      <w:r>
        <w:rPr>
          <w:rFonts w:ascii="宋体" w:hAnsi="宋体"/>
          <w:szCs w:val="21"/>
          <w:u w:val="single"/>
        </w:rPr>
        <w:t xml:space="preserve">            </w:t>
      </w:r>
      <w:r>
        <w:rPr>
          <w:rFonts w:hint="eastAsia" w:ascii="宋体" w:hAnsi="宋体"/>
          <w:szCs w:val="21"/>
        </w:rPr>
        <w:t xml:space="preserve">  </w:t>
      </w:r>
    </w:p>
    <w:p>
      <w:pPr>
        <w:snapToGrid w:val="0"/>
        <w:spacing w:line="440" w:lineRule="exact"/>
        <w:ind w:left="-2" w:leftChars="-1" w:right="-816" w:rightChars="-389" w:firstLine="420" w:firstLineChars="200"/>
        <w:rPr>
          <w:rFonts w:ascii="宋体" w:hAnsi="宋体"/>
          <w:szCs w:val="21"/>
          <w:u w:val="single"/>
        </w:rPr>
      </w:pPr>
      <w:r>
        <w:rPr>
          <w:rFonts w:hint="eastAsia" w:ascii="宋体" w:hAnsi="宋体"/>
          <w:szCs w:val="21"/>
        </w:rPr>
        <w:t xml:space="preserve">授权委托代理人（签字或盖章）： </w:t>
      </w:r>
      <w:r>
        <w:rPr>
          <w:rFonts w:ascii="宋体" w:hAnsi="宋体"/>
          <w:szCs w:val="21"/>
          <w:u w:val="single"/>
        </w:rPr>
        <w:t xml:space="preserve">            </w:t>
      </w:r>
      <w:r>
        <w:rPr>
          <w:rFonts w:hint="eastAsia" w:ascii="宋体" w:hAnsi="宋体"/>
          <w:szCs w:val="21"/>
        </w:rPr>
        <w:t xml:space="preserve"> （如有授权）                             日期：</w:t>
      </w:r>
      <w:r>
        <w:rPr>
          <w:rFonts w:ascii="宋体" w:hAnsi="宋体"/>
          <w:szCs w:val="21"/>
          <w:u w:val="single"/>
        </w:rPr>
        <w:t xml:space="preserve">    </w:t>
      </w:r>
      <w:r>
        <w:rPr>
          <w:rFonts w:hint="eastAsia" w:ascii="宋体" w:hAnsi="宋体"/>
          <w:szCs w:val="21"/>
          <w:u w:val="single"/>
        </w:rPr>
        <w:t>年</w:t>
      </w:r>
      <w:r>
        <w:rPr>
          <w:rFonts w:ascii="宋体" w:hAnsi="宋体"/>
          <w:szCs w:val="21"/>
          <w:u w:val="single"/>
        </w:rPr>
        <w:t xml:space="preserve">   </w:t>
      </w:r>
      <w:r>
        <w:rPr>
          <w:rFonts w:hint="eastAsia" w:ascii="宋体" w:hAnsi="宋体"/>
          <w:szCs w:val="21"/>
          <w:u w:val="single"/>
        </w:rPr>
        <w:t>月</w:t>
      </w:r>
      <w:r>
        <w:rPr>
          <w:rFonts w:ascii="宋体" w:hAnsi="宋体"/>
          <w:szCs w:val="21"/>
          <w:u w:val="single"/>
        </w:rPr>
        <w:t xml:space="preserve">   </w:t>
      </w:r>
      <w:r>
        <w:rPr>
          <w:rFonts w:hint="eastAsia" w:ascii="宋体" w:hAnsi="宋体"/>
          <w:szCs w:val="21"/>
          <w:u w:val="single"/>
        </w:rPr>
        <w:t>日</w:t>
      </w:r>
    </w:p>
    <w:p>
      <w:pPr>
        <w:snapToGrid w:val="0"/>
        <w:spacing w:before="50" w:after="50" w:line="440" w:lineRule="exact"/>
        <w:ind w:left="-21" w:leftChars="-72" w:right="-816" w:rightChars="-389" w:hanging="130" w:hangingChars="62"/>
        <w:rPr>
          <w:rFonts w:hAnsi="宋体" w:cs="宋体"/>
          <w:sz w:val="24"/>
        </w:rPr>
      </w:pPr>
      <w:r>
        <w:rPr>
          <w:rFonts w:hint="eastAsia" w:ascii="宋体" w:hAnsi="宋体"/>
          <w:b/>
          <w:szCs w:val="21"/>
        </w:rPr>
        <w:t>需附：法定代表人身份证明书或授权委托代理人身份证复印件及授权委托书原件</w:t>
      </w:r>
    </w:p>
    <w:sectPr>
      <w:footerReference r:id="rId6" w:type="default"/>
      <w:pgSz w:w="16838" w:h="11906" w:orient="landscape"/>
      <w:pgMar w:top="1797" w:right="1440" w:bottom="1797"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2"/>
      </w:rPr>
    </w:pPr>
  </w:p>
  <w:p>
    <w:pPr>
      <w:pStyle w:val="31"/>
      <w:jc w:val="center"/>
    </w:pP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2"/>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1"/>
      <w:jc w:val="center"/>
    </w:pP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p>
    <w:pPr>
      <w:pStyle w:val="31"/>
      <w:jc w:val="center"/>
    </w:pP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5724F"/>
    <w:multiLevelType w:val="singleLevel"/>
    <w:tmpl w:val="9505724F"/>
    <w:lvl w:ilvl="0" w:tentative="0">
      <w:start w:val="5"/>
      <w:numFmt w:val="chineseCounting"/>
      <w:suff w:val="space"/>
      <w:lvlText w:val="第%1章"/>
      <w:lvlJc w:val="left"/>
      <w:rPr>
        <w:rFonts w:hint="eastAsia"/>
      </w:rPr>
    </w:lvl>
  </w:abstractNum>
  <w:abstractNum w:abstractNumId="1">
    <w:nsid w:val="A0DD9753"/>
    <w:multiLevelType w:val="singleLevel"/>
    <w:tmpl w:val="A0DD9753"/>
    <w:lvl w:ilvl="0" w:tentative="0">
      <w:start w:val="1"/>
      <w:numFmt w:val="decimalEnclosedCircleChinese"/>
      <w:suff w:val="nothing"/>
      <w:lvlText w:val="%1　"/>
      <w:lvlJc w:val="left"/>
      <w:pPr>
        <w:ind w:left="0" w:firstLine="400"/>
      </w:pPr>
      <w:rPr>
        <w:rFonts w:hint="eastAsia"/>
      </w:rPr>
    </w:lvl>
  </w:abstractNum>
  <w:abstractNum w:abstractNumId="2">
    <w:nsid w:val="A319097B"/>
    <w:multiLevelType w:val="singleLevel"/>
    <w:tmpl w:val="A319097B"/>
    <w:lvl w:ilvl="0" w:tentative="0">
      <w:start w:val="1"/>
      <w:numFmt w:val="chineseCounting"/>
      <w:suff w:val="nothing"/>
      <w:lvlText w:val="（%1）"/>
      <w:lvlJc w:val="left"/>
      <w:pPr>
        <w:ind w:left="0" w:firstLine="420"/>
      </w:pPr>
      <w:rPr>
        <w:rFonts w:hint="eastAsia"/>
      </w:rPr>
    </w:lvl>
  </w:abstractNum>
  <w:abstractNum w:abstractNumId="3">
    <w:nsid w:val="DE34B63D"/>
    <w:multiLevelType w:val="singleLevel"/>
    <w:tmpl w:val="DE34B63D"/>
    <w:lvl w:ilvl="0" w:tentative="0">
      <w:start w:val="1"/>
      <w:numFmt w:val="decimal"/>
      <w:lvlText w:val="(%1)"/>
      <w:lvlJc w:val="left"/>
      <w:pPr>
        <w:ind w:left="425" w:hanging="425"/>
      </w:pPr>
      <w:rPr>
        <w:rFonts w:hint="default"/>
      </w:rPr>
    </w:lvl>
  </w:abstractNum>
  <w:abstractNum w:abstractNumId="4">
    <w:nsid w:val="E24132E2"/>
    <w:multiLevelType w:val="singleLevel"/>
    <w:tmpl w:val="E24132E2"/>
    <w:lvl w:ilvl="0" w:tentative="0">
      <w:start w:val="1"/>
      <w:numFmt w:val="decimal"/>
      <w:lvlText w:val="(%1)"/>
      <w:lvlJc w:val="left"/>
      <w:pPr>
        <w:ind w:left="425" w:hanging="425"/>
      </w:pPr>
      <w:rPr>
        <w:rFonts w:hint="default"/>
      </w:rPr>
    </w:lvl>
  </w:abstractNum>
  <w:abstractNum w:abstractNumId="5">
    <w:nsid w:val="E7041D91"/>
    <w:multiLevelType w:val="singleLevel"/>
    <w:tmpl w:val="E7041D91"/>
    <w:lvl w:ilvl="0" w:tentative="0">
      <w:start w:val="1"/>
      <w:numFmt w:val="decimal"/>
      <w:lvlText w:val="%1."/>
      <w:lvlJc w:val="left"/>
      <w:pPr>
        <w:ind w:left="425" w:hanging="425"/>
      </w:pPr>
      <w:rPr>
        <w:rFonts w:hint="default"/>
      </w:rPr>
    </w:lvl>
  </w:abstractNum>
  <w:abstractNum w:abstractNumId="6">
    <w:nsid w:val="0C36ECFE"/>
    <w:multiLevelType w:val="singleLevel"/>
    <w:tmpl w:val="0C36ECFE"/>
    <w:lvl w:ilvl="0" w:tentative="0">
      <w:start w:val="1"/>
      <w:numFmt w:val="decimal"/>
      <w:suff w:val="nothing"/>
      <w:lvlText w:val="（%1）"/>
      <w:lvlJc w:val="left"/>
    </w:lvl>
  </w:abstractNum>
  <w:abstractNum w:abstractNumId="7">
    <w:nsid w:val="13964B1C"/>
    <w:multiLevelType w:val="singleLevel"/>
    <w:tmpl w:val="13964B1C"/>
    <w:lvl w:ilvl="0" w:tentative="0">
      <w:start w:val="1"/>
      <w:numFmt w:val="decimal"/>
      <w:lvlText w:val="%1."/>
      <w:lvlJc w:val="left"/>
      <w:pPr>
        <w:ind w:left="425" w:hanging="425"/>
      </w:pPr>
      <w:rPr>
        <w:rFonts w:hint="default"/>
      </w:rPr>
    </w:lvl>
  </w:abstractNum>
  <w:abstractNum w:abstractNumId="8">
    <w:nsid w:val="2B3B5D7D"/>
    <w:multiLevelType w:val="singleLevel"/>
    <w:tmpl w:val="2B3B5D7D"/>
    <w:lvl w:ilvl="0" w:tentative="0">
      <w:start w:val="1"/>
      <w:numFmt w:val="decimal"/>
      <w:lvlText w:val="%1."/>
      <w:lvlJc w:val="left"/>
      <w:pPr>
        <w:ind w:left="425" w:hanging="425"/>
      </w:pPr>
      <w:rPr>
        <w:rFonts w:hint="default"/>
      </w:rPr>
    </w:lvl>
  </w:abstractNum>
  <w:abstractNum w:abstractNumId="9">
    <w:nsid w:val="575F8184"/>
    <w:multiLevelType w:val="singleLevel"/>
    <w:tmpl w:val="575F8184"/>
    <w:lvl w:ilvl="0" w:tentative="0">
      <w:start w:val="1"/>
      <w:numFmt w:val="decimal"/>
      <w:lvlText w:val="%1."/>
      <w:lvlJc w:val="left"/>
      <w:pPr>
        <w:ind w:left="425" w:hanging="425"/>
      </w:pPr>
      <w:rPr>
        <w:rFonts w:hint="default"/>
      </w:rPr>
    </w:lvl>
  </w:abstractNum>
  <w:abstractNum w:abstractNumId="10">
    <w:nsid w:val="6243AAB6"/>
    <w:multiLevelType w:val="singleLevel"/>
    <w:tmpl w:val="6243AAB6"/>
    <w:lvl w:ilvl="0" w:tentative="0">
      <w:start w:val="1"/>
      <w:numFmt w:val="decimal"/>
      <w:lvlText w:val="%1."/>
      <w:lvlJc w:val="left"/>
      <w:pPr>
        <w:ind w:left="425" w:hanging="425"/>
      </w:pPr>
      <w:rPr>
        <w:rFonts w:hint="default"/>
      </w:rPr>
    </w:lvl>
  </w:abstractNum>
  <w:abstractNum w:abstractNumId="11">
    <w:nsid w:val="78D467B8"/>
    <w:multiLevelType w:val="singleLevel"/>
    <w:tmpl w:val="78D467B8"/>
    <w:lvl w:ilvl="0" w:tentative="0">
      <w:start w:val="4"/>
      <w:numFmt w:val="chineseCounting"/>
      <w:suff w:val="nothing"/>
      <w:lvlText w:val="%1、"/>
      <w:lvlJc w:val="left"/>
      <w:rPr>
        <w:rFonts w:hint="eastAsia"/>
      </w:rPr>
    </w:lvl>
  </w:abstractNum>
  <w:num w:numId="1">
    <w:abstractNumId w:val="11"/>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 w:numId="9">
    <w:abstractNumId w:val="9"/>
  </w:num>
  <w:num w:numId="10">
    <w:abstractNumId w:val="8"/>
  </w:num>
  <w:num w:numId="11">
    <w:abstractNumId w:val="1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BFA"/>
    <w:rsid w:val="00006FFE"/>
    <w:rsid w:val="00007B66"/>
    <w:rsid w:val="000208B6"/>
    <w:rsid w:val="0002472F"/>
    <w:rsid w:val="00024F72"/>
    <w:rsid w:val="0003111F"/>
    <w:rsid w:val="00032BBD"/>
    <w:rsid w:val="00040434"/>
    <w:rsid w:val="00044903"/>
    <w:rsid w:val="00055B9E"/>
    <w:rsid w:val="00056AEC"/>
    <w:rsid w:val="000675FD"/>
    <w:rsid w:val="000768D6"/>
    <w:rsid w:val="000858A0"/>
    <w:rsid w:val="000900AB"/>
    <w:rsid w:val="000A2BE9"/>
    <w:rsid w:val="000B11DC"/>
    <w:rsid w:val="000B3148"/>
    <w:rsid w:val="000C3198"/>
    <w:rsid w:val="000D1379"/>
    <w:rsid w:val="000D212F"/>
    <w:rsid w:val="000D5891"/>
    <w:rsid w:val="000E3612"/>
    <w:rsid w:val="000E3730"/>
    <w:rsid w:val="000E5A21"/>
    <w:rsid w:val="000F1EE4"/>
    <w:rsid w:val="00105310"/>
    <w:rsid w:val="00107E60"/>
    <w:rsid w:val="00115CCE"/>
    <w:rsid w:val="001166C9"/>
    <w:rsid w:val="00121D9D"/>
    <w:rsid w:val="00130EE0"/>
    <w:rsid w:val="00133BFE"/>
    <w:rsid w:val="00147EA7"/>
    <w:rsid w:val="00150576"/>
    <w:rsid w:val="001531D1"/>
    <w:rsid w:val="00153411"/>
    <w:rsid w:val="00164760"/>
    <w:rsid w:val="00172A27"/>
    <w:rsid w:val="0017536A"/>
    <w:rsid w:val="0017674A"/>
    <w:rsid w:val="0018412C"/>
    <w:rsid w:val="00186233"/>
    <w:rsid w:val="00193C6B"/>
    <w:rsid w:val="001A03BC"/>
    <w:rsid w:val="001A5E97"/>
    <w:rsid w:val="001A7873"/>
    <w:rsid w:val="001A7939"/>
    <w:rsid w:val="001A7BC3"/>
    <w:rsid w:val="001B2AFC"/>
    <w:rsid w:val="001B4BAA"/>
    <w:rsid w:val="001B532A"/>
    <w:rsid w:val="001C6628"/>
    <w:rsid w:val="001F1749"/>
    <w:rsid w:val="001F23CD"/>
    <w:rsid w:val="001F6279"/>
    <w:rsid w:val="00200588"/>
    <w:rsid w:val="00203C9D"/>
    <w:rsid w:val="00210ABA"/>
    <w:rsid w:val="002156C0"/>
    <w:rsid w:val="00236EDC"/>
    <w:rsid w:val="002379CA"/>
    <w:rsid w:val="00242181"/>
    <w:rsid w:val="00243D45"/>
    <w:rsid w:val="002464F5"/>
    <w:rsid w:val="00252C68"/>
    <w:rsid w:val="002555B1"/>
    <w:rsid w:val="00260D39"/>
    <w:rsid w:val="00267743"/>
    <w:rsid w:val="00276703"/>
    <w:rsid w:val="00281FC0"/>
    <w:rsid w:val="00284340"/>
    <w:rsid w:val="002849C4"/>
    <w:rsid w:val="00285F2A"/>
    <w:rsid w:val="002878FB"/>
    <w:rsid w:val="00291077"/>
    <w:rsid w:val="00291E6B"/>
    <w:rsid w:val="0029308D"/>
    <w:rsid w:val="002934A9"/>
    <w:rsid w:val="00293E5D"/>
    <w:rsid w:val="00294E78"/>
    <w:rsid w:val="002A1AF9"/>
    <w:rsid w:val="002C5A49"/>
    <w:rsid w:val="002C648A"/>
    <w:rsid w:val="002C7F05"/>
    <w:rsid w:val="002D1D22"/>
    <w:rsid w:val="002E2B7C"/>
    <w:rsid w:val="002E4777"/>
    <w:rsid w:val="002F0C5D"/>
    <w:rsid w:val="002F3EAB"/>
    <w:rsid w:val="002F42A2"/>
    <w:rsid w:val="002F4999"/>
    <w:rsid w:val="002F734F"/>
    <w:rsid w:val="003006AF"/>
    <w:rsid w:val="00301018"/>
    <w:rsid w:val="00310810"/>
    <w:rsid w:val="003152B9"/>
    <w:rsid w:val="00317C3D"/>
    <w:rsid w:val="00324A05"/>
    <w:rsid w:val="00330498"/>
    <w:rsid w:val="00331FD9"/>
    <w:rsid w:val="00334160"/>
    <w:rsid w:val="00341FCB"/>
    <w:rsid w:val="003441D2"/>
    <w:rsid w:val="00344FA2"/>
    <w:rsid w:val="00345423"/>
    <w:rsid w:val="0034575F"/>
    <w:rsid w:val="00356916"/>
    <w:rsid w:val="00360AF7"/>
    <w:rsid w:val="00362398"/>
    <w:rsid w:val="003665BE"/>
    <w:rsid w:val="003720AB"/>
    <w:rsid w:val="00382458"/>
    <w:rsid w:val="003A2552"/>
    <w:rsid w:val="003B6B41"/>
    <w:rsid w:val="003C2D18"/>
    <w:rsid w:val="003C7E9D"/>
    <w:rsid w:val="003D1338"/>
    <w:rsid w:val="003D13E2"/>
    <w:rsid w:val="003D2414"/>
    <w:rsid w:val="003D755B"/>
    <w:rsid w:val="003F1AA4"/>
    <w:rsid w:val="003F266B"/>
    <w:rsid w:val="003F5565"/>
    <w:rsid w:val="00401052"/>
    <w:rsid w:val="00406118"/>
    <w:rsid w:val="004110B3"/>
    <w:rsid w:val="00411827"/>
    <w:rsid w:val="00421366"/>
    <w:rsid w:val="004228D3"/>
    <w:rsid w:val="00423FFA"/>
    <w:rsid w:val="0042450C"/>
    <w:rsid w:val="004329CD"/>
    <w:rsid w:val="0043519F"/>
    <w:rsid w:val="004534E7"/>
    <w:rsid w:val="00453D55"/>
    <w:rsid w:val="00480A40"/>
    <w:rsid w:val="00487E43"/>
    <w:rsid w:val="00490ED4"/>
    <w:rsid w:val="0049517F"/>
    <w:rsid w:val="004A0E6F"/>
    <w:rsid w:val="004A146D"/>
    <w:rsid w:val="004A3AAD"/>
    <w:rsid w:val="004B0664"/>
    <w:rsid w:val="004B4286"/>
    <w:rsid w:val="004D0D9F"/>
    <w:rsid w:val="004D420F"/>
    <w:rsid w:val="004D4E1B"/>
    <w:rsid w:val="004D5102"/>
    <w:rsid w:val="004D6759"/>
    <w:rsid w:val="004E56ED"/>
    <w:rsid w:val="004F4993"/>
    <w:rsid w:val="00502BF6"/>
    <w:rsid w:val="00510BEB"/>
    <w:rsid w:val="00511D23"/>
    <w:rsid w:val="00512FBD"/>
    <w:rsid w:val="00525D1B"/>
    <w:rsid w:val="00537C4C"/>
    <w:rsid w:val="005436E4"/>
    <w:rsid w:val="00544BAC"/>
    <w:rsid w:val="00554D32"/>
    <w:rsid w:val="00584181"/>
    <w:rsid w:val="005A24D9"/>
    <w:rsid w:val="005B0043"/>
    <w:rsid w:val="005C2AB4"/>
    <w:rsid w:val="005C2B1D"/>
    <w:rsid w:val="005D3472"/>
    <w:rsid w:val="005D7914"/>
    <w:rsid w:val="005E06D4"/>
    <w:rsid w:val="005E2A41"/>
    <w:rsid w:val="005E5010"/>
    <w:rsid w:val="005E7A3B"/>
    <w:rsid w:val="005F3894"/>
    <w:rsid w:val="005F4325"/>
    <w:rsid w:val="005F51F9"/>
    <w:rsid w:val="005F63D7"/>
    <w:rsid w:val="0060051F"/>
    <w:rsid w:val="00601184"/>
    <w:rsid w:val="00603845"/>
    <w:rsid w:val="00603CBE"/>
    <w:rsid w:val="00605BC3"/>
    <w:rsid w:val="00615313"/>
    <w:rsid w:val="006277DA"/>
    <w:rsid w:val="00632567"/>
    <w:rsid w:val="00633B98"/>
    <w:rsid w:val="0063431F"/>
    <w:rsid w:val="00635157"/>
    <w:rsid w:val="00641B19"/>
    <w:rsid w:val="0065714B"/>
    <w:rsid w:val="006576F6"/>
    <w:rsid w:val="0066008E"/>
    <w:rsid w:val="00661223"/>
    <w:rsid w:val="00666C69"/>
    <w:rsid w:val="00682CBB"/>
    <w:rsid w:val="006911F9"/>
    <w:rsid w:val="006A4923"/>
    <w:rsid w:val="006A5174"/>
    <w:rsid w:val="006C4AF7"/>
    <w:rsid w:val="006C66BC"/>
    <w:rsid w:val="006C672A"/>
    <w:rsid w:val="006C7E16"/>
    <w:rsid w:val="006D3E6F"/>
    <w:rsid w:val="006E36B8"/>
    <w:rsid w:val="00700548"/>
    <w:rsid w:val="00701F7E"/>
    <w:rsid w:val="00705AEE"/>
    <w:rsid w:val="00711726"/>
    <w:rsid w:val="007152E7"/>
    <w:rsid w:val="00715BFF"/>
    <w:rsid w:val="007220FE"/>
    <w:rsid w:val="00737B20"/>
    <w:rsid w:val="00737B76"/>
    <w:rsid w:val="00737F36"/>
    <w:rsid w:val="007435C7"/>
    <w:rsid w:val="0074571F"/>
    <w:rsid w:val="00745D63"/>
    <w:rsid w:val="00752226"/>
    <w:rsid w:val="007546C6"/>
    <w:rsid w:val="00755429"/>
    <w:rsid w:val="007557F2"/>
    <w:rsid w:val="00756553"/>
    <w:rsid w:val="00761E67"/>
    <w:rsid w:val="00766832"/>
    <w:rsid w:val="0077359B"/>
    <w:rsid w:val="007801A2"/>
    <w:rsid w:val="00787385"/>
    <w:rsid w:val="0079052D"/>
    <w:rsid w:val="00794257"/>
    <w:rsid w:val="00794B82"/>
    <w:rsid w:val="007A0748"/>
    <w:rsid w:val="007A50F8"/>
    <w:rsid w:val="007B27A6"/>
    <w:rsid w:val="007B5B2D"/>
    <w:rsid w:val="007C20ED"/>
    <w:rsid w:val="007C7070"/>
    <w:rsid w:val="007D6E26"/>
    <w:rsid w:val="007E3511"/>
    <w:rsid w:val="007E3C00"/>
    <w:rsid w:val="007F4092"/>
    <w:rsid w:val="007F54C9"/>
    <w:rsid w:val="007F69B9"/>
    <w:rsid w:val="007F7845"/>
    <w:rsid w:val="00801DB4"/>
    <w:rsid w:val="0080432B"/>
    <w:rsid w:val="00813F0E"/>
    <w:rsid w:val="0082638D"/>
    <w:rsid w:val="00827A79"/>
    <w:rsid w:val="00837644"/>
    <w:rsid w:val="0084337B"/>
    <w:rsid w:val="008527AF"/>
    <w:rsid w:val="00862AAB"/>
    <w:rsid w:val="00862EC1"/>
    <w:rsid w:val="008714AC"/>
    <w:rsid w:val="00884FDF"/>
    <w:rsid w:val="008948E5"/>
    <w:rsid w:val="00895913"/>
    <w:rsid w:val="00897D61"/>
    <w:rsid w:val="008B5889"/>
    <w:rsid w:val="008D5163"/>
    <w:rsid w:val="008D59ED"/>
    <w:rsid w:val="008E111A"/>
    <w:rsid w:val="008E6FC4"/>
    <w:rsid w:val="008E7282"/>
    <w:rsid w:val="00902CFC"/>
    <w:rsid w:val="00906EA4"/>
    <w:rsid w:val="00910443"/>
    <w:rsid w:val="00910AF5"/>
    <w:rsid w:val="00911456"/>
    <w:rsid w:val="00912801"/>
    <w:rsid w:val="00916671"/>
    <w:rsid w:val="0092318F"/>
    <w:rsid w:val="00932054"/>
    <w:rsid w:val="00934B30"/>
    <w:rsid w:val="00942A13"/>
    <w:rsid w:val="0095188F"/>
    <w:rsid w:val="00952D6E"/>
    <w:rsid w:val="00953DE5"/>
    <w:rsid w:val="00956FC3"/>
    <w:rsid w:val="00965CE7"/>
    <w:rsid w:val="009673DC"/>
    <w:rsid w:val="009701FB"/>
    <w:rsid w:val="009767BC"/>
    <w:rsid w:val="009872A4"/>
    <w:rsid w:val="00987E78"/>
    <w:rsid w:val="00991EE4"/>
    <w:rsid w:val="0099251D"/>
    <w:rsid w:val="009A352C"/>
    <w:rsid w:val="009A3706"/>
    <w:rsid w:val="009A6A49"/>
    <w:rsid w:val="009A73C0"/>
    <w:rsid w:val="009B198F"/>
    <w:rsid w:val="009C539F"/>
    <w:rsid w:val="009C694F"/>
    <w:rsid w:val="009C7272"/>
    <w:rsid w:val="009C75EE"/>
    <w:rsid w:val="009E5922"/>
    <w:rsid w:val="009E7161"/>
    <w:rsid w:val="009F1606"/>
    <w:rsid w:val="009F1EF3"/>
    <w:rsid w:val="009F5C41"/>
    <w:rsid w:val="009F752F"/>
    <w:rsid w:val="00A04CA4"/>
    <w:rsid w:val="00A07283"/>
    <w:rsid w:val="00A12BD5"/>
    <w:rsid w:val="00A13688"/>
    <w:rsid w:val="00A14F8A"/>
    <w:rsid w:val="00A2168B"/>
    <w:rsid w:val="00A26BA3"/>
    <w:rsid w:val="00A3588D"/>
    <w:rsid w:val="00A3610E"/>
    <w:rsid w:val="00A3633F"/>
    <w:rsid w:val="00A37D12"/>
    <w:rsid w:val="00A40E58"/>
    <w:rsid w:val="00A46294"/>
    <w:rsid w:val="00A5717A"/>
    <w:rsid w:val="00A571CB"/>
    <w:rsid w:val="00A625BA"/>
    <w:rsid w:val="00A63694"/>
    <w:rsid w:val="00A76221"/>
    <w:rsid w:val="00A8511F"/>
    <w:rsid w:val="00AB16EA"/>
    <w:rsid w:val="00AB420E"/>
    <w:rsid w:val="00AB5C91"/>
    <w:rsid w:val="00AC40AE"/>
    <w:rsid w:val="00AD5999"/>
    <w:rsid w:val="00AD7691"/>
    <w:rsid w:val="00AE0609"/>
    <w:rsid w:val="00AE1B1E"/>
    <w:rsid w:val="00AE60BC"/>
    <w:rsid w:val="00AE6214"/>
    <w:rsid w:val="00AE64B1"/>
    <w:rsid w:val="00AE6E91"/>
    <w:rsid w:val="00AE741D"/>
    <w:rsid w:val="00AE7A74"/>
    <w:rsid w:val="00AF036D"/>
    <w:rsid w:val="00B0071D"/>
    <w:rsid w:val="00B04484"/>
    <w:rsid w:val="00B12267"/>
    <w:rsid w:val="00B14BE3"/>
    <w:rsid w:val="00B22D9A"/>
    <w:rsid w:val="00B23250"/>
    <w:rsid w:val="00B26DFE"/>
    <w:rsid w:val="00B35203"/>
    <w:rsid w:val="00B43B64"/>
    <w:rsid w:val="00B50887"/>
    <w:rsid w:val="00B53845"/>
    <w:rsid w:val="00B6260B"/>
    <w:rsid w:val="00B67338"/>
    <w:rsid w:val="00B674BF"/>
    <w:rsid w:val="00B741D1"/>
    <w:rsid w:val="00B827A3"/>
    <w:rsid w:val="00B95FA3"/>
    <w:rsid w:val="00BA6E24"/>
    <w:rsid w:val="00BA6FEA"/>
    <w:rsid w:val="00BB335B"/>
    <w:rsid w:val="00BB4D4F"/>
    <w:rsid w:val="00BB5348"/>
    <w:rsid w:val="00BC037D"/>
    <w:rsid w:val="00BD441C"/>
    <w:rsid w:val="00BE138B"/>
    <w:rsid w:val="00BE2036"/>
    <w:rsid w:val="00C05D51"/>
    <w:rsid w:val="00C12061"/>
    <w:rsid w:val="00C232F8"/>
    <w:rsid w:val="00C274DE"/>
    <w:rsid w:val="00C32210"/>
    <w:rsid w:val="00C464F8"/>
    <w:rsid w:val="00C52BC3"/>
    <w:rsid w:val="00C60BCD"/>
    <w:rsid w:val="00C66EA3"/>
    <w:rsid w:val="00C7788C"/>
    <w:rsid w:val="00C77D85"/>
    <w:rsid w:val="00C81537"/>
    <w:rsid w:val="00C9001A"/>
    <w:rsid w:val="00C916DC"/>
    <w:rsid w:val="00C93943"/>
    <w:rsid w:val="00C94318"/>
    <w:rsid w:val="00CC0BBC"/>
    <w:rsid w:val="00CC3534"/>
    <w:rsid w:val="00CD61F8"/>
    <w:rsid w:val="00CD6CA1"/>
    <w:rsid w:val="00CE0BF2"/>
    <w:rsid w:val="00CE285D"/>
    <w:rsid w:val="00CF77FE"/>
    <w:rsid w:val="00D04418"/>
    <w:rsid w:val="00D04AA8"/>
    <w:rsid w:val="00D27CFD"/>
    <w:rsid w:val="00D3277A"/>
    <w:rsid w:val="00D355C1"/>
    <w:rsid w:val="00D35E37"/>
    <w:rsid w:val="00D40D7A"/>
    <w:rsid w:val="00D45FAC"/>
    <w:rsid w:val="00D476A4"/>
    <w:rsid w:val="00D560E0"/>
    <w:rsid w:val="00D61925"/>
    <w:rsid w:val="00D65A16"/>
    <w:rsid w:val="00D65FE0"/>
    <w:rsid w:val="00D67EB2"/>
    <w:rsid w:val="00D80F07"/>
    <w:rsid w:val="00D81645"/>
    <w:rsid w:val="00DA0466"/>
    <w:rsid w:val="00DA5771"/>
    <w:rsid w:val="00DB5AA0"/>
    <w:rsid w:val="00DC373F"/>
    <w:rsid w:val="00DC6695"/>
    <w:rsid w:val="00DC6F56"/>
    <w:rsid w:val="00DD11D1"/>
    <w:rsid w:val="00DD7C68"/>
    <w:rsid w:val="00DE1C46"/>
    <w:rsid w:val="00DE239D"/>
    <w:rsid w:val="00DE26FD"/>
    <w:rsid w:val="00DE38AE"/>
    <w:rsid w:val="00DE7D88"/>
    <w:rsid w:val="00DF2791"/>
    <w:rsid w:val="00DF505B"/>
    <w:rsid w:val="00DF57B4"/>
    <w:rsid w:val="00E01733"/>
    <w:rsid w:val="00E0281D"/>
    <w:rsid w:val="00E0316E"/>
    <w:rsid w:val="00E06E9F"/>
    <w:rsid w:val="00E120FD"/>
    <w:rsid w:val="00E12913"/>
    <w:rsid w:val="00E12D2D"/>
    <w:rsid w:val="00E1377B"/>
    <w:rsid w:val="00E13F44"/>
    <w:rsid w:val="00E26C67"/>
    <w:rsid w:val="00E276C5"/>
    <w:rsid w:val="00E31B37"/>
    <w:rsid w:val="00E34707"/>
    <w:rsid w:val="00E40139"/>
    <w:rsid w:val="00E41D89"/>
    <w:rsid w:val="00E43548"/>
    <w:rsid w:val="00E462F6"/>
    <w:rsid w:val="00E50E6E"/>
    <w:rsid w:val="00E53CD1"/>
    <w:rsid w:val="00E540F0"/>
    <w:rsid w:val="00E55898"/>
    <w:rsid w:val="00E71290"/>
    <w:rsid w:val="00E74BDE"/>
    <w:rsid w:val="00E861D3"/>
    <w:rsid w:val="00E94765"/>
    <w:rsid w:val="00EA1E7E"/>
    <w:rsid w:val="00EA2C55"/>
    <w:rsid w:val="00EA57AB"/>
    <w:rsid w:val="00EB1B3E"/>
    <w:rsid w:val="00EB326C"/>
    <w:rsid w:val="00EC47E0"/>
    <w:rsid w:val="00EC489B"/>
    <w:rsid w:val="00ED08C0"/>
    <w:rsid w:val="00ED1EF5"/>
    <w:rsid w:val="00ED3B56"/>
    <w:rsid w:val="00ED69E7"/>
    <w:rsid w:val="00EE092D"/>
    <w:rsid w:val="00EE13A0"/>
    <w:rsid w:val="00EE17CE"/>
    <w:rsid w:val="00EF4422"/>
    <w:rsid w:val="00EF5534"/>
    <w:rsid w:val="00EF59D5"/>
    <w:rsid w:val="00F00C42"/>
    <w:rsid w:val="00F0518A"/>
    <w:rsid w:val="00F06676"/>
    <w:rsid w:val="00F1701D"/>
    <w:rsid w:val="00F2383E"/>
    <w:rsid w:val="00F23972"/>
    <w:rsid w:val="00F240F5"/>
    <w:rsid w:val="00F24206"/>
    <w:rsid w:val="00F2585D"/>
    <w:rsid w:val="00F266E5"/>
    <w:rsid w:val="00F2789F"/>
    <w:rsid w:val="00F31042"/>
    <w:rsid w:val="00F31B94"/>
    <w:rsid w:val="00F31BE0"/>
    <w:rsid w:val="00F40931"/>
    <w:rsid w:val="00F44FE8"/>
    <w:rsid w:val="00F463F0"/>
    <w:rsid w:val="00F528AF"/>
    <w:rsid w:val="00F560A8"/>
    <w:rsid w:val="00F61EBD"/>
    <w:rsid w:val="00F63934"/>
    <w:rsid w:val="00F76C1B"/>
    <w:rsid w:val="00F92746"/>
    <w:rsid w:val="00FA6D52"/>
    <w:rsid w:val="00FB72B8"/>
    <w:rsid w:val="00FD328E"/>
    <w:rsid w:val="00FD58D9"/>
    <w:rsid w:val="00FE4F8C"/>
    <w:rsid w:val="00FE5566"/>
    <w:rsid w:val="00FF142C"/>
    <w:rsid w:val="00FF2FCB"/>
    <w:rsid w:val="00FF4929"/>
    <w:rsid w:val="00FF78D4"/>
    <w:rsid w:val="01E6665B"/>
    <w:rsid w:val="086874A1"/>
    <w:rsid w:val="08FC1BF7"/>
    <w:rsid w:val="0D052662"/>
    <w:rsid w:val="0D2626CA"/>
    <w:rsid w:val="0F7D2E6D"/>
    <w:rsid w:val="10044433"/>
    <w:rsid w:val="10914FE1"/>
    <w:rsid w:val="118765F1"/>
    <w:rsid w:val="11BB6F9F"/>
    <w:rsid w:val="11CB048F"/>
    <w:rsid w:val="121F6E18"/>
    <w:rsid w:val="13697B98"/>
    <w:rsid w:val="1BF623B2"/>
    <w:rsid w:val="1CF60B98"/>
    <w:rsid w:val="20654F48"/>
    <w:rsid w:val="20A10F0C"/>
    <w:rsid w:val="239868CB"/>
    <w:rsid w:val="25554CF4"/>
    <w:rsid w:val="26476039"/>
    <w:rsid w:val="26B52E60"/>
    <w:rsid w:val="27CB34EC"/>
    <w:rsid w:val="28131730"/>
    <w:rsid w:val="28D90027"/>
    <w:rsid w:val="28F43E1C"/>
    <w:rsid w:val="28F67E79"/>
    <w:rsid w:val="29494E67"/>
    <w:rsid w:val="29DA794A"/>
    <w:rsid w:val="29EB2E84"/>
    <w:rsid w:val="2DB10580"/>
    <w:rsid w:val="2DD96E8B"/>
    <w:rsid w:val="308C6F3F"/>
    <w:rsid w:val="32177695"/>
    <w:rsid w:val="321F6DE3"/>
    <w:rsid w:val="3656161F"/>
    <w:rsid w:val="391A1F8C"/>
    <w:rsid w:val="39245545"/>
    <w:rsid w:val="3A442505"/>
    <w:rsid w:val="3B73694D"/>
    <w:rsid w:val="3C8F3547"/>
    <w:rsid w:val="3E1568DE"/>
    <w:rsid w:val="40DD3D99"/>
    <w:rsid w:val="41004712"/>
    <w:rsid w:val="43EB4ACE"/>
    <w:rsid w:val="443A1EE0"/>
    <w:rsid w:val="464128A6"/>
    <w:rsid w:val="46661D0B"/>
    <w:rsid w:val="485A0190"/>
    <w:rsid w:val="49DB5C3B"/>
    <w:rsid w:val="4D2C69E6"/>
    <w:rsid w:val="509F5BCC"/>
    <w:rsid w:val="52426233"/>
    <w:rsid w:val="544439C9"/>
    <w:rsid w:val="546D2B8D"/>
    <w:rsid w:val="57066C36"/>
    <w:rsid w:val="59AC16CD"/>
    <w:rsid w:val="59E171E5"/>
    <w:rsid w:val="5C1E67E7"/>
    <w:rsid w:val="5CAC3912"/>
    <w:rsid w:val="68222544"/>
    <w:rsid w:val="6ADE14C4"/>
    <w:rsid w:val="6D3E2930"/>
    <w:rsid w:val="6DC765B0"/>
    <w:rsid w:val="6EF95BE0"/>
    <w:rsid w:val="720E71A3"/>
    <w:rsid w:val="730D585A"/>
    <w:rsid w:val="73466E66"/>
    <w:rsid w:val="74070EC4"/>
    <w:rsid w:val="76DB5213"/>
    <w:rsid w:val="77B4683F"/>
    <w:rsid w:val="77F01830"/>
    <w:rsid w:val="7AAC444B"/>
    <w:rsid w:val="7B127FB3"/>
    <w:rsid w:val="7B1B0C79"/>
    <w:rsid w:val="7D0F633E"/>
    <w:rsid w:val="7D54505D"/>
    <w:rsid w:val="7DA7665A"/>
    <w:rsid w:val="7DA8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6" w:lineRule="auto"/>
      <w:jc w:val="center"/>
      <w:outlineLvl w:val="0"/>
    </w:pPr>
    <w:rPr>
      <w:b/>
      <w:bCs/>
      <w:kern w:val="44"/>
      <w:sz w:val="44"/>
      <w:szCs w:val="44"/>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0"/>
    <w:qFormat/>
    <w:uiPriority w:val="99"/>
    <w:pPr>
      <w:keepNext/>
      <w:keepLines/>
      <w:spacing w:before="20" w:after="20" w:line="415" w:lineRule="auto"/>
      <w:ind w:firstLine="137" w:firstLineChars="49"/>
      <w:outlineLvl w:val="2"/>
    </w:pPr>
    <w:rPr>
      <w:rFonts w:hAnsi="黑体" w:eastAsia="黑体"/>
      <w:sz w:val="24"/>
      <w:szCs w:val="20"/>
    </w:rPr>
  </w:style>
  <w:style w:type="paragraph" w:styleId="5">
    <w:name w:val="heading 4"/>
    <w:basedOn w:val="1"/>
    <w:next w:val="1"/>
    <w:link w:val="61"/>
    <w:qFormat/>
    <w:uiPriority w:val="99"/>
    <w:pPr>
      <w:keepNext/>
      <w:keepLines/>
      <w:spacing w:before="280" w:after="290" w:line="374" w:lineRule="auto"/>
      <w:outlineLvl w:val="3"/>
    </w:pPr>
    <w:rPr>
      <w:rFonts w:hint="eastAsia" w:ascii="Cambria" w:hAnsi="Cambria"/>
      <w:b/>
      <w:sz w:val="28"/>
      <w:szCs w:val="20"/>
    </w:rPr>
  </w:style>
  <w:style w:type="paragraph" w:styleId="6">
    <w:name w:val="heading 5"/>
    <w:basedOn w:val="1"/>
    <w:next w:val="1"/>
    <w:link w:val="62"/>
    <w:qFormat/>
    <w:uiPriority w:val="9"/>
    <w:pPr>
      <w:keepNext/>
      <w:keepLines/>
      <w:spacing w:before="280" w:after="290" w:line="376" w:lineRule="auto"/>
      <w:outlineLvl w:val="4"/>
    </w:pPr>
    <w:rPr>
      <w:b/>
      <w:bCs/>
      <w:sz w:val="28"/>
      <w:szCs w:val="28"/>
    </w:rPr>
  </w:style>
  <w:style w:type="paragraph" w:styleId="7">
    <w:name w:val="heading 6"/>
    <w:basedOn w:val="1"/>
    <w:next w:val="1"/>
    <w:link w:val="6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4"/>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5"/>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6"/>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271"/>
        <w:tab w:val="left" w:pos="1680"/>
      </w:tabs>
      <w:spacing w:afterLines="50"/>
      <w:ind w:left="3360" w:hanging="420"/>
      <w:jc w:val="left"/>
    </w:pPr>
    <w:rPr>
      <w:kern w:val="0"/>
      <w:sz w:val="24"/>
      <w:szCs w:val="20"/>
    </w:rPr>
  </w:style>
  <w:style w:type="paragraph" w:styleId="13">
    <w:name w:val="List Number"/>
    <w:basedOn w:val="1"/>
    <w:qFormat/>
    <w:uiPriority w:val="0"/>
    <w:pPr>
      <w:tabs>
        <w:tab w:val="left" w:pos="420"/>
      </w:tabs>
      <w:ind w:left="840" w:hanging="420"/>
    </w:pPr>
    <w:rPr>
      <w:szCs w:val="20"/>
    </w:rPr>
  </w:style>
  <w:style w:type="paragraph" w:styleId="14">
    <w:name w:val="Normal Indent"/>
    <w:basedOn w:val="1"/>
    <w:link w:val="73"/>
    <w:qFormat/>
    <w:uiPriority w:val="0"/>
    <w:pPr>
      <w:ind w:firstLine="420"/>
    </w:pPr>
    <w:rPr>
      <w:b/>
      <w:sz w:val="24"/>
      <w:szCs w:val="20"/>
    </w:rPr>
  </w:style>
  <w:style w:type="paragraph" w:styleId="15">
    <w:name w:val="caption"/>
    <w:basedOn w:val="1"/>
    <w:next w:val="1"/>
    <w:qFormat/>
    <w:uiPriority w:val="35"/>
    <w:rPr>
      <w:rFonts w:ascii="Cambria" w:hAnsi="Cambria" w:eastAsia="黑体"/>
      <w:sz w:val="20"/>
      <w:szCs w:val="20"/>
    </w:rPr>
  </w:style>
  <w:style w:type="paragraph" w:styleId="16">
    <w:name w:val="Document Map"/>
    <w:basedOn w:val="1"/>
    <w:link w:val="131"/>
    <w:qFormat/>
    <w:uiPriority w:val="99"/>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83"/>
    <w:unhideWhenUsed/>
    <w:qFormat/>
    <w:uiPriority w:val="99"/>
    <w:pPr>
      <w:jc w:val="left"/>
    </w:pPr>
    <w:rPr>
      <w:szCs w:val="20"/>
    </w:rPr>
  </w:style>
  <w:style w:type="paragraph" w:styleId="19">
    <w:name w:val="Body Text 3"/>
    <w:basedOn w:val="1"/>
    <w:link w:val="86"/>
    <w:qFormat/>
    <w:uiPriority w:val="0"/>
    <w:rPr>
      <w:rFonts w:ascii="宋体"/>
      <w:sz w:val="24"/>
      <w:szCs w:val="20"/>
    </w:rPr>
  </w:style>
  <w:style w:type="paragraph" w:styleId="20">
    <w:name w:val="Body Text"/>
    <w:basedOn w:val="1"/>
    <w:link w:val="107"/>
    <w:qFormat/>
    <w:uiPriority w:val="0"/>
    <w:pPr>
      <w:spacing w:after="120"/>
    </w:pPr>
  </w:style>
  <w:style w:type="paragraph" w:styleId="21">
    <w:name w:val="Body Text Indent"/>
    <w:basedOn w:val="1"/>
    <w:link w:val="116"/>
    <w:qFormat/>
    <w:uiPriority w:val="0"/>
    <w:pPr>
      <w:spacing w:line="360" w:lineRule="auto"/>
      <w:ind w:firstLine="420"/>
    </w:pPr>
    <w:rPr>
      <w:rFonts w:ascii="宋体"/>
      <w:sz w:val="24"/>
      <w:szCs w:val="20"/>
    </w:rPr>
  </w:style>
  <w:style w:type="paragraph" w:styleId="22">
    <w:name w:val="List Number 3"/>
    <w:basedOn w:val="1"/>
    <w:qFormat/>
    <w:uiPriority w:val="0"/>
    <w:pPr>
      <w:tabs>
        <w:tab w:val="left" w:pos="420"/>
        <w:tab w:val="left" w:pos="1200"/>
      </w:tabs>
      <w:ind w:left="420" w:hanging="42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1680" w:leftChars="800"/>
    </w:pPr>
  </w:style>
  <w:style w:type="paragraph" w:styleId="25">
    <w:name w:val="toc 3"/>
    <w:basedOn w:val="1"/>
    <w:next w:val="1"/>
    <w:qFormat/>
    <w:uiPriority w:val="39"/>
    <w:pPr>
      <w:ind w:left="840" w:leftChars="400"/>
    </w:pPr>
  </w:style>
  <w:style w:type="paragraph" w:styleId="26">
    <w:name w:val="Plain Text"/>
    <w:basedOn w:val="1"/>
    <w:link w:val="75"/>
    <w:qFormat/>
    <w:uiPriority w:val="99"/>
    <w:rPr>
      <w:rFonts w:ascii="宋体" w:hAnsi="Courier New"/>
      <w:sz w:val="28"/>
      <w:szCs w:val="20"/>
    </w:rPr>
  </w:style>
  <w:style w:type="paragraph" w:styleId="27">
    <w:name w:val="toc 8"/>
    <w:basedOn w:val="1"/>
    <w:next w:val="1"/>
    <w:qFormat/>
    <w:uiPriority w:val="39"/>
    <w:pPr>
      <w:ind w:left="2940" w:leftChars="1400"/>
    </w:pPr>
  </w:style>
  <w:style w:type="paragraph" w:styleId="28">
    <w:name w:val="Date"/>
    <w:basedOn w:val="1"/>
    <w:next w:val="1"/>
    <w:qFormat/>
    <w:uiPriority w:val="0"/>
    <w:pPr>
      <w:ind w:left="100" w:leftChars="2500"/>
    </w:pPr>
  </w:style>
  <w:style w:type="paragraph" w:styleId="29">
    <w:name w:val="Body Text Indent 2"/>
    <w:basedOn w:val="1"/>
    <w:link w:val="108"/>
    <w:qFormat/>
    <w:uiPriority w:val="0"/>
    <w:pPr>
      <w:spacing w:line="420" w:lineRule="exact"/>
      <w:ind w:firstLine="525"/>
    </w:pPr>
    <w:rPr>
      <w:rFonts w:ascii="宋体"/>
      <w:szCs w:val="20"/>
    </w:rPr>
  </w:style>
  <w:style w:type="paragraph" w:styleId="30">
    <w:name w:val="Balloon Text"/>
    <w:basedOn w:val="1"/>
    <w:link w:val="72"/>
    <w:unhideWhenUsed/>
    <w:qFormat/>
    <w:uiPriority w:val="99"/>
    <w:rPr>
      <w:sz w:val="18"/>
      <w:szCs w:val="18"/>
    </w:rPr>
  </w:style>
  <w:style w:type="paragraph" w:styleId="31">
    <w:name w:val="footer"/>
    <w:basedOn w:val="1"/>
    <w:link w:val="90"/>
    <w:qFormat/>
    <w:uiPriority w:val="99"/>
    <w:pPr>
      <w:tabs>
        <w:tab w:val="center" w:pos="4153"/>
        <w:tab w:val="right" w:pos="8306"/>
      </w:tabs>
      <w:snapToGrid w:val="0"/>
      <w:jc w:val="left"/>
    </w:pPr>
    <w:rPr>
      <w:sz w:val="18"/>
      <w:szCs w:val="20"/>
    </w:rPr>
  </w:style>
  <w:style w:type="paragraph" w:styleId="32">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3">
    <w:name w:val="toc 1"/>
    <w:basedOn w:val="1"/>
    <w:next w:val="1"/>
    <w:qFormat/>
    <w:uiPriority w:val="39"/>
  </w:style>
  <w:style w:type="paragraph" w:styleId="34">
    <w:name w:val="toc 4"/>
    <w:basedOn w:val="1"/>
    <w:next w:val="1"/>
    <w:qFormat/>
    <w:uiPriority w:val="39"/>
    <w:pPr>
      <w:ind w:left="1260" w:leftChars="600"/>
    </w:pPr>
  </w:style>
  <w:style w:type="paragraph" w:styleId="35">
    <w:name w:val="Subtitle"/>
    <w:basedOn w:val="1"/>
    <w:next w:val="1"/>
    <w:link w:val="100"/>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21"/>
    <w:qFormat/>
    <w:uiPriority w:val="0"/>
    <w:rPr>
      <w:sz w:val="20"/>
      <w:szCs w:val="20"/>
    </w:rPr>
  </w:style>
  <w:style w:type="paragraph" w:styleId="37">
    <w:name w:val="toc 6"/>
    <w:basedOn w:val="1"/>
    <w:next w:val="1"/>
    <w:qFormat/>
    <w:uiPriority w:val="39"/>
    <w:pPr>
      <w:ind w:left="2100" w:leftChars="1000"/>
    </w:pPr>
  </w:style>
  <w:style w:type="paragraph" w:styleId="38">
    <w:name w:val="Body Text Indent 3"/>
    <w:basedOn w:val="1"/>
    <w:link w:val="87"/>
    <w:qFormat/>
    <w:uiPriority w:val="0"/>
    <w:pPr>
      <w:spacing w:after="120"/>
      <w:ind w:left="420" w:leftChars="200"/>
    </w:pPr>
    <w:rPr>
      <w:sz w:val="16"/>
      <w:szCs w:val="16"/>
    </w:rPr>
  </w:style>
  <w:style w:type="paragraph" w:styleId="39">
    <w:name w:val="table of figures"/>
    <w:basedOn w:val="1"/>
    <w:next w:val="1"/>
    <w:qFormat/>
    <w:uiPriority w:val="0"/>
    <w:pPr>
      <w:ind w:left="200" w:leftChars="200" w:hanging="200" w:hangingChars="200"/>
    </w:pPr>
  </w:style>
  <w:style w:type="paragraph" w:styleId="40">
    <w:name w:val="toc 2"/>
    <w:basedOn w:val="1"/>
    <w:next w:val="1"/>
    <w:qFormat/>
    <w:uiPriority w:val="39"/>
    <w:pPr>
      <w:ind w:left="420" w:leftChars="200"/>
    </w:pPr>
  </w:style>
  <w:style w:type="paragraph" w:styleId="41">
    <w:name w:val="toc 9"/>
    <w:basedOn w:val="1"/>
    <w:next w:val="1"/>
    <w:qFormat/>
    <w:uiPriority w:val="39"/>
    <w:pPr>
      <w:ind w:left="3360" w:leftChars="1600"/>
    </w:pPr>
  </w:style>
  <w:style w:type="paragraph" w:styleId="42">
    <w:name w:val="Body Text 2"/>
    <w:basedOn w:val="1"/>
    <w:link w:val="79"/>
    <w:qFormat/>
    <w:uiPriority w:val="0"/>
    <w:pPr>
      <w:widowControl/>
      <w:tabs>
        <w:tab w:val="left" w:pos="482"/>
        <w:tab w:val="left" w:pos="2183"/>
        <w:tab w:val="left" w:pos="3884"/>
        <w:tab w:val="left" w:pos="5585"/>
      </w:tabs>
      <w:adjustRightInd w:val="0"/>
      <w:spacing w:line="380" w:lineRule="exact"/>
      <w:textAlignment w:val="baseline"/>
    </w:pPr>
    <w:rPr>
      <w:rFonts w:ascii="宋体" w:eastAsia="仿宋_GB2312"/>
      <w:kern w:val="0"/>
      <w:szCs w:val="20"/>
    </w:rPr>
  </w:style>
  <w:style w:type="paragraph" w:styleId="43">
    <w:name w:val="List Continue 2"/>
    <w:basedOn w:val="1"/>
    <w:qFormat/>
    <w:uiPriority w:val="0"/>
    <w:pPr>
      <w:spacing w:after="120"/>
      <w:ind w:left="840"/>
    </w:p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link w:val="6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6">
    <w:name w:val="annotation subject"/>
    <w:basedOn w:val="18"/>
    <w:next w:val="18"/>
    <w:link w:val="82"/>
    <w:qFormat/>
    <w:uiPriority w:val="0"/>
    <w:rPr>
      <w:b/>
      <w:bCs/>
      <w:szCs w:val="24"/>
    </w:rPr>
  </w:style>
  <w:style w:type="paragraph" w:styleId="47">
    <w:name w:val="Body Text First Indent"/>
    <w:basedOn w:val="20"/>
    <w:link w:val="106"/>
    <w:qFormat/>
    <w:uiPriority w:val="0"/>
    <w:pPr>
      <w:tabs>
        <w:tab w:val="left" w:pos="482"/>
        <w:tab w:val="left" w:pos="2183"/>
        <w:tab w:val="left" w:pos="3884"/>
        <w:tab w:val="left" w:pos="5585"/>
      </w:tabs>
      <w:adjustRightInd w:val="0"/>
      <w:spacing w:after="0"/>
      <w:ind w:firstLine="482"/>
      <w:textAlignment w:val="baseline"/>
    </w:pPr>
    <w:rPr>
      <w:sz w:val="24"/>
    </w:rPr>
  </w:style>
  <w:style w:type="table" w:styleId="49">
    <w:name w:val="Table Grid"/>
    <w:basedOn w:val="4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character" w:customStyle="1" w:styleId="58">
    <w:name w:val="标题 1 字符"/>
    <w:link w:val="2"/>
    <w:qFormat/>
    <w:uiPriority w:val="0"/>
    <w:rPr>
      <w:b/>
      <w:bCs/>
      <w:kern w:val="44"/>
      <w:sz w:val="44"/>
      <w:szCs w:val="44"/>
    </w:rPr>
  </w:style>
  <w:style w:type="character" w:customStyle="1" w:styleId="59">
    <w:name w:val="标题 2 字符"/>
    <w:link w:val="3"/>
    <w:qFormat/>
    <w:uiPriority w:val="0"/>
    <w:rPr>
      <w:rFonts w:ascii="Arial" w:hAnsi="Arial" w:eastAsia="黑体"/>
      <w:b/>
      <w:bCs/>
      <w:kern w:val="2"/>
      <w:sz w:val="32"/>
      <w:szCs w:val="32"/>
    </w:rPr>
  </w:style>
  <w:style w:type="character" w:customStyle="1" w:styleId="60">
    <w:name w:val="标题 3 字符"/>
    <w:link w:val="4"/>
    <w:unhideWhenUsed/>
    <w:qFormat/>
    <w:uiPriority w:val="99"/>
    <w:rPr>
      <w:rFonts w:hint="default" w:hAnsi="黑体" w:eastAsia="黑体"/>
      <w:kern w:val="2"/>
      <w:sz w:val="24"/>
    </w:rPr>
  </w:style>
  <w:style w:type="character" w:customStyle="1" w:styleId="61">
    <w:name w:val="标题 4 字符"/>
    <w:link w:val="5"/>
    <w:unhideWhenUsed/>
    <w:qFormat/>
    <w:uiPriority w:val="99"/>
    <w:rPr>
      <w:rFonts w:hint="eastAsia" w:ascii="Cambria" w:hAnsi="Cambria" w:eastAsia="宋体"/>
      <w:b/>
      <w:kern w:val="2"/>
      <w:sz w:val="28"/>
    </w:rPr>
  </w:style>
  <w:style w:type="character" w:customStyle="1" w:styleId="62">
    <w:name w:val="标题 5 字符"/>
    <w:link w:val="6"/>
    <w:semiHidden/>
    <w:qFormat/>
    <w:uiPriority w:val="9"/>
    <w:rPr>
      <w:b/>
      <w:bCs/>
      <w:kern w:val="2"/>
      <w:sz w:val="28"/>
      <w:szCs w:val="28"/>
    </w:rPr>
  </w:style>
  <w:style w:type="character" w:customStyle="1" w:styleId="63">
    <w:name w:val="标题 6 字符"/>
    <w:link w:val="7"/>
    <w:qFormat/>
    <w:uiPriority w:val="0"/>
    <w:rPr>
      <w:rFonts w:ascii="Arial" w:hAnsi="Arial" w:eastAsia="黑体"/>
      <w:b/>
      <w:bCs/>
      <w:sz w:val="24"/>
      <w:szCs w:val="24"/>
    </w:rPr>
  </w:style>
  <w:style w:type="character" w:customStyle="1" w:styleId="64">
    <w:name w:val="标题 7 字符"/>
    <w:link w:val="8"/>
    <w:qFormat/>
    <w:uiPriority w:val="0"/>
    <w:rPr>
      <w:b/>
      <w:bCs/>
      <w:sz w:val="24"/>
      <w:szCs w:val="24"/>
    </w:rPr>
  </w:style>
  <w:style w:type="character" w:customStyle="1" w:styleId="65">
    <w:name w:val="标题 8 字符"/>
    <w:link w:val="9"/>
    <w:qFormat/>
    <w:uiPriority w:val="0"/>
    <w:rPr>
      <w:rFonts w:ascii="Arial" w:hAnsi="Arial" w:eastAsia="黑体"/>
      <w:sz w:val="24"/>
      <w:szCs w:val="24"/>
    </w:rPr>
  </w:style>
  <w:style w:type="character" w:customStyle="1" w:styleId="66">
    <w:name w:val="标题 9 字符"/>
    <w:link w:val="10"/>
    <w:qFormat/>
    <w:uiPriority w:val="0"/>
    <w:rPr>
      <w:rFonts w:ascii="Arial" w:hAnsi="Arial" w:eastAsia="黑体"/>
      <w:sz w:val="21"/>
      <w:szCs w:val="21"/>
    </w:rPr>
  </w:style>
  <w:style w:type="character" w:customStyle="1" w:styleId="67">
    <w:name w:val="标题 字符"/>
    <w:link w:val="45"/>
    <w:qFormat/>
    <w:uiPriority w:val="0"/>
    <w:rPr>
      <w:rFonts w:ascii="Arial" w:hAnsi="Arial"/>
      <w:b/>
      <w:sz w:val="32"/>
    </w:rPr>
  </w:style>
  <w:style w:type="character" w:customStyle="1" w:styleId="68">
    <w:name w:val="Char Char"/>
    <w:qFormat/>
    <w:uiPriority w:val="0"/>
    <w:rPr>
      <w:rFonts w:ascii="Arial" w:hAnsi="Arial" w:eastAsia="黑体"/>
      <w:b/>
      <w:bCs/>
      <w:kern w:val="2"/>
      <w:sz w:val="32"/>
      <w:szCs w:val="32"/>
      <w:lang w:val="en-US" w:eastAsia="zh-CN" w:bidi="ar-SA"/>
    </w:rPr>
  </w:style>
  <w:style w:type="character" w:customStyle="1" w:styleId="69">
    <w:name w:val="unnamed51"/>
    <w:qFormat/>
    <w:uiPriority w:val="0"/>
    <w:rPr>
      <w:sz w:val="22"/>
      <w:szCs w:val="22"/>
    </w:rPr>
  </w:style>
  <w:style w:type="character" w:customStyle="1" w:styleId="70">
    <w:name w:val="页眉 Char"/>
    <w:qFormat/>
    <w:uiPriority w:val="99"/>
    <w:rPr>
      <w:kern w:val="2"/>
      <w:sz w:val="18"/>
    </w:rPr>
  </w:style>
  <w:style w:type="character" w:customStyle="1" w:styleId="71">
    <w:name w:val="页脚 Char"/>
    <w:qFormat/>
    <w:uiPriority w:val="99"/>
    <w:rPr>
      <w:kern w:val="2"/>
      <w:sz w:val="18"/>
    </w:rPr>
  </w:style>
  <w:style w:type="character" w:customStyle="1" w:styleId="72">
    <w:name w:val="批注框文本 字符"/>
    <w:link w:val="30"/>
    <w:qFormat/>
    <w:uiPriority w:val="99"/>
    <w:rPr>
      <w:kern w:val="2"/>
      <w:sz w:val="18"/>
      <w:szCs w:val="18"/>
    </w:rPr>
  </w:style>
  <w:style w:type="character" w:customStyle="1" w:styleId="73">
    <w:name w:val="正文缩进 字符"/>
    <w:link w:val="14"/>
    <w:qFormat/>
    <w:uiPriority w:val="0"/>
    <w:rPr>
      <w:b/>
      <w:kern w:val="2"/>
      <w:sz w:val="24"/>
    </w:rPr>
  </w:style>
  <w:style w:type="character" w:customStyle="1" w:styleId="74">
    <w:name w:val="Char Char12"/>
    <w:qFormat/>
    <w:uiPriority w:val="0"/>
    <w:rPr>
      <w:rFonts w:eastAsia="宋体"/>
      <w:b/>
      <w:bCs/>
      <w:kern w:val="2"/>
      <w:sz w:val="24"/>
      <w:szCs w:val="24"/>
      <w:lang w:val="en-US" w:eastAsia="zh-CN" w:bidi="ar-SA"/>
    </w:rPr>
  </w:style>
  <w:style w:type="character" w:customStyle="1" w:styleId="75">
    <w:name w:val="纯文本 字符"/>
    <w:link w:val="26"/>
    <w:qFormat/>
    <w:uiPriority w:val="99"/>
    <w:rPr>
      <w:rFonts w:ascii="宋体" w:hAnsi="Courier New"/>
      <w:kern w:val="2"/>
      <w:sz w:val="28"/>
    </w:rPr>
  </w:style>
  <w:style w:type="character" w:customStyle="1" w:styleId="76">
    <w:name w:val="样式 Char"/>
    <w:link w:val="77"/>
    <w:qFormat/>
    <w:uiPriority w:val="0"/>
    <w:rPr>
      <w:rFonts w:ascii="宋体" w:hAnsi="宋体" w:cs="宋体"/>
      <w:sz w:val="24"/>
      <w:szCs w:val="24"/>
      <w:lang w:val="en-US" w:eastAsia="zh-CN" w:bidi="ar-SA"/>
    </w:rPr>
  </w:style>
  <w:style w:type="paragraph" w:customStyle="1" w:styleId="77">
    <w:name w:val="样式"/>
    <w:link w:val="7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8">
    <w:name w:val="标题 4 Char"/>
    <w:qFormat/>
    <w:uiPriority w:val="0"/>
    <w:rPr>
      <w:rFonts w:ascii="Arial" w:hAnsi="Arial" w:eastAsia="黑体"/>
      <w:b/>
      <w:bCs/>
      <w:kern w:val="2"/>
      <w:sz w:val="28"/>
      <w:szCs w:val="28"/>
    </w:rPr>
  </w:style>
  <w:style w:type="character" w:customStyle="1" w:styleId="79">
    <w:name w:val="正文文本 2 字符"/>
    <w:link w:val="42"/>
    <w:qFormat/>
    <w:uiPriority w:val="0"/>
    <w:rPr>
      <w:rFonts w:ascii="宋体" w:eastAsia="仿宋_GB2312"/>
      <w:sz w:val="21"/>
    </w:rPr>
  </w:style>
  <w:style w:type="character" w:customStyle="1" w:styleId="80">
    <w:name w:val="引用 字符"/>
    <w:link w:val="81"/>
    <w:qFormat/>
    <w:uiPriority w:val="0"/>
    <w:rPr>
      <w:i/>
      <w:iCs/>
      <w:color w:val="000000"/>
      <w:kern w:val="2"/>
      <w:sz w:val="21"/>
      <w:szCs w:val="24"/>
    </w:rPr>
  </w:style>
  <w:style w:type="paragraph" w:styleId="81">
    <w:name w:val="Quote"/>
    <w:basedOn w:val="1"/>
    <w:next w:val="1"/>
    <w:link w:val="80"/>
    <w:qFormat/>
    <w:uiPriority w:val="0"/>
    <w:rPr>
      <w:i/>
      <w:iCs/>
      <w:color w:val="000000"/>
    </w:rPr>
  </w:style>
  <w:style w:type="character" w:customStyle="1" w:styleId="82">
    <w:name w:val="批注主题 字符"/>
    <w:link w:val="46"/>
    <w:qFormat/>
    <w:uiPriority w:val="0"/>
    <w:rPr>
      <w:b/>
      <w:bCs/>
      <w:kern w:val="2"/>
      <w:sz w:val="21"/>
      <w:szCs w:val="24"/>
    </w:rPr>
  </w:style>
  <w:style w:type="character" w:customStyle="1" w:styleId="83">
    <w:name w:val="批注文字 字符"/>
    <w:link w:val="18"/>
    <w:semiHidden/>
    <w:qFormat/>
    <w:uiPriority w:val="99"/>
    <w:rPr>
      <w:kern w:val="2"/>
      <w:sz w:val="21"/>
    </w:rPr>
  </w:style>
  <w:style w:type="character" w:customStyle="1" w:styleId="84">
    <w:name w:val="明显强调1"/>
    <w:qFormat/>
    <w:uiPriority w:val="21"/>
    <w:rPr>
      <w:b/>
      <w:bCs/>
      <w:i/>
      <w:iCs/>
      <w:color w:val="4F81BD"/>
    </w:rPr>
  </w:style>
  <w:style w:type="character" w:customStyle="1" w:styleId="85">
    <w:name w:val="Char Char2"/>
    <w:qFormat/>
    <w:uiPriority w:val="0"/>
    <w:rPr>
      <w:rFonts w:eastAsia="宋体"/>
      <w:kern w:val="2"/>
      <w:sz w:val="21"/>
      <w:szCs w:val="24"/>
      <w:lang w:val="en-US" w:eastAsia="zh-CN" w:bidi="ar-SA"/>
    </w:rPr>
  </w:style>
  <w:style w:type="character" w:customStyle="1" w:styleId="86">
    <w:name w:val="正文文本 3 字符"/>
    <w:link w:val="19"/>
    <w:qFormat/>
    <w:uiPriority w:val="0"/>
    <w:rPr>
      <w:rFonts w:ascii="宋体"/>
      <w:kern w:val="2"/>
      <w:sz w:val="24"/>
    </w:rPr>
  </w:style>
  <w:style w:type="character" w:customStyle="1" w:styleId="87">
    <w:name w:val="正文文本缩进 3 字符"/>
    <w:link w:val="38"/>
    <w:qFormat/>
    <w:uiPriority w:val="0"/>
    <w:rPr>
      <w:kern w:val="2"/>
      <w:sz w:val="16"/>
      <w:szCs w:val="16"/>
    </w:rPr>
  </w:style>
  <w:style w:type="character" w:customStyle="1" w:styleId="88">
    <w:name w:val="正文空两格 Char"/>
    <w:link w:val="89"/>
    <w:qFormat/>
    <w:uiPriority w:val="0"/>
    <w:rPr>
      <w:rFonts w:ascii="宋体" w:hAnsi="宋体"/>
      <w:kern w:val="2"/>
      <w:sz w:val="21"/>
      <w:szCs w:val="21"/>
    </w:rPr>
  </w:style>
  <w:style w:type="paragraph" w:customStyle="1" w:styleId="89">
    <w:name w:val="正文空两格"/>
    <w:basedOn w:val="1"/>
    <w:link w:val="88"/>
    <w:qFormat/>
    <w:uiPriority w:val="0"/>
    <w:pPr>
      <w:spacing w:line="360" w:lineRule="auto"/>
      <w:ind w:firstLine="420" w:firstLineChars="200"/>
    </w:pPr>
    <w:rPr>
      <w:rFonts w:ascii="宋体" w:hAnsi="宋体"/>
      <w:szCs w:val="21"/>
    </w:rPr>
  </w:style>
  <w:style w:type="character" w:customStyle="1" w:styleId="90">
    <w:name w:val="页脚 字符"/>
    <w:link w:val="31"/>
    <w:unhideWhenUsed/>
    <w:qFormat/>
    <w:uiPriority w:val="99"/>
    <w:rPr>
      <w:rFonts w:hint="default" w:eastAsia="宋体"/>
      <w:kern w:val="2"/>
      <w:sz w:val="18"/>
    </w:rPr>
  </w:style>
  <w:style w:type="character" w:customStyle="1" w:styleId="91">
    <w:name w:val="不明显参考1"/>
    <w:qFormat/>
    <w:uiPriority w:val="31"/>
    <w:rPr>
      <w:smallCaps/>
      <w:color w:val="C0504D"/>
      <w:u w:val="single"/>
    </w:rPr>
  </w:style>
  <w:style w:type="character" w:customStyle="1" w:styleId="92">
    <w:name w:val="font161"/>
    <w:qFormat/>
    <w:uiPriority w:val="0"/>
    <w:rPr>
      <w:b/>
      <w:bCs/>
      <w:sz w:val="32"/>
      <w:szCs w:val="32"/>
    </w:rPr>
  </w:style>
  <w:style w:type="character" w:customStyle="1" w:styleId="93">
    <w:name w:val="apple-style-span"/>
    <w:qFormat/>
    <w:uiPriority w:val="0"/>
  </w:style>
  <w:style w:type="character" w:customStyle="1" w:styleId="94">
    <w:name w:val="列表段落 字符"/>
    <w:link w:val="95"/>
    <w:qFormat/>
    <w:locked/>
    <w:uiPriority w:val="0"/>
    <w:rPr>
      <w:kern w:val="2"/>
      <w:sz w:val="21"/>
      <w:szCs w:val="24"/>
    </w:rPr>
  </w:style>
  <w:style w:type="paragraph" w:styleId="95">
    <w:name w:val="List Paragraph"/>
    <w:basedOn w:val="1"/>
    <w:link w:val="94"/>
    <w:qFormat/>
    <w:uiPriority w:val="34"/>
    <w:pPr>
      <w:ind w:firstLine="420" w:firstLineChars="200"/>
    </w:pPr>
  </w:style>
  <w:style w:type="character" w:customStyle="1" w:styleId="96">
    <w:name w:val="页眉 字符"/>
    <w:link w:val="32"/>
    <w:unhideWhenUsed/>
    <w:qFormat/>
    <w:uiPriority w:val="99"/>
    <w:rPr>
      <w:rFonts w:hint="default" w:eastAsia="宋体"/>
      <w:kern w:val="2"/>
      <w:sz w:val="18"/>
      <w:lang w:val="en-US" w:eastAsia="zh-CN"/>
    </w:rPr>
  </w:style>
  <w:style w:type="character" w:customStyle="1" w:styleId="97">
    <w:name w:val="+1. Char Char"/>
    <w:link w:val="98"/>
    <w:qFormat/>
    <w:uiPriority w:val="0"/>
    <w:rPr>
      <w:kern w:val="2"/>
      <w:sz w:val="24"/>
      <w:szCs w:val="28"/>
    </w:rPr>
  </w:style>
  <w:style w:type="paragraph" w:customStyle="1" w:styleId="98">
    <w:name w:val="+1."/>
    <w:basedOn w:val="99"/>
    <w:link w:val="97"/>
    <w:qFormat/>
    <w:uiPriority w:val="0"/>
    <w:pPr>
      <w:tabs>
        <w:tab w:val="left" w:pos="840"/>
        <w:tab w:val="left" w:pos="1271"/>
      </w:tabs>
      <w:ind w:left="1271" w:hanging="420" w:firstLineChars="0"/>
    </w:pPr>
  </w:style>
  <w:style w:type="paragraph" w:customStyle="1" w:styleId="99">
    <w:name w:val="+正文"/>
    <w:basedOn w:val="1"/>
    <w:qFormat/>
    <w:uiPriority w:val="0"/>
    <w:pPr>
      <w:spacing w:line="360" w:lineRule="auto"/>
      <w:ind w:firstLine="200" w:firstLineChars="200"/>
    </w:pPr>
    <w:rPr>
      <w:sz w:val="24"/>
      <w:szCs w:val="28"/>
    </w:rPr>
  </w:style>
  <w:style w:type="character" w:customStyle="1" w:styleId="100">
    <w:name w:val="副标题 字符"/>
    <w:link w:val="35"/>
    <w:qFormat/>
    <w:uiPriority w:val="11"/>
    <w:rPr>
      <w:rFonts w:ascii="Cambria" w:hAnsi="Cambria" w:cs="Times New Roman"/>
      <w:b/>
      <w:bCs/>
      <w:kern w:val="28"/>
      <w:sz w:val="32"/>
      <w:szCs w:val="32"/>
    </w:rPr>
  </w:style>
  <w:style w:type="character" w:customStyle="1" w:styleId="101">
    <w:name w:val="h3 Char"/>
    <w:qFormat/>
    <w:uiPriority w:val="0"/>
    <w:rPr>
      <w:rFonts w:eastAsia="宋体"/>
      <w:b/>
      <w:bCs/>
      <w:kern w:val="2"/>
      <w:sz w:val="32"/>
      <w:szCs w:val="32"/>
      <w:lang w:val="en-US" w:eastAsia="zh-CN" w:bidi="ar-SA"/>
    </w:rPr>
  </w:style>
  <w:style w:type="character" w:customStyle="1" w:styleId="102">
    <w:name w:val="正文（首行缩进两字） Char"/>
    <w:qFormat/>
    <w:uiPriority w:val="0"/>
    <w:rPr>
      <w:rFonts w:eastAsia="宋体"/>
      <w:kern w:val="28"/>
      <w:sz w:val="28"/>
      <w:lang w:val="en-US" w:eastAsia="zh-CN" w:bidi="ar-SA"/>
    </w:rPr>
  </w:style>
  <w:style w:type="character" w:customStyle="1" w:styleId="103">
    <w:name w:val="标书正文格式 Char"/>
    <w:link w:val="104"/>
    <w:qFormat/>
    <w:uiPriority w:val="0"/>
    <w:rPr>
      <w:rFonts w:ascii="楷体_GB2312" w:eastAsia="楷体_GB2312"/>
      <w:kern w:val="2"/>
      <w:sz w:val="24"/>
      <w:szCs w:val="24"/>
      <w:lang w:val="en-US" w:eastAsia="zh-CN" w:bidi="ar-SA"/>
    </w:rPr>
  </w:style>
  <w:style w:type="paragraph" w:customStyle="1" w:styleId="104">
    <w:name w:val="标书正文格式"/>
    <w:link w:val="103"/>
    <w:qFormat/>
    <w:uiPriority w:val="0"/>
    <w:pPr>
      <w:spacing w:line="360" w:lineRule="auto"/>
      <w:ind w:firstLine="200" w:firstLineChars="200"/>
    </w:pPr>
    <w:rPr>
      <w:rFonts w:ascii="楷体_GB2312" w:hAnsi="Times New Roman" w:eastAsia="楷体_GB2312" w:cs="Times New Roman"/>
      <w:kern w:val="2"/>
      <w:sz w:val="24"/>
      <w:szCs w:val="24"/>
      <w:lang w:val="en-US" w:eastAsia="zh-CN" w:bidi="ar-SA"/>
    </w:rPr>
  </w:style>
  <w:style w:type="character" w:customStyle="1" w:styleId="105">
    <w:name w:val="书籍标题1"/>
    <w:qFormat/>
    <w:uiPriority w:val="33"/>
    <w:rPr>
      <w:b/>
      <w:bCs/>
      <w:smallCaps/>
      <w:spacing w:val="5"/>
    </w:rPr>
  </w:style>
  <w:style w:type="character" w:customStyle="1" w:styleId="106">
    <w:name w:val="正文文本首行缩进 字符"/>
    <w:link w:val="47"/>
    <w:qFormat/>
    <w:uiPriority w:val="0"/>
    <w:rPr>
      <w:kern w:val="2"/>
      <w:sz w:val="24"/>
      <w:szCs w:val="24"/>
    </w:rPr>
  </w:style>
  <w:style w:type="character" w:customStyle="1" w:styleId="107">
    <w:name w:val="正文文本 字符"/>
    <w:link w:val="20"/>
    <w:qFormat/>
    <w:uiPriority w:val="0"/>
    <w:rPr>
      <w:kern w:val="2"/>
      <w:sz w:val="21"/>
      <w:szCs w:val="24"/>
    </w:rPr>
  </w:style>
  <w:style w:type="character" w:customStyle="1" w:styleId="108">
    <w:name w:val="正文文本缩进 2 字符"/>
    <w:link w:val="29"/>
    <w:qFormat/>
    <w:uiPriority w:val="0"/>
    <w:rPr>
      <w:rFonts w:ascii="宋体"/>
      <w:kern w:val="2"/>
      <w:sz w:val="21"/>
    </w:rPr>
  </w:style>
  <w:style w:type="character" w:customStyle="1" w:styleId="109">
    <w:name w:val="批注文字 Char"/>
    <w:qFormat/>
    <w:uiPriority w:val="0"/>
    <w:rPr>
      <w:rFonts w:eastAsia="宋体"/>
      <w:kern w:val="2"/>
      <w:sz w:val="21"/>
      <w:szCs w:val="24"/>
      <w:lang w:val="en-US" w:eastAsia="zh-CN" w:bidi="ar-SA"/>
    </w:rPr>
  </w:style>
  <w:style w:type="character" w:customStyle="1" w:styleId="110">
    <w:name w:val="明显引用 字符"/>
    <w:link w:val="111"/>
    <w:qFormat/>
    <w:uiPriority w:val="0"/>
    <w:rPr>
      <w:b/>
      <w:bCs/>
      <w:i/>
      <w:iCs/>
      <w:color w:val="4F81BD"/>
      <w:kern w:val="2"/>
      <w:sz w:val="21"/>
      <w:szCs w:val="24"/>
    </w:rPr>
  </w:style>
  <w:style w:type="paragraph" w:styleId="111">
    <w:name w:val="Intense Quote"/>
    <w:basedOn w:val="1"/>
    <w:next w:val="1"/>
    <w:link w:val="110"/>
    <w:qFormat/>
    <w:uiPriority w:val="0"/>
    <w:pPr>
      <w:pBdr>
        <w:bottom w:val="single" w:color="4F81BD" w:sz="4" w:space="4"/>
      </w:pBdr>
      <w:spacing w:before="200" w:after="280"/>
      <w:ind w:left="936" w:right="936"/>
    </w:pPr>
    <w:rPr>
      <w:b/>
      <w:bCs/>
      <w:i/>
      <w:iCs/>
      <w:color w:val="4F81BD"/>
    </w:rPr>
  </w:style>
  <w:style w:type="character" w:customStyle="1" w:styleId="112">
    <w:name w:val="无间隔 字符"/>
    <w:link w:val="113"/>
    <w:qFormat/>
    <w:uiPriority w:val="1"/>
    <w:rPr>
      <w:kern w:val="2"/>
      <w:sz w:val="21"/>
      <w:szCs w:val="24"/>
      <w:lang w:val="en-US" w:eastAsia="zh-CN" w:bidi="ar-SA"/>
    </w:rPr>
  </w:style>
  <w:style w:type="paragraph" w:styleId="113">
    <w:name w:val="No Spacing"/>
    <w:link w:val="11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标题2 Char Char"/>
    <w:link w:val="115"/>
    <w:qFormat/>
    <w:uiPriority w:val="0"/>
    <w:rPr>
      <w:b/>
      <w:bCs/>
      <w:kern w:val="2"/>
      <w:sz w:val="24"/>
      <w:szCs w:val="28"/>
    </w:rPr>
  </w:style>
  <w:style w:type="paragraph" w:customStyle="1" w:styleId="115">
    <w:name w:val="+标题2"/>
    <w:basedOn w:val="3"/>
    <w:link w:val="114"/>
    <w:qFormat/>
    <w:uiPriority w:val="0"/>
    <w:pPr>
      <w:tabs>
        <w:tab w:val="left" w:pos="1276"/>
        <w:tab w:val="left" w:pos="2520"/>
      </w:tabs>
      <w:spacing w:before="120" w:after="120" w:line="360" w:lineRule="auto"/>
      <w:ind w:left="851" w:hanging="420"/>
    </w:pPr>
    <w:rPr>
      <w:rFonts w:ascii="Times New Roman" w:hAnsi="Times New Roman" w:eastAsia="宋体"/>
      <w:sz w:val="24"/>
      <w:szCs w:val="28"/>
    </w:rPr>
  </w:style>
  <w:style w:type="character" w:customStyle="1" w:styleId="116">
    <w:name w:val="正文文本缩进 字符"/>
    <w:link w:val="21"/>
    <w:qFormat/>
    <w:uiPriority w:val="0"/>
    <w:rPr>
      <w:rFonts w:ascii="宋体"/>
      <w:kern w:val="2"/>
      <w:sz w:val="24"/>
    </w:rPr>
  </w:style>
  <w:style w:type="character" w:customStyle="1" w:styleId="117">
    <w:name w:val="Char Char18"/>
    <w:qFormat/>
    <w:uiPriority w:val="0"/>
    <w:rPr>
      <w:rFonts w:hint="eastAsia" w:ascii="黑体" w:hAnsi="宋体" w:eastAsia="黑体"/>
      <w:bCs/>
      <w:kern w:val="2"/>
      <w:sz w:val="28"/>
      <w:szCs w:val="28"/>
      <w:lang w:val="en-US" w:eastAsia="zh-CN" w:bidi="ar-SA"/>
    </w:rPr>
  </w:style>
  <w:style w:type="character" w:customStyle="1" w:styleId="118">
    <w:name w:val="纯文本 Char1"/>
    <w:qFormat/>
    <w:uiPriority w:val="0"/>
    <w:rPr>
      <w:rFonts w:ascii="宋体" w:hAnsi="Courier New" w:eastAsia="宋体"/>
      <w:kern w:val="2"/>
      <w:sz w:val="21"/>
      <w:lang w:val="en-US" w:eastAsia="zh-CN" w:bidi="ar-SA"/>
    </w:rPr>
  </w:style>
  <w:style w:type="character" w:customStyle="1" w:styleId="119">
    <w:name w:val="明显参考1"/>
    <w:qFormat/>
    <w:uiPriority w:val="32"/>
    <w:rPr>
      <w:b/>
      <w:bCs/>
      <w:smallCaps/>
      <w:color w:val="C0504D"/>
      <w:spacing w:val="5"/>
      <w:u w:val="single"/>
    </w:rPr>
  </w:style>
  <w:style w:type="character" w:customStyle="1" w:styleId="120">
    <w:name w:val="Char Char181"/>
    <w:qFormat/>
    <w:uiPriority w:val="0"/>
    <w:rPr>
      <w:rFonts w:ascii="黑体" w:hAnsi="宋体" w:eastAsia="黑体"/>
      <w:bCs/>
      <w:kern w:val="2"/>
      <w:sz w:val="28"/>
      <w:szCs w:val="28"/>
      <w:lang w:val="en-US" w:eastAsia="zh-CN" w:bidi="ar-SA"/>
    </w:rPr>
  </w:style>
  <w:style w:type="character" w:customStyle="1" w:styleId="121">
    <w:name w:val="脚注文本 字符"/>
    <w:link w:val="36"/>
    <w:qFormat/>
    <w:uiPriority w:val="0"/>
    <w:rPr>
      <w:kern w:val="2"/>
    </w:rPr>
  </w:style>
  <w:style w:type="character" w:customStyle="1" w:styleId="122">
    <w:name w:val="标题 3 Char"/>
    <w:qFormat/>
    <w:uiPriority w:val="0"/>
    <w:rPr>
      <w:rFonts w:ascii="黑体" w:hAnsi="宋体" w:eastAsia="黑体"/>
      <w:bCs/>
      <w:kern w:val="2"/>
      <w:sz w:val="28"/>
      <w:szCs w:val="28"/>
    </w:rPr>
  </w:style>
  <w:style w:type="character" w:customStyle="1" w:styleId="123">
    <w:name w:val="+正文 Char Char"/>
    <w:link w:val="124"/>
    <w:qFormat/>
    <w:uiPriority w:val="0"/>
    <w:rPr>
      <w:kern w:val="2"/>
      <w:sz w:val="24"/>
      <w:szCs w:val="28"/>
    </w:rPr>
  </w:style>
  <w:style w:type="paragraph" w:customStyle="1" w:styleId="124">
    <w:name w:val="+正文 Char"/>
    <w:basedOn w:val="1"/>
    <w:link w:val="123"/>
    <w:qFormat/>
    <w:uiPriority w:val="0"/>
    <w:pPr>
      <w:spacing w:line="360" w:lineRule="auto"/>
      <w:ind w:firstLine="200" w:firstLineChars="200"/>
    </w:pPr>
    <w:rPr>
      <w:sz w:val="24"/>
      <w:szCs w:val="28"/>
    </w:rPr>
  </w:style>
  <w:style w:type="character" w:customStyle="1" w:styleId="125">
    <w:name w:val="不明显强调1"/>
    <w:qFormat/>
    <w:uiPriority w:val="19"/>
    <w:rPr>
      <w:i/>
      <w:iCs/>
      <w:color w:val="808080"/>
    </w:rPr>
  </w:style>
  <w:style w:type="character" w:customStyle="1" w:styleId="126">
    <w:name w:val="标题 5 Char1"/>
    <w:qFormat/>
    <w:uiPriority w:val="0"/>
    <w:rPr>
      <w:rFonts w:ascii="Calibri" w:hAnsi="Calibri" w:eastAsia="宋体"/>
      <w:b/>
      <w:bCs/>
      <w:kern w:val="2"/>
      <w:sz w:val="28"/>
      <w:szCs w:val="28"/>
      <w:lang w:val="en-US" w:eastAsia="zh-CN" w:bidi="ar-SA"/>
    </w:rPr>
  </w:style>
  <w:style w:type="character" w:customStyle="1" w:styleId="127">
    <w:name w:val="Char Char7"/>
    <w:qFormat/>
    <w:uiPriority w:val="0"/>
    <w:rPr>
      <w:rFonts w:ascii="Arial" w:hAnsi="Arial" w:eastAsia="黑体"/>
      <w:b/>
      <w:bCs/>
      <w:kern w:val="2"/>
      <w:sz w:val="32"/>
      <w:szCs w:val="32"/>
      <w:lang w:val="en-US" w:eastAsia="zh-CN" w:bidi="ar-SA"/>
    </w:rPr>
  </w:style>
  <w:style w:type="character" w:customStyle="1" w:styleId="128">
    <w:name w:val="+标题3 Char"/>
    <w:qFormat/>
    <w:uiPriority w:val="0"/>
    <w:rPr>
      <w:rFonts w:eastAsia="宋体"/>
      <w:b/>
      <w:bCs/>
      <w:kern w:val="2"/>
      <w:sz w:val="24"/>
      <w:szCs w:val="28"/>
      <w:lang w:val="en-US" w:eastAsia="zh-CN" w:bidi="ar-SA"/>
    </w:rPr>
  </w:style>
  <w:style w:type="character" w:customStyle="1" w:styleId="129">
    <w:name w:val="+标题3 Char Char"/>
    <w:link w:val="130"/>
    <w:qFormat/>
    <w:uiPriority w:val="0"/>
    <w:rPr>
      <w:b/>
      <w:bCs/>
      <w:kern w:val="2"/>
      <w:sz w:val="24"/>
      <w:szCs w:val="28"/>
    </w:rPr>
  </w:style>
  <w:style w:type="paragraph" w:customStyle="1" w:styleId="130">
    <w:name w:val="+标题3"/>
    <w:basedOn w:val="4"/>
    <w:link w:val="129"/>
    <w:qFormat/>
    <w:uiPriority w:val="0"/>
    <w:pPr>
      <w:tabs>
        <w:tab w:val="left" w:pos="1260"/>
        <w:tab w:val="left" w:pos="2126"/>
      </w:tabs>
      <w:spacing w:before="120" w:after="120" w:line="360" w:lineRule="auto"/>
      <w:ind w:left="1701" w:firstLine="0" w:firstLineChars="0"/>
    </w:pPr>
    <w:rPr>
      <w:rFonts w:hAnsi="Times New Roman" w:eastAsia="宋体"/>
      <w:b/>
      <w:bCs/>
      <w:szCs w:val="28"/>
    </w:rPr>
  </w:style>
  <w:style w:type="character" w:customStyle="1" w:styleId="131">
    <w:name w:val="文档结构图 字符"/>
    <w:link w:val="16"/>
    <w:qFormat/>
    <w:uiPriority w:val="99"/>
    <w:rPr>
      <w:kern w:val="2"/>
      <w:sz w:val="21"/>
      <w:szCs w:val="24"/>
      <w:shd w:val="clear" w:color="auto" w:fill="000080"/>
    </w:rPr>
  </w:style>
  <w:style w:type="character" w:customStyle="1" w:styleId="132">
    <w:name w:val="HTML Markup"/>
    <w:qFormat/>
    <w:uiPriority w:val="0"/>
    <w:rPr>
      <w:vanish/>
      <w:color w:val="FF0000"/>
    </w:rPr>
  </w:style>
  <w:style w:type="character" w:customStyle="1" w:styleId="133">
    <w:name w:val="Char Char1"/>
    <w:qFormat/>
    <w:locked/>
    <w:uiPriority w:val="0"/>
    <w:rPr>
      <w:rFonts w:ascii="Arial" w:hAnsi="Arial" w:eastAsia="黑体"/>
      <w:b/>
      <w:bCs/>
      <w:kern w:val="2"/>
      <w:sz w:val="32"/>
      <w:szCs w:val="32"/>
      <w:lang w:val="en-US" w:eastAsia="zh-CN" w:bidi="ar-SA"/>
    </w:rPr>
  </w:style>
  <w:style w:type="character" w:customStyle="1" w:styleId="134">
    <w:name w:val="标题5 Char Char"/>
    <w:link w:val="135"/>
    <w:qFormat/>
    <w:uiPriority w:val="0"/>
    <w:rPr>
      <w:rFonts w:ascii="Arial" w:hAnsi="Arial"/>
      <w:b/>
      <w:bCs/>
      <w:sz w:val="24"/>
      <w:szCs w:val="32"/>
    </w:rPr>
  </w:style>
  <w:style w:type="paragraph" w:customStyle="1" w:styleId="135">
    <w:name w:val="标题5"/>
    <w:basedOn w:val="4"/>
    <w:link w:val="134"/>
    <w:qFormat/>
    <w:uiPriority w:val="0"/>
    <w:pPr>
      <w:spacing w:before="260" w:after="260" w:line="413" w:lineRule="auto"/>
      <w:ind w:firstLine="0" w:firstLineChars="0"/>
    </w:pPr>
    <w:rPr>
      <w:rFonts w:ascii="Arial" w:hAnsi="Arial" w:eastAsia="宋体"/>
      <w:b/>
      <w:bCs/>
      <w:kern w:val="0"/>
      <w:szCs w:val="32"/>
    </w:rPr>
  </w:style>
  <w:style w:type="character" w:customStyle="1" w:styleId="136">
    <w:name w:val="Char Char8"/>
    <w:qFormat/>
    <w:uiPriority w:val="0"/>
    <w:rPr>
      <w:rFonts w:ascii="Arial" w:hAnsi="Arial" w:eastAsia="黑体"/>
      <w:b/>
      <w:bCs/>
      <w:kern w:val="2"/>
      <w:sz w:val="32"/>
      <w:szCs w:val="32"/>
      <w:lang w:val="en-US" w:eastAsia="zh-CN" w:bidi="ar-SA"/>
    </w:rPr>
  </w:style>
  <w:style w:type="character" w:customStyle="1" w:styleId="137">
    <w:name w:val="Table Text Char1 Char"/>
    <w:link w:val="138"/>
    <w:qFormat/>
    <w:uiPriority w:val="0"/>
    <w:rPr>
      <w:rFonts w:ascii="Arial" w:hAnsi="Arial" w:cs="Arial"/>
      <w:kern w:val="2"/>
      <w:sz w:val="18"/>
      <w:szCs w:val="18"/>
      <w:lang w:val="en-US" w:eastAsia="zh-CN" w:bidi="ar-SA"/>
    </w:rPr>
  </w:style>
  <w:style w:type="paragraph" w:customStyle="1" w:styleId="138">
    <w:name w:val="Table Text Char1"/>
    <w:link w:val="137"/>
    <w:qFormat/>
    <w:uiPriority w:val="0"/>
    <w:pPr>
      <w:snapToGrid w:val="0"/>
      <w:spacing w:before="80" w:after="80"/>
    </w:pPr>
    <w:rPr>
      <w:rFonts w:ascii="Arial" w:hAnsi="Arial" w:eastAsia="宋体" w:cs="Arial"/>
      <w:kern w:val="2"/>
      <w:sz w:val="18"/>
      <w:szCs w:val="18"/>
      <w:lang w:val="en-US" w:eastAsia="zh-CN" w:bidi="ar-SA"/>
    </w:rPr>
  </w:style>
  <w:style w:type="paragraph" w:customStyle="1" w:styleId="139">
    <w:name w:val="xl3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4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41">
    <w:name w:val="正文－恩普"/>
    <w:basedOn w:val="14"/>
    <w:qFormat/>
    <w:uiPriority w:val="0"/>
    <w:pPr>
      <w:spacing w:line="360" w:lineRule="auto"/>
      <w:ind w:firstLine="200" w:firstLineChars="200"/>
    </w:pPr>
    <w:rPr>
      <w:b w:val="0"/>
    </w:rPr>
  </w:style>
  <w:style w:type="paragraph" w:customStyle="1" w:styleId="142">
    <w:name w:val="样式2"/>
    <w:basedOn w:val="4"/>
    <w:qFormat/>
    <w:uiPriority w:val="0"/>
  </w:style>
  <w:style w:type="paragraph" w:customStyle="1" w:styleId="143">
    <w:name w:val="样式3"/>
    <w:basedOn w:val="4"/>
    <w:qFormat/>
    <w:uiPriority w:val="0"/>
    <w:rPr>
      <w:rFonts w:eastAsia="Arial"/>
    </w:rPr>
  </w:style>
  <w:style w:type="paragraph" w:customStyle="1" w:styleId="144">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45">
    <w:name w:val="p0"/>
    <w:basedOn w:val="1"/>
    <w:qFormat/>
    <w:uiPriority w:val="0"/>
    <w:pPr>
      <w:widowControl/>
    </w:pPr>
    <w:rPr>
      <w:kern w:val="0"/>
      <w:szCs w:val="21"/>
    </w:rPr>
  </w:style>
  <w:style w:type="paragraph" w:customStyle="1" w:styleId="146">
    <w:name w:val="xl38"/>
    <w:basedOn w:val="1"/>
    <w:qFormat/>
    <w:uiPriority w:val="0"/>
    <w:pPr>
      <w:widowControl/>
      <w:pBdr>
        <w:left w:val="single" w:color="auto" w:sz="8" w:space="0"/>
        <w:righ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47">
    <w:name w:val="样式1"/>
    <w:basedOn w:val="4"/>
    <w:qFormat/>
    <w:uiPriority w:val="0"/>
    <w:rPr>
      <w:rFonts w:eastAsia="Arial"/>
    </w:rPr>
  </w:style>
  <w:style w:type="paragraph" w:customStyle="1" w:styleId="14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49">
    <w:name w:val="样式 列表编号 + 段后: 0.5 行"/>
    <w:basedOn w:val="13"/>
    <w:qFormat/>
    <w:uiPriority w:val="0"/>
    <w:pPr>
      <w:widowControl/>
      <w:spacing w:afterLines="50"/>
      <w:ind w:left="1680"/>
      <w:jc w:val="left"/>
    </w:pPr>
    <w:rPr>
      <w:kern w:val="0"/>
      <w:sz w:val="24"/>
    </w:rPr>
  </w:style>
  <w:style w:type="paragraph" w:customStyle="1" w:styleId="150">
    <w:name w:val="表格"/>
    <w:basedOn w:val="1"/>
    <w:qFormat/>
    <w:uiPriority w:val="0"/>
    <w:pPr>
      <w:jc w:val="center"/>
      <w:textAlignment w:val="center"/>
    </w:pPr>
    <w:rPr>
      <w:rFonts w:ascii="华文细黑" w:hAnsi="华文细黑"/>
      <w:kern w:val="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53">
    <w:name w:val="xl28"/>
    <w:basedOn w:val="1"/>
    <w:qFormat/>
    <w:uiPriority w:val="0"/>
    <w:pPr>
      <w:widowControl/>
      <w:pBdr>
        <w:bottom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54">
    <w:name w:val="样式4"/>
    <w:basedOn w:val="4"/>
    <w:qFormat/>
    <w:uiPriority w:val="0"/>
    <w:rPr>
      <w:rFonts w:eastAsia="Arial"/>
    </w:rPr>
  </w:style>
  <w:style w:type="paragraph" w:customStyle="1" w:styleId="155">
    <w:name w:val="样式 标题 3 + (中文) 黑体 小四 非加粗 段前: 7.8 磅 段后: 0 磅 行距: 固定值 20 磅"/>
    <w:basedOn w:val="4"/>
    <w:qFormat/>
    <w:uiPriority w:val="0"/>
    <w:pPr>
      <w:spacing w:before="0" w:after="0" w:line="400" w:lineRule="exact"/>
    </w:pPr>
    <w:rPr>
      <w:rFonts w:cs="宋体"/>
      <w:b/>
      <w:bCs/>
    </w:rPr>
  </w:style>
  <w:style w:type="paragraph" w:customStyle="1" w:styleId="156">
    <w:name w:val="xl30"/>
    <w:basedOn w:val="1"/>
    <w:qFormat/>
    <w:uiPriority w:val="0"/>
    <w:pPr>
      <w:widowControl/>
      <w:pBdr>
        <w:bottom w:val="single" w:color="auto" w:sz="8" w:space="0"/>
        <w:right w:val="single" w:color="auto" w:sz="8" w:space="0"/>
      </w:pBdr>
      <w:spacing w:before="100" w:beforeAutospacing="1" w:after="100" w:afterAutospacing="1"/>
      <w:jc w:val="center"/>
    </w:pPr>
    <w:rPr>
      <w:rFonts w:hint="eastAsia" w:ascii="仿宋_GB2312" w:hAnsi="宋体" w:eastAsia="仿宋_GB2312"/>
      <w:color w:val="0000FF"/>
      <w:kern w:val="0"/>
      <w:szCs w:val="21"/>
    </w:rPr>
  </w:style>
  <w:style w:type="paragraph" w:customStyle="1" w:styleId="157">
    <w:name w:val="xl25"/>
    <w:basedOn w:val="1"/>
    <w:qFormat/>
    <w:uiPriority w:val="0"/>
    <w:pPr>
      <w:widowControl/>
      <w:pBdr>
        <w:bottom w:val="single" w:color="auto" w:sz="8" w:space="0"/>
        <w:righ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58">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159">
    <w:name w:val="样式 标题 2 + 黑色 行距: 1.5 倍行距"/>
    <w:basedOn w:val="3"/>
    <w:qFormat/>
    <w:uiPriority w:val="0"/>
    <w:pPr>
      <w:spacing w:line="360" w:lineRule="auto"/>
    </w:pPr>
    <w:rPr>
      <w:rFonts w:eastAsia="宋体" w:cs="宋体"/>
      <w:color w:val="000000"/>
      <w:szCs w:val="20"/>
    </w:rPr>
  </w:style>
  <w:style w:type="paragraph" w:customStyle="1" w:styleId="160">
    <w:name w:val="表内文字"/>
    <w:basedOn w:val="1"/>
    <w:qFormat/>
    <w:uiPriority w:val="0"/>
    <w:pPr>
      <w:spacing w:line="240" w:lineRule="atLeast"/>
      <w:jc w:val="center"/>
    </w:pPr>
    <w:rPr>
      <w:rFonts w:ascii="Arial" w:hAnsi="Arial" w:cs="Arial"/>
      <w:b/>
      <w:bCs/>
    </w:rPr>
  </w:style>
  <w:style w:type="paragraph" w:customStyle="1" w:styleId="161">
    <w:name w:val="正文缩进 New New"/>
    <w:basedOn w:val="1"/>
    <w:qFormat/>
    <w:uiPriority w:val="0"/>
    <w:pPr>
      <w:ind w:firstLine="420"/>
    </w:pPr>
    <w:rPr>
      <w:rFonts w:ascii="Calibri" w:hAnsi="Calibri" w:cs="黑体"/>
      <w:b/>
      <w:sz w:val="24"/>
      <w:szCs w:val="22"/>
    </w:rPr>
  </w:style>
  <w:style w:type="paragraph" w:customStyle="1" w:styleId="162">
    <w:name w:val="xl34"/>
    <w:basedOn w:val="1"/>
    <w:qFormat/>
    <w:uiPriority w:val="0"/>
    <w:pPr>
      <w:widowControl/>
      <w:pBdr>
        <w:right w:val="single" w:color="auto" w:sz="8" w:space="0"/>
      </w:pBdr>
      <w:spacing w:before="100" w:beforeAutospacing="1" w:after="100" w:afterAutospacing="1"/>
      <w:jc w:val="center"/>
    </w:pPr>
    <w:rPr>
      <w:rFonts w:hint="eastAsia" w:ascii="仿宋_GB2312" w:hAnsi="宋体" w:eastAsia="仿宋_GB2312"/>
      <w:color w:val="FF00FF"/>
      <w:kern w:val="0"/>
      <w:szCs w:val="21"/>
    </w:rPr>
  </w:style>
  <w:style w:type="paragraph" w:customStyle="1" w:styleId="163">
    <w:name w:val="xl24"/>
    <w:basedOn w:val="1"/>
    <w:qFormat/>
    <w:uiPriority w:val="0"/>
    <w:pPr>
      <w:widowControl/>
      <w:pBdr>
        <w:top w:val="single" w:color="auto" w:sz="8" w:space="0"/>
        <w:righ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64">
    <w:name w:val="xl26"/>
    <w:basedOn w:val="1"/>
    <w:qFormat/>
    <w:uiPriority w:val="0"/>
    <w:pPr>
      <w:widowControl/>
      <w:pBdr>
        <w:righ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65">
    <w:name w:val="Char Char Char Char"/>
    <w:basedOn w:val="1"/>
    <w:next w:val="1"/>
    <w:qFormat/>
    <w:uiPriority w:val="0"/>
    <w:rPr>
      <w:kern w:val="0"/>
      <w:sz w:val="24"/>
    </w:rPr>
  </w:style>
  <w:style w:type="paragraph" w:customStyle="1" w:styleId="166">
    <w:name w:val="xl3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int="eastAsia" w:ascii="仿宋_GB2312" w:hAnsi="宋体" w:eastAsia="仿宋_GB2312"/>
      <w:color w:val="0000FF"/>
      <w:kern w:val="0"/>
      <w:szCs w:val="21"/>
    </w:rPr>
  </w:style>
  <w:style w:type="paragraph" w:customStyle="1" w:styleId="167">
    <w:name w:val="xl39"/>
    <w:basedOn w:val="1"/>
    <w:qFormat/>
    <w:uiPriority w:val="0"/>
    <w:pPr>
      <w:widowControl/>
      <w:pBdr>
        <w:top w:val="single" w:color="auto" w:sz="8" w:space="0"/>
        <w:lef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68">
    <w:name w:val="标题 2 + 黑色 行距: 1.5 倍行距"/>
    <w:basedOn w:val="3"/>
    <w:qFormat/>
    <w:uiPriority w:val="0"/>
    <w:pPr>
      <w:spacing w:line="360" w:lineRule="auto"/>
    </w:pPr>
    <w:rPr>
      <w:rFonts w:eastAsia="宋体" w:cs="宋体"/>
      <w:color w:val="000000"/>
      <w:szCs w:val="20"/>
    </w:rPr>
  </w:style>
  <w:style w:type="paragraph" w:customStyle="1" w:styleId="16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70">
    <w:name w:val="Char Char7 Char"/>
    <w:basedOn w:val="1"/>
    <w:qFormat/>
    <w:uiPriority w:val="0"/>
    <w:pPr>
      <w:tabs>
        <w:tab w:val="left" w:pos="425"/>
      </w:tabs>
      <w:ind w:left="420" w:leftChars="200" w:firstLine="270" w:firstLineChars="150"/>
    </w:pPr>
  </w:style>
  <w:style w:type="paragraph" w:customStyle="1" w:styleId="171">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7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4">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175">
    <w:name w:val="xl29"/>
    <w:basedOn w:val="1"/>
    <w:qFormat/>
    <w:uiPriority w:val="0"/>
    <w:pPr>
      <w:widowControl/>
      <w:pBdr>
        <w:bottom w:val="single" w:color="auto" w:sz="8" w:space="0"/>
        <w:right w:val="single" w:color="auto" w:sz="8" w:space="0"/>
      </w:pBdr>
      <w:spacing w:before="100" w:beforeAutospacing="1" w:after="100" w:afterAutospacing="1"/>
      <w:jc w:val="center"/>
    </w:pPr>
    <w:rPr>
      <w:rFonts w:hint="eastAsia" w:ascii="仿宋_GB2312" w:hAnsi="宋体" w:eastAsia="仿宋_GB2312"/>
      <w:color w:val="FF0000"/>
      <w:kern w:val="0"/>
      <w:szCs w:val="21"/>
    </w:rPr>
  </w:style>
  <w:style w:type="paragraph" w:customStyle="1" w:styleId="176">
    <w:name w:val="xl40"/>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宋体" w:eastAsia="仿宋_GB2312"/>
      <w:kern w:val="0"/>
      <w:szCs w:val="21"/>
    </w:rPr>
  </w:style>
  <w:style w:type="paragraph" w:customStyle="1" w:styleId="177">
    <w:name w:val="Char Char Char Char1"/>
    <w:basedOn w:val="1"/>
    <w:qFormat/>
    <w:uiPriority w:val="0"/>
  </w:style>
  <w:style w:type="paragraph" w:customStyle="1" w:styleId="178">
    <w:name w:val="Char Char2 Char Char"/>
    <w:basedOn w:val="16"/>
    <w:unhideWhenUsed/>
    <w:qFormat/>
    <w:uiPriority w:val="99"/>
    <w:rPr>
      <w:rFonts w:hint="eastAsia" w:ascii="Tahoma" w:hAnsi="Tahoma"/>
      <w:sz w:val="24"/>
    </w:rPr>
  </w:style>
  <w:style w:type="paragraph" w:customStyle="1" w:styleId="179">
    <w:name w:val="Char Char Char Char2"/>
    <w:basedOn w:val="16"/>
    <w:qFormat/>
    <w:uiPriority w:val="0"/>
    <w:pPr>
      <w:adjustRightInd w:val="0"/>
      <w:snapToGrid w:val="0"/>
      <w:spacing w:line="360" w:lineRule="auto"/>
    </w:pPr>
    <w:rPr>
      <w:rFonts w:ascii="Tahoma" w:hAnsi="Tahoma"/>
      <w:sz w:val="24"/>
    </w:rPr>
  </w:style>
  <w:style w:type="paragraph" w:customStyle="1" w:styleId="180">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hint="eastAsia" w:ascii="仿宋_GB2312" w:hAnsi="宋体" w:eastAsia="仿宋_GB2312"/>
      <w:color w:val="00CCFF"/>
      <w:kern w:val="0"/>
      <w:szCs w:val="21"/>
    </w:rPr>
  </w:style>
  <w:style w:type="paragraph" w:customStyle="1" w:styleId="181">
    <w:name w:val="TOC 标题1"/>
    <w:basedOn w:val="2"/>
    <w:next w:val="1"/>
    <w:qFormat/>
    <w:uiPriority w:val="0"/>
    <w:pPr>
      <w:spacing w:line="578" w:lineRule="auto"/>
      <w:outlineLvl w:val="9"/>
    </w:pPr>
  </w:style>
  <w:style w:type="paragraph" w:customStyle="1" w:styleId="182">
    <w:name w:val="Char Char3"/>
    <w:basedOn w:val="1"/>
    <w:qFormat/>
    <w:uiPriority w:val="0"/>
  </w:style>
  <w:style w:type="paragraph" w:customStyle="1" w:styleId="183">
    <w:name w:val="Item Step_2"/>
    <w:qFormat/>
    <w:uiPriority w:val="0"/>
    <w:pPr>
      <w:tabs>
        <w:tab w:val="left" w:pos="1418"/>
      </w:tabs>
      <w:spacing w:before="40" w:after="40"/>
      <w:ind w:left="1418" w:hanging="284"/>
    </w:pPr>
    <w:rPr>
      <w:rFonts w:ascii="Arial" w:hAnsi="Arial" w:eastAsia="宋体" w:cs="Times New Roman"/>
      <w:sz w:val="21"/>
      <w:lang w:val="en-US" w:eastAsia="en-US" w:bidi="ar-SA"/>
    </w:rPr>
  </w:style>
  <w:style w:type="paragraph" w:customStyle="1" w:styleId="184">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85">
    <w:name w:val="Item List_2"/>
    <w:basedOn w:val="186"/>
    <w:qFormat/>
    <w:uiPriority w:val="0"/>
    <w:pPr>
      <w:tabs>
        <w:tab w:val="left" w:pos="1134"/>
        <w:tab w:val="left" w:pos="1418"/>
      </w:tabs>
      <w:ind w:left="1418" w:hanging="284"/>
    </w:pPr>
  </w:style>
  <w:style w:type="paragraph" w:customStyle="1" w:styleId="186">
    <w:name w:val="Item List"/>
    <w:basedOn w:val="1"/>
    <w:qFormat/>
    <w:uiPriority w:val="0"/>
    <w:pPr>
      <w:widowControl/>
      <w:tabs>
        <w:tab w:val="left" w:pos="1134"/>
      </w:tabs>
      <w:spacing w:before="40" w:after="40"/>
      <w:ind w:left="1134"/>
    </w:pPr>
    <w:rPr>
      <w:rFonts w:ascii="Arial" w:hAnsi="Arial" w:eastAsia="微软雅黑" w:cs="Arial"/>
      <w:szCs w:val="20"/>
      <w:lang w:eastAsia="en-US"/>
    </w:rPr>
  </w:style>
  <w:style w:type="paragraph" w:customStyle="1" w:styleId="187">
    <w:name w:val="xl32"/>
    <w:basedOn w:val="1"/>
    <w:qFormat/>
    <w:uiPriority w:val="0"/>
    <w:pPr>
      <w:widowControl/>
      <w:pBdr>
        <w:bottom w:val="single" w:color="auto" w:sz="8" w:space="0"/>
        <w:right w:val="single" w:color="auto" w:sz="8" w:space="0"/>
      </w:pBdr>
      <w:spacing w:before="100" w:beforeAutospacing="1" w:after="100" w:afterAutospacing="1"/>
      <w:jc w:val="center"/>
    </w:pPr>
    <w:rPr>
      <w:rFonts w:hint="eastAsia" w:ascii="仿宋_GB2312" w:hAnsi="宋体" w:eastAsia="仿宋_GB2312"/>
      <w:color w:val="00CCFF"/>
      <w:kern w:val="0"/>
      <w:szCs w:val="21"/>
    </w:rPr>
  </w:style>
  <w:style w:type="paragraph" w:customStyle="1" w:styleId="188">
    <w:name w:val="TOP"/>
    <w:basedOn w:val="2"/>
    <w:qFormat/>
    <w:uiPriority w:val="0"/>
    <w:pPr>
      <w:widowControl/>
    </w:pPr>
    <w:rPr>
      <w:rFonts w:ascii="隶书" w:eastAsia="隶书"/>
      <w:kern w:val="0"/>
      <w:sz w:val="52"/>
      <w:szCs w:val="20"/>
    </w:rPr>
  </w:style>
  <w:style w:type="paragraph" w:customStyle="1" w:styleId="189">
    <w:name w:val="Notes Text List in Table"/>
    <w:qFormat/>
    <w:uiPriority w:val="0"/>
    <w:pPr>
      <w:tabs>
        <w:tab w:val="left" w:pos="284"/>
      </w:tabs>
      <w:spacing w:before="80" w:after="80"/>
      <w:ind w:left="284" w:hanging="284"/>
    </w:pPr>
    <w:rPr>
      <w:rFonts w:ascii="Arial" w:hAnsi="Arial" w:eastAsia="华文楷体" w:cs="楷体_GB2312"/>
      <w:sz w:val="18"/>
      <w:szCs w:val="18"/>
      <w:lang w:val="en-US" w:eastAsia="zh-CN" w:bidi="ar-SA"/>
    </w:rPr>
  </w:style>
  <w:style w:type="paragraph" w:customStyle="1" w:styleId="19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1">
    <w:name w:val="font12"/>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192">
    <w:name w:val="Char"/>
    <w:basedOn w:val="1"/>
    <w:qFormat/>
    <w:uiPriority w:val="0"/>
    <w:pPr>
      <w:tabs>
        <w:tab w:val="left" w:pos="360"/>
      </w:tabs>
    </w:pPr>
    <w:rPr>
      <w:sz w:val="24"/>
    </w:rPr>
  </w:style>
  <w:style w:type="paragraph" w:customStyle="1" w:styleId="193">
    <w:name w:val="xl23"/>
    <w:basedOn w:val="1"/>
    <w:qFormat/>
    <w:uiPriority w:val="0"/>
    <w:pPr>
      <w:widowControl/>
      <w:spacing w:before="100" w:beforeAutospacing="1" w:after="100" w:afterAutospacing="1"/>
      <w:jc w:val="center"/>
      <w:textAlignment w:val="center"/>
    </w:pPr>
    <w:rPr>
      <w:rFonts w:hint="eastAsia" w:ascii="宋体" w:hAnsi="宋体" w:cs="Arial Unicode MS"/>
      <w:kern w:val="0"/>
      <w:sz w:val="24"/>
      <w:lang w:eastAsia="en-US"/>
    </w:rPr>
  </w:style>
  <w:style w:type="paragraph" w:customStyle="1" w:styleId="194">
    <w:name w:val="Char Char Char"/>
    <w:basedOn w:val="1"/>
    <w:qFormat/>
    <w:uiPriority w:val="0"/>
    <w:rPr>
      <w:rFonts w:ascii="Tahoma" w:hAnsi="Tahoma"/>
      <w:sz w:val="24"/>
      <w:szCs w:val="20"/>
    </w:rPr>
  </w:style>
  <w:style w:type="paragraph" w:customStyle="1" w:styleId="195">
    <w:name w:val="正文1"/>
    <w:qFormat/>
    <w:uiPriority w:val="0"/>
    <w:pPr>
      <w:widowControl w:val="0"/>
      <w:adjustRightInd w:val="0"/>
      <w:jc w:val="center"/>
    </w:pPr>
    <w:rPr>
      <w:rFonts w:ascii="Times New Roman" w:hAnsi="Times New Roman" w:eastAsia="仿宋_GB2312" w:cs="Times New Roman"/>
      <w:sz w:val="28"/>
      <w:lang w:val="en-US" w:eastAsia="zh-CN" w:bidi="ar-SA"/>
    </w:rPr>
  </w:style>
  <w:style w:type="paragraph" w:customStyle="1" w:styleId="196">
    <w:name w:val="1"/>
    <w:basedOn w:val="1"/>
    <w:next w:val="1"/>
    <w:qFormat/>
    <w:uiPriority w:val="0"/>
  </w:style>
  <w:style w:type="paragraph" w:customStyle="1" w:styleId="197">
    <w:name w:val="正文文本缩进1"/>
    <w:basedOn w:val="1"/>
    <w:qFormat/>
    <w:uiPriority w:val="0"/>
    <w:pPr>
      <w:spacing w:line="360" w:lineRule="auto"/>
      <w:ind w:firstLine="420"/>
    </w:pPr>
    <w:rPr>
      <w:rFonts w:ascii="宋体"/>
      <w:sz w:val="24"/>
    </w:rPr>
  </w:style>
  <w:style w:type="paragraph" w:customStyle="1" w:styleId="198">
    <w:name w:val="表格文字"/>
    <w:basedOn w:val="1"/>
    <w:qFormat/>
    <w:uiPriority w:val="0"/>
    <w:pPr>
      <w:adjustRightInd w:val="0"/>
      <w:spacing w:line="420" w:lineRule="atLeast"/>
      <w:jc w:val="left"/>
      <w:textAlignment w:val="baseline"/>
    </w:pPr>
    <w:rPr>
      <w:kern w:val="0"/>
    </w:rPr>
  </w:style>
  <w:style w:type="paragraph" w:customStyle="1" w:styleId="199">
    <w:name w:val="Personal Name"/>
    <w:basedOn w:val="45"/>
    <w:qFormat/>
    <w:uiPriority w:val="0"/>
    <w:rPr>
      <w:rFonts w:ascii="Impact" w:hAnsi="Impact"/>
      <w:b w:val="0"/>
      <w:caps/>
      <w:color w:val="000000"/>
      <w:sz w:val="28"/>
      <w:szCs w:val="28"/>
    </w:rPr>
  </w:style>
  <w:style w:type="paragraph" w:customStyle="1" w:styleId="200">
    <w:name w:val="纯文本1"/>
    <w:basedOn w:val="1"/>
    <w:qFormat/>
    <w:uiPriority w:val="0"/>
    <w:rPr>
      <w:rFonts w:ascii="宋体" w:hAnsi="Courier New"/>
      <w:sz w:val="28"/>
    </w:rPr>
  </w:style>
  <w:style w:type="paragraph" w:customStyle="1" w:styleId="20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02">
    <w:name w:val="纯文本11"/>
    <w:basedOn w:val="1"/>
    <w:qFormat/>
    <w:uiPriority w:val="0"/>
    <w:pPr>
      <w:adjustRightInd w:val="0"/>
      <w:textAlignment w:val="baseline"/>
    </w:pPr>
    <w:rPr>
      <w:rFonts w:ascii="宋体" w:hAnsi="Courier New" w:eastAsia="楷体_GB2312"/>
      <w:sz w:val="26"/>
    </w:rPr>
  </w:style>
  <w:style w:type="paragraph" w:customStyle="1" w:styleId="203">
    <w:name w:val="列出段落1"/>
    <w:basedOn w:val="1"/>
    <w:qFormat/>
    <w:uiPriority w:val="34"/>
    <w:pPr>
      <w:ind w:firstLine="420" w:firstLineChars="200"/>
    </w:pPr>
    <w:rPr>
      <w:rFonts w:ascii="Calibri" w:hAnsi="Calibri"/>
      <w:szCs w:val="22"/>
    </w:rPr>
  </w:style>
  <w:style w:type="paragraph" w:customStyle="1" w:styleId="204">
    <w:name w:val="IN Step"/>
    <w:qFormat/>
    <w:uiPriority w:val="0"/>
    <w:pPr>
      <w:keepLines/>
      <w:tabs>
        <w:tab w:val="left" w:pos="737"/>
      </w:tabs>
      <w:spacing w:before="40" w:after="40"/>
      <w:ind w:left="737" w:hanging="737"/>
    </w:pPr>
    <w:rPr>
      <w:rFonts w:ascii="Arial" w:hAnsi="Arial" w:eastAsia="宋体" w:cs="Arial"/>
      <w:kern w:val="2"/>
      <w:sz w:val="21"/>
      <w:lang w:val="en-US" w:eastAsia="zh-CN" w:bidi="ar-SA"/>
    </w:rPr>
  </w:style>
  <w:style w:type="paragraph" w:customStyle="1" w:styleId="205">
    <w:name w:val="Table Description"/>
    <w:qFormat/>
    <w:uiPriority w:val="0"/>
    <w:pPr>
      <w:keepNext/>
      <w:keepLines/>
      <w:spacing w:before="40" w:after="40" w:line="360" w:lineRule="exact"/>
      <w:ind w:left="1134" w:hanging="510"/>
    </w:pPr>
    <w:rPr>
      <w:rFonts w:ascii="Arial" w:hAnsi="Arial" w:eastAsia="黑体" w:cs="Arial Narrow"/>
      <w:sz w:val="21"/>
      <w:lang w:val="en-US" w:eastAsia="zh-CN" w:bidi="ar-SA"/>
    </w:rPr>
  </w:style>
  <w:style w:type="paragraph" w:customStyle="1" w:styleId="206">
    <w:name w:val="Figure Description"/>
    <w:next w:val="1"/>
    <w:qFormat/>
    <w:uiPriority w:val="0"/>
    <w:pPr>
      <w:keepNext/>
      <w:keepLines/>
      <w:spacing w:before="40" w:after="40" w:line="360" w:lineRule="exact"/>
      <w:ind w:firstLine="624"/>
    </w:pPr>
    <w:rPr>
      <w:rFonts w:ascii="Arial" w:hAnsi="Arial" w:eastAsia="黑体" w:cs="Arial Narrow"/>
      <w:sz w:val="21"/>
      <w:lang w:val="en-US" w:eastAsia="zh-CN" w:bidi="ar-SA"/>
    </w:rPr>
  </w:style>
  <w:style w:type="paragraph" w:customStyle="1" w:styleId="207">
    <w:name w:val="Item Step"/>
    <w:basedOn w:val="1"/>
    <w:qFormat/>
    <w:uiPriority w:val="0"/>
    <w:pPr>
      <w:widowControl/>
      <w:tabs>
        <w:tab w:val="left" w:pos="1134"/>
      </w:tabs>
      <w:spacing w:before="40" w:after="40"/>
      <w:ind w:left="1134" w:firstLine="200" w:firstLineChars="200"/>
      <w:jc w:val="left"/>
    </w:pPr>
    <w:rPr>
      <w:rFonts w:ascii="Arial" w:hAnsi="Arial" w:eastAsia="微软雅黑"/>
      <w:kern w:val="0"/>
      <w:lang w:eastAsia="en-US"/>
    </w:rPr>
  </w:style>
  <w:style w:type="paragraph" w:customStyle="1" w:styleId="208">
    <w:name w:val="Item List in Table_2"/>
    <w:basedOn w:val="1"/>
    <w:qFormat/>
    <w:uiPriority w:val="0"/>
    <w:pPr>
      <w:widowControl/>
      <w:tabs>
        <w:tab w:val="left" w:pos="510"/>
      </w:tabs>
      <w:spacing w:before="80" w:after="80"/>
      <w:ind w:left="511" w:hanging="227" w:firstLineChars="200"/>
      <w:jc w:val="left"/>
    </w:pPr>
    <w:rPr>
      <w:rFonts w:ascii="Arial" w:hAnsi="Arial" w:eastAsia="微软雅黑" w:cs="Arial"/>
      <w:sz w:val="18"/>
      <w:szCs w:val="18"/>
      <w:lang w:eastAsia="en-US"/>
    </w:rPr>
  </w:style>
  <w:style w:type="paragraph" w:customStyle="1" w:styleId="209">
    <w:name w:val="Item List_3"/>
    <w:basedOn w:val="185"/>
    <w:semiHidden/>
    <w:qFormat/>
    <w:uiPriority w:val="0"/>
    <w:pPr>
      <w:tabs>
        <w:tab w:val="left" w:pos="1701"/>
      </w:tabs>
    </w:pPr>
  </w:style>
  <w:style w:type="paragraph" w:customStyle="1" w:styleId="210">
    <w:name w:val="Item List in Table"/>
    <w:basedOn w:val="1"/>
    <w:qFormat/>
    <w:uiPriority w:val="0"/>
    <w:pPr>
      <w:widowControl/>
      <w:tabs>
        <w:tab w:val="left" w:pos="284"/>
      </w:tabs>
      <w:spacing w:before="80" w:after="80"/>
      <w:ind w:left="284" w:firstLine="200" w:firstLineChars="200"/>
      <w:jc w:val="left"/>
    </w:pPr>
    <w:rPr>
      <w:rFonts w:ascii="Arial" w:hAnsi="Arial" w:eastAsia="微软雅黑" w:cs="Arial"/>
      <w:sz w:val="18"/>
      <w:szCs w:val="18"/>
      <w:lang w:eastAsia="en-US"/>
    </w:rPr>
  </w:style>
  <w:style w:type="paragraph" w:customStyle="1" w:styleId="211">
    <w:name w:val="标题1"/>
    <w:basedOn w:val="2"/>
    <w:qFormat/>
    <w:uiPriority w:val="0"/>
    <w:pPr>
      <w:spacing w:beforeLines="200" w:afterLines="100" w:line="360" w:lineRule="auto"/>
      <w:ind w:left="420" w:hanging="420"/>
      <w:jc w:val="left"/>
    </w:pPr>
    <w:rPr>
      <w:rFonts w:ascii="Arial" w:hAnsi="Arial"/>
      <w:sz w:val="32"/>
      <w:szCs w:val="32"/>
    </w:rPr>
  </w:style>
  <w:style w:type="paragraph" w:customStyle="1" w:styleId="212">
    <w:name w:val="纯文本2"/>
    <w:basedOn w:val="1"/>
    <w:qFormat/>
    <w:uiPriority w:val="0"/>
    <w:rPr>
      <w:rFonts w:ascii="宋体" w:hAnsi="Courier New"/>
      <w:sz w:val="28"/>
    </w:rPr>
  </w:style>
  <w:style w:type="paragraph" w:customStyle="1" w:styleId="213">
    <w:name w:val="Plain Text"/>
    <w:basedOn w:val="1"/>
    <w:qFormat/>
    <w:uiPriority w:val="0"/>
    <w:rPr>
      <w:rFonts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71C9D-9DEC-44A2-AF14-53D97672FA36}">
  <ds:schemaRefs/>
</ds:datastoreItem>
</file>

<file path=docProps/app.xml><?xml version="1.0" encoding="utf-8"?>
<Properties xmlns="http://schemas.openxmlformats.org/officeDocument/2006/extended-properties" xmlns:vt="http://schemas.openxmlformats.org/officeDocument/2006/docPropsVTypes">
  <Template>Normal</Template>
  <Pages>55</Pages>
  <Words>26989</Words>
  <Characters>9097</Characters>
  <Lines>75</Lines>
  <Paragraphs>72</Paragraphs>
  <TotalTime>18</TotalTime>
  <ScaleCrop>false</ScaleCrop>
  <LinksUpToDate>false</LinksUpToDate>
  <CharactersWithSpaces>36014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2019-03-08T00:52:00Z</dcterms:created>
  <dc:creator>kikmfga</dc:creator>
  <cp:lastModifiedBy>打伞的</cp:lastModifiedBy>
  <cp:lastPrinted>2019-05-08T04:27:00Z</cp:lastPrinted>
  <dcterms:modified xsi:type="dcterms:W3CDTF">2019-05-10T06:37:22Z</dcterms:modified>
  <dc:title>江苏省房屋建筑和市政基础设施工程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